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B4" w:rsidRDefault="00366AB4" w:rsidP="00366AB4">
      <w:pPr>
        <w:pStyle w:val="Heading1"/>
      </w:pPr>
      <w:r>
        <w:t>Supplementary Material</w:t>
      </w:r>
    </w:p>
    <w:p w:rsidR="00366AB4" w:rsidRPr="00B0246D" w:rsidRDefault="00366AB4" w:rsidP="00366AB4">
      <w:pPr>
        <w:spacing w:line="360" w:lineRule="auto"/>
      </w:pPr>
      <w:bookmarkStart w:id="0" w:name="_Ref384810314"/>
      <w:r w:rsidRPr="00B0246D">
        <w:rPr>
          <w:b/>
        </w:rPr>
        <w:t xml:space="preserve">Supplementary Figure </w:t>
      </w:r>
      <w:r w:rsidR="00F4561D">
        <w:rPr>
          <w:b/>
          <w:noProof/>
        </w:rPr>
        <w:t>1</w:t>
      </w:r>
      <w:bookmarkEnd w:id="0"/>
      <w:r w:rsidRPr="00B0246D">
        <w:rPr>
          <w:b/>
        </w:rPr>
        <w:t>:</w:t>
      </w:r>
      <w:r>
        <w:t xml:space="preserve"> </w:t>
      </w:r>
      <w:r w:rsidR="00220599">
        <w:t>Singular value decomposition (SVD). An e</w:t>
      </w:r>
      <w:r w:rsidRPr="00B0246D">
        <w:t xml:space="preserve">xample output </w:t>
      </w:r>
      <w:r w:rsidR="00220599">
        <w:t xml:space="preserve">from implementing </w:t>
      </w:r>
      <w:proofErr w:type="spellStart"/>
      <w:r w:rsidR="00220599" w:rsidRPr="00220599">
        <w:rPr>
          <w:rFonts w:ascii="Courier New" w:hAnsi="Courier New" w:cs="Courier New"/>
        </w:rPr>
        <w:t>champ.SVD</w:t>
      </w:r>
      <w:proofErr w:type="spellEnd"/>
      <w:r w:rsidR="00220599" w:rsidRPr="00220599">
        <w:rPr>
          <w:rFonts w:ascii="Courier New" w:hAnsi="Courier New" w:cs="Courier New"/>
        </w:rPr>
        <w:t xml:space="preserve"> </w:t>
      </w:r>
      <w:r w:rsidR="00220599">
        <w:t>to reveal confounding variables within the matrix of beta values.  This figure illustrates that there were negligible technical confounders associated with this subset of TCGA COAD samples</w:t>
      </w:r>
      <w:r w:rsidR="00AC139D">
        <w:t>.</w:t>
      </w:r>
      <w:r>
        <w:t xml:space="preserve"> </w:t>
      </w:r>
    </w:p>
    <w:p w:rsidR="00366AB4" w:rsidRDefault="009D7546" w:rsidP="00366AB4">
      <w:r>
        <w:rPr>
          <w:noProof/>
          <w:lang w:eastAsia="en-GB"/>
        </w:rPr>
        <w:drawing>
          <wp:inline distT="0" distB="0" distL="0" distR="0">
            <wp:extent cx="5730949" cy="549703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ementaryFigure1_SVDsummar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"/>
                    <a:stretch/>
                  </pic:blipFill>
                  <pic:spPr bwMode="auto">
                    <a:xfrm>
                      <a:off x="0" y="0"/>
                      <a:ext cx="5731510" cy="549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AB4" w:rsidRDefault="00366AB4" w:rsidP="00366AB4">
      <w:r>
        <w:br w:type="page"/>
      </w:r>
    </w:p>
    <w:p w:rsidR="009D7546" w:rsidRPr="00B0246D" w:rsidRDefault="009D7546" w:rsidP="009D7546">
      <w:pPr>
        <w:spacing w:line="360" w:lineRule="auto"/>
      </w:pPr>
      <w:r w:rsidRPr="00B0246D">
        <w:rPr>
          <w:b/>
        </w:rPr>
        <w:lastRenderedPageBreak/>
        <w:t xml:space="preserve">Supplementary Figure </w:t>
      </w:r>
      <w:r w:rsidR="00220599">
        <w:rPr>
          <w:b/>
        </w:rPr>
        <w:t>2</w:t>
      </w:r>
      <w:r w:rsidRPr="00B0246D">
        <w:rPr>
          <w:b/>
        </w:rPr>
        <w:t>:</w:t>
      </w:r>
      <w:r>
        <w:t xml:space="preserve"> </w:t>
      </w:r>
      <w:r w:rsidRPr="00B0246D">
        <w:t xml:space="preserve">Example output figure from Probe Lasso implemented in R using </w:t>
      </w:r>
      <w:proofErr w:type="spellStart"/>
      <w:r w:rsidRPr="00B0246D">
        <w:t>ChAMP</w:t>
      </w:r>
      <w:proofErr w:type="spellEnd"/>
      <w:r w:rsidRPr="00B0246D">
        <w:t xml:space="preserve"> illustrating the </w:t>
      </w:r>
      <w:r w:rsidR="00220599">
        <w:t>sizes of probe-lassos centred on probes in the various genetic/epigenetic features</w:t>
      </w:r>
      <w:r>
        <w:t xml:space="preserve">. </w:t>
      </w:r>
    </w:p>
    <w:p w:rsidR="009D7546" w:rsidRDefault="009D7546" w:rsidP="00366AB4">
      <w:pPr>
        <w:spacing w:line="360" w:lineRule="auto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ementaryFigure2_balloonplotLass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46" w:rsidRDefault="009D7546" w:rsidP="009D7546">
      <w:r>
        <w:br w:type="page"/>
      </w:r>
    </w:p>
    <w:p w:rsidR="00220599" w:rsidRPr="00B0246D" w:rsidRDefault="00220599" w:rsidP="00220599">
      <w:pPr>
        <w:spacing w:line="360" w:lineRule="auto"/>
      </w:pPr>
      <w:r>
        <w:rPr>
          <w:b/>
        </w:rPr>
        <w:lastRenderedPageBreak/>
        <w:t>Supplementary Figure 3</w:t>
      </w:r>
      <w:r>
        <w:t xml:space="preserve">: </w:t>
      </w:r>
      <w:r w:rsidRPr="00B0246D">
        <w:t xml:space="preserve">Example output figure from Probe Lasso implemented in R using </w:t>
      </w:r>
      <w:proofErr w:type="spellStart"/>
      <w:r w:rsidRPr="00B0246D">
        <w:t>ChAMP</w:t>
      </w:r>
      <w:proofErr w:type="spellEnd"/>
      <w:r w:rsidRPr="00B0246D">
        <w:t xml:space="preserve"> illustrating the </w:t>
      </w:r>
      <w:r>
        <w:t xml:space="preserve">range of probe-spacing in the underlying dataset. </w:t>
      </w:r>
    </w:p>
    <w:p w:rsidR="00220599" w:rsidRDefault="00220599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ementaryFigure3_BoxplotProbeSpacing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D939E5" w:rsidRDefault="00D939E5" w:rsidP="00220599">
      <w:pPr>
        <w:spacing w:line="360" w:lineRule="auto"/>
        <w:rPr>
          <w:b/>
        </w:rPr>
        <w:sectPr w:rsidR="00D939E5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0599" w:rsidRDefault="00220599" w:rsidP="00220599">
      <w:pPr>
        <w:spacing w:line="360" w:lineRule="auto"/>
      </w:pPr>
      <w:r>
        <w:rPr>
          <w:b/>
        </w:rPr>
        <w:lastRenderedPageBreak/>
        <w:t>Supplementary Figure 4</w:t>
      </w:r>
      <w:r w:rsidR="00366AB4">
        <w:t>: Enrichment of gene relations (A) and CGI relations (B)</w:t>
      </w:r>
      <w:r>
        <w:t xml:space="preserve"> for the lasso DMRs (dark grey) and</w:t>
      </w:r>
      <w:r w:rsidR="00366AB4">
        <w:t xml:space="preserve"> window</w:t>
      </w:r>
      <w:r>
        <w:t>250</w:t>
      </w:r>
      <w:r w:rsidR="00366AB4">
        <w:t xml:space="preserve"> DMRs (mid grey</w:t>
      </w:r>
      <w:r>
        <w:t>s</w:t>
      </w:r>
      <w:r w:rsidR="00366AB4">
        <w:t xml:space="preserve">) </w:t>
      </w:r>
      <w:r>
        <w:t xml:space="preserve">using stringency set at &gt;= 3 significant probes captured. Enrichment is also presented using the distribution of </w:t>
      </w:r>
      <w:r w:rsidR="00366AB4">
        <w:t xml:space="preserve">significant MVPs </w:t>
      </w:r>
      <w:r>
        <w:t xml:space="preserve">only </w:t>
      </w:r>
      <w:r w:rsidR="00366AB4">
        <w:t>(</w:t>
      </w:r>
      <w:r>
        <w:t>l</w:t>
      </w:r>
      <w:r w:rsidR="00366AB4">
        <w:t>ight grey).</w:t>
      </w:r>
    </w:p>
    <w:p w:rsidR="00D939E5" w:rsidRDefault="00220599" w:rsidP="00220599">
      <w:r>
        <w:rPr>
          <w:noProof/>
          <w:lang w:eastAsia="en-GB"/>
        </w:rPr>
        <w:drawing>
          <wp:inline distT="0" distB="0" distL="0" distR="0" wp14:anchorId="1D01F0A2" wp14:editId="6E7941DA">
            <wp:extent cx="8872131" cy="476338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ementaryFigure4_EnrichmentFeatures+CG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0239" cy="47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E5" w:rsidRDefault="00D939E5" w:rsidP="00220599"/>
    <w:p w:rsidR="00D939E5" w:rsidRDefault="00D939E5" w:rsidP="00220599">
      <w:pPr>
        <w:sectPr w:rsidR="00D939E5" w:rsidSect="00D939E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366AB4" w:rsidRDefault="00366AB4" w:rsidP="00366AB4">
      <w:pPr>
        <w:spacing w:line="360" w:lineRule="auto"/>
      </w:pPr>
      <w:r w:rsidRPr="00320E01">
        <w:rPr>
          <w:b/>
        </w:rPr>
        <w:lastRenderedPageBreak/>
        <w:t xml:space="preserve">Supplementary Figure </w:t>
      </w:r>
      <w:r w:rsidR="00220599">
        <w:rPr>
          <w:b/>
        </w:rPr>
        <w:t>5</w:t>
      </w:r>
      <w:r w:rsidRPr="00320E01">
        <w:rPr>
          <w:b/>
        </w:rPr>
        <w:t xml:space="preserve">: </w:t>
      </w:r>
      <w:r>
        <w:t>Distributions of the sizes of DMR cores (space between first and last probes in a DMR) that result from the Probe Lasso (blue) and Sliding fixed window</w:t>
      </w:r>
      <w:r w:rsidR="00F1192A">
        <w:t>250</w:t>
      </w:r>
      <w:r>
        <w:t xml:space="preserve"> (</w:t>
      </w:r>
      <w:r w:rsidR="00F1192A">
        <w:t>red</w:t>
      </w:r>
      <w:r>
        <w:t>)</w:t>
      </w:r>
      <w:r w:rsidR="00F1192A">
        <w:t>, window750 (green) and window2000</w:t>
      </w:r>
      <w:r>
        <w:t xml:space="preserve"> approaches.  The results are split by stringency</w:t>
      </w:r>
      <w:r w:rsidR="00F1192A">
        <w:t>, with the effect being a gradual reduction in DMR size</w:t>
      </w:r>
      <w:r>
        <w:t>.</w:t>
      </w:r>
    </w:p>
    <w:p w:rsidR="00F1192A" w:rsidRDefault="00F1192A" w:rsidP="00366AB4">
      <w:pPr>
        <w:spacing w:line="360" w:lineRule="auto"/>
      </w:pPr>
      <w:r>
        <w:rPr>
          <w:noProof/>
          <w:lang w:eastAsia="en-GB"/>
        </w:rPr>
        <w:drawing>
          <wp:inline distT="0" distB="0" distL="0" distR="0" wp14:anchorId="3CE04194" wp14:editId="0240AE80">
            <wp:extent cx="5731510" cy="5962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ementaryFigure5_DMRcoreSiz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F9" w:rsidRDefault="00366AB4">
      <w:r>
        <w:br w:type="page"/>
      </w:r>
      <w:r w:rsidR="00A94BF9" w:rsidRPr="00A94BF9">
        <w:rPr>
          <w:b/>
        </w:rPr>
        <w:lastRenderedPageBreak/>
        <w:t>Supplementary Figure 6:</w:t>
      </w:r>
      <w:r w:rsidR="00A94BF9">
        <w:rPr>
          <w:b/>
        </w:rPr>
        <w:t xml:space="preserve"> </w:t>
      </w:r>
      <w:r w:rsidR="00C32C54">
        <w:t>Box plots to indicate the delta-beta between TCGA colorectal samples and healthy control colon</w:t>
      </w:r>
      <w:r w:rsidR="00C32C54" w:rsidRPr="00A94BF9">
        <w:t xml:space="preserve"> </w:t>
      </w:r>
      <w:r w:rsidR="00A94BF9" w:rsidRPr="00A94BF9">
        <w:t xml:space="preserve">for significantly associated probes that overlap with motifs enriched in unique DMRs. </w:t>
      </w:r>
      <w:r w:rsidR="00C32C54">
        <w:t xml:space="preserve">Negative delta beta means hypomethylation in colon cancer and vice-versa. </w:t>
      </w:r>
      <w:r w:rsidR="00A94BF9" w:rsidRPr="00A94BF9">
        <w:t xml:space="preserve">Probes </w:t>
      </w:r>
      <w:r w:rsidR="00C32C54">
        <w:t xml:space="preserve">at enriched motifs </w:t>
      </w:r>
      <w:r w:rsidR="00A94BF9" w:rsidRPr="00A94BF9">
        <w:t>in unique Probe Lasso DMRs</w:t>
      </w:r>
      <w:r w:rsidR="00A94BF9">
        <w:t xml:space="preserve"> were substantially hypomethylated (A) </w:t>
      </w:r>
      <w:r w:rsidR="00C32C54">
        <w:t xml:space="preserve">while </w:t>
      </w:r>
      <w:r w:rsidR="00A94BF9">
        <w:t xml:space="preserve">probes </w:t>
      </w:r>
      <w:r w:rsidR="00C32C54">
        <w:t xml:space="preserve">at enriched motifs </w:t>
      </w:r>
      <w:r w:rsidR="00A94BF9">
        <w:t>in unique window250 DMRs</w:t>
      </w:r>
      <w:r w:rsidR="00C32C54">
        <w:t xml:space="preserve"> were considerably hypermethylated </w:t>
      </w:r>
      <w:r w:rsidR="00A94BF9">
        <w:t>(B).</w:t>
      </w:r>
      <w:r w:rsidR="00C32C54">
        <w:t xml:space="preserve"> The r</w:t>
      </w:r>
      <w:r w:rsidR="00A94BF9">
        <w:t xml:space="preserve">ed </w:t>
      </w:r>
      <w:r w:rsidR="00C32C54">
        <w:t xml:space="preserve">vertical </w:t>
      </w:r>
      <w:r w:rsidR="00A94BF9">
        <w:t>line indicates</w:t>
      </w:r>
      <w:r w:rsidR="00C32C54">
        <w:t xml:space="preserve"> no methylation difference between cohorts.</w:t>
      </w:r>
    </w:p>
    <w:p w:rsidR="00C32C54" w:rsidRPr="00C32C54" w:rsidRDefault="00C32C54">
      <w:pPr>
        <w:rPr>
          <w:b/>
        </w:rPr>
      </w:pPr>
      <w:r w:rsidRPr="00C32C54">
        <w:rPr>
          <w:b/>
        </w:rPr>
        <w:t>(A)</w:t>
      </w:r>
    </w:p>
    <w:p w:rsidR="00C32C54" w:rsidRDefault="00A94BF9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6730EEA" wp14:editId="070FD326">
            <wp:extent cx="5721695" cy="4752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soMotifBet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6"/>
                    <a:stretch/>
                  </pic:blipFill>
                  <pic:spPr bwMode="auto">
                    <a:xfrm>
                      <a:off x="0" y="0"/>
                      <a:ext cx="5731510" cy="476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C54" w:rsidRDefault="00C32C54" w:rsidP="00C32C54">
      <w:r>
        <w:br w:type="page"/>
      </w:r>
    </w:p>
    <w:p w:rsidR="00C32C54" w:rsidRDefault="00C32C54">
      <w:pPr>
        <w:rPr>
          <w:b/>
        </w:rPr>
      </w:pPr>
      <w:r>
        <w:rPr>
          <w:b/>
        </w:rPr>
        <w:lastRenderedPageBreak/>
        <w:t>(B)</w:t>
      </w:r>
    </w:p>
    <w:p w:rsidR="00A94BF9" w:rsidRDefault="00C32C5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523FC65" wp14:editId="50966542">
            <wp:extent cx="5731510" cy="4862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MotifBe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BF9">
        <w:rPr>
          <w:b/>
        </w:rPr>
        <w:br w:type="page"/>
      </w:r>
    </w:p>
    <w:p w:rsidR="00F1192A" w:rsidRDefault="00F1192A" w:rsidP="00366AB4">
      <w:pPr>
        <w:rPr>
          <w:b/>
        </w:rPr>
      </w:pPr>
      <w:r w:rsidRPr="00F1192A">
        <w:rPr>
          <w:b/>
        </w:rPr>
        <w:lastRenderedPageBreak/>
        <w:t>Supplementary Table 1:</w:t>
      </w:r>
      <w:r>
        <w:rPr>
          <w:b/>
        </w:rPr>
        <w:t xml:space="preserve"> </w:t>
      </w:r>
      <w:r w:rsidRPr="00F1192A">
        <w:t>Identification of putatively DNA binding proteins associated with probes in DMRs unique to either Probe Lasso or window250 algorithms</w:t>
      </w:r>
      <w:r w:rsidR="0049625C">
        <w:t xml:space="preserve">.  </w:t>
      </w:r>
      <w:r w:rsidR="0049625C">
        <w:t xml:space="preserve">Superscripts refer to the motif presented in Supplementary Figure 6 (1-5 </w:t>
      </w:r>
      <w:bookmarkStart w:id="1" w:name="_GoBack"/>
      <w:bookmarkEnd w:id="1"/>
      <w:r w:rsidR="0049625C">
        <w:t>= bottom-top)</w:t>
      </w:r>
      <w:r w:rsidR="0049625C">
        <w:t>.</w:t>
      </w:r>
    </w:p>
    <w:tbl>
      <w:tblPr>
        <w:tblW w:w="6819" w:type="dxa"/>
        <w:tblInd w:w="93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2273"/>
        <w:gridCol w:w="2273"/>
      </w:tblGrid>
      <w:tr w:rsidR="00F1192A" w:rsidRPr="00F1192A" w:rsidTr="00D801FF">
        <w:trPr>
          <w:trHeight w:val="300"/>
        </w:trPr>
        <w:tc>
          <w:tcPr>
            <w:tcW w:w="2273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1192A" w:rsidRPr="00F1192A" w:rsidRDefault="00F1192A" w:rsidP="00F1192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1192A">
              <w:rPr>
                <w:rFonts w:eastAsia="Times New Roman" w:cs="Times New Roman"/>
                <w:b/>
                <w:bCs/>
                <w:color w:val="000000"/>
              </w:rPr>
              <w:t>motif match</w:t>
            </w:r>
          </w:p>
        </w:tc>
        <w:tc>
          <w:tcPr>
            <w:tcW w:w="2273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1192A" w:rsidRPr="00F1192A" w:rsidRDefault="00F1192A" w:rsidP="00F119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F1192A">
              <w:rPr>
                <w:rFonts w:eastAsia="Times New Roman" w:cs="Times New Roman"/>
                <w:b/>
                <w:bCs/>
                <w:color w:val="000000"/>
              </w:rPr>
              <w:t>Probe Lasso</w:t>
            </w:r>
          </w:p>
        </w:tc>
        <w:tc>
          <w:tcPr>
            <w:tcW w:w="2273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F1192A" w:rsidRPr="00F1192A" w:rsidRDefault="00F1192A" w:rsidP="00F119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F1192A">
              <w:rPr>
                <w:rFonts w:eastAsia="Times New Roman" w:cs="Times New Roman"/>
                <w:b/>
                <w:bCs/>
                <w:color w:val="000000"/>
              </w:rPr>
              <w:t>Window250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D939E5">
              <w:rPr>
                <w:rFonts w:cs="Calibri"/>
                <w:color w:val="000000"/>
              </w:rPr>
              <w:t>Arnt</w:t>
            </w:r>
            <w:proofErr w:type="spellEnd"/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D939E5">
              <w:rPr>
                <w:rFonts w:cs="Calibri"/>
                <w:color w:val="000000"/>
              </w:rPr>
              <w:t>Arnt</w:t>
            </w:r>
            <w:proofErr w:type="spellEnd"/>
            <w:r w:rsidRPr="00D939E5">
              <w:rPr>
                <w:rFonts w:cs="Calibri"/>
                <w:color w:val="000000"/>
              </w:rPr>
              <w:t>::</w:t>
            </w:r>
            <w:proofErr w:type="spellStart"/>
            <w:r w:rsidRPr="00D939E5">
              <w:rPr>
                <w:rFonts w:cs="Calibri"/>
                <w:color w:val="000000"/>
              </w:rPr>
              <w:t>Ahr</w:t>
            </w:r>
            <w:proofErr w:type="spellEnd"/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CTCF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E2F1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E2F3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2,3,4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E2F4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E2F6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EGR1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2,3,5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EGR2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EHF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ELK4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GABPA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HIF1A::ARNT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INSM1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3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Klf1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Klf4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KLF5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2,3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D939E5">
              <w:rPr>
                <w:rFonts w:cs="Calibri"/>
                <w:color w:val="000000"/>
              </w:rPr>
              <w:t>Mafb</w:t>
            </w:r>
            <w:proofErr w:type="spellEnd"/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3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D939E5">
              <w:rPr>
                <w:rFonts w:cs="Calibri"/>
                <w:color w:val="000000"/>
              </w:rPr>
              <w:t>Myc</w:t>
            </w:r>
            <w:proofErr w:type="spellEnd"/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MYC::MAX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 w:rsidRPr="00D939E5">
              <w:rPr>
                <w:rFonts w:cs="Calibri"/>
                <w:color w:val="000000"/>
              </w:rPr>
              <w:t>Mycn</w:t>
            </w:r>
            <w:proofErr w:type="spellEnd"/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NHLH1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3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NRF1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1,3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Pax2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PAX5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Pax6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PPARG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REST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1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RFX5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RXR::RAR_DR5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RXRA::VDR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SP1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2,3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SP2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2,3,4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STAT1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STAT2::STAT1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3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STAT3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Stat4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2,3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TAL1::GATA1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4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USF1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5</w:t>
            </w:r>
          </w:p>
        </w:tc>
      </w:tr>
      <w:tr w:rsidR="00D939E5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YY1</w:t>
            </w: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D939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273" w:type="dxa"/>
            <w:shd w:val="clear" w:color="auto" w:fill="auto"/>
            <w:noWrap/>
            <w:hideMark/>
          </w:tcPr>
          <w:p w:rsidR="00D939E5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D939E5"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3</w:t>
            </w:r>
          </w:p>
        </w:tc>
      </w:tr>
      <w:tr w:rsidR="0049625C" w:rsidRPr="00F1192A" w:rsidTr="00B67B8E">
        <w:trPr>
          <w:trHeight w:val="300"/>
        </w:trPr>
        <w:tc>
          <w:tcPr>
            <w:tcW w:w="2273" w:type="dxa"/>
            <w:shd w:val="clear" w:color="auto" w:fill="auto"/>
            <w:noWrap/>
          </w:tcPr>
          <w:p w:rsidR="0049625C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Zfx</w:t>
            </w:r>
            <w:proofErr w:type="spellEnd"/>
          </w:p>
        </w:tc>
        <w:tc>
          <w:tcPr>
            <w:tcW w:w="2273" w:type="dxa"/>
            <w:shd w:val="clear" w:color="auto" w:fill="auto"/>
            <w:noWrap/>
          </w:tcPr>
          <w:p w:rsidR="0049625C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</w:t>
            </w:r>
          </w:p>
        </w:tc>
        <w:tc>
          <w:tcPr>
            <w:tcW w:w="2273" w:type="dxa"/>
            <w:shd w:val="clear" w:color="auto" w:fill="auto"/>
            <w:noWrap/>
          </w:tcPr>
          <w:p w:rsidR="0049625C" w:rsidRPr="00D939E5" w:rsidRDefault="004962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yes</w:t>
            </w:r>
            <w:r w:rsidRPr="0049625C">
              <w:rPr>
                <w:rFonts w:cs="Calibri"/>
                <w:color w:val="000000"/>
                <w:vertAlign w:val="superscript"/>
              </w:rPr>
              <w:t>2</w:t>
            </w:r>
          </w:p>
        </w:tc>
      </w:tr>
    </w:tbl>
    <w:p w:rsidR="00F1192A" w:rsidRPr="00044905" w:rsidRDefault="00F1192A" w:rsidP="00F1192A">
      <w:pPr>
        <w:rPr>
          <w:rFonts w:asciiTheme="majorHAnsi" w:hAnsiTheme="majorHAnsi"/>
        </w:rPr>
      </w:pPr>
    </w:p>
    <w:p w:rsidR="00F1192A" w:rsidRPr="00044905" w:rsidRDefault="00A94BF9" w:rsidP="00F1192A">
      <w:pPr>
        <w:rPr>
          <w:rFonts w:asciiTheme="majorHAnsi" w:hAnsiTheme="majorHAnsi"/>
        </w:rPr>
      </w:pPr>
      <w:r w:rsidRPr="00F1192A">
        <w:rPr>
          <w:b/>
        </w:rPr>
        <w:t>Supplementary</w:t>
      </w:r>
      <w:r>
        <w:rPr>
          <w:b/>
        </w:rPr>
        <w:t xml:space="preserve"> Table 2</w:t>
      </w:r>
      <w:r w:rsidRPr="00F1192A">
        <w:rPr>
          <w:b/>
        </w:rPr>
        <w:t>:</w:t>
      </w:r>
      <w:r>
        <w:rPr>
          <w:b/>
        </w:rPr>
        <w:t xml:space="preserve"> </w:t>
      </w:r>
      <w:r w:rsidRPr="00A94BF9">
        <w:t>Gene ontology predictions</w:t>
      </w:r>
      <w:r>
        <w:t xml:space="preserve"> for motifs overlapping with significantly associated probes in DMRs unique to Probe Lasso and window250 algorithms. </w:t>
      </w:r>
      <w:r w:rsidR="0049625C">
        <w:t>Superscripts refer to the motif presented in Supplementary Figure 6 (1-5 = bottom-top)</w:t>
      </w:r>
      <w:r w:rsidR="0049625C">
        <w:t xml:space="preserve">.  </w:t>
      </w:r>
      <w:r>
        <w:t>MF = Molecular function; CC = Cellular component; BP = Biological process</w:t>
      </w:r>
      <w:r w:rsidR="000009C7">
        <w:t>.</w:t>
      </w:r>
    </w:p>
    <w:tbl>
      <w:tblPr>
        <w:tblW w:w="0" w:type="auto"/>
        <w:tblInd w:w="93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4686"/>
        <w:gridCol w:w="1403"/>
        <w:gridCol w:w="1424"/>
      </w:tblGrid>
      <w:tr w:rsidR="00A94BF9" w:rsidRPr="00A94BF9" w:rsidTr="00D801FF">
        <w:trPr>
          <w:trHeight w:val="300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GO prediction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Probe Lasso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Window250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zinc ion binding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transcription factor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transcription activator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3,5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sequence-specific DNA binding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RNA binding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protein serine/threonine kinase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magnesium ion binding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1,3,5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DNA binding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ATP binding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2,4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1,2,3,4,5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CC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transcription factor complex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2,4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CC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proofErr w:type="spellStart"/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spliceosomal</w:t>
            </w:r>
            <w:proofErr w:type="spellEnd"/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 xml:space="preserve"> complex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CC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nucleus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CC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nucleolus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3,4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1,4,5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microtubule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3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cytosol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2,3,4,5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 xml:space="preserve">small </w:t>
            </w:r>
            <w:proofErr w:type="spellStart"/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GTPase</w:t>
            </w:r>
            <w:proofErr w:type="spellEnd"/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 xml:space="preserve"> mediated signal transduction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A94BF9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response to organic cyclic substance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regulation of transcription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protein folding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 xml:space="preserve">nuclear mRNA splicing, via </w:t>
            </w:r>
            <w:proofErr w:type="spellStart"/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spliceosome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3,4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negative regulation of cell migration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modification-dependent protein catabolic process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94BF9" w:rsidRPr="00A94BF9" w:rsidRDefault="00A94BF9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A94BF9" w:rsidRPr="00A94BF9" w:rsidRDefault="00207572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20757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A94BF9" w:rsidRPr="00A94BF9" w:rsidTr="00D801FF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BP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94BF9" w:rsidRPr="00A94BF9" w:rsidRDefault="00A94BF9" w:rsidP="00A94BF9">
            <w:pPr>
              <w:spacing w:after="0" w:line="240" w:lineRule="auto"/>
              <w:rPr>
                <w:rFonts w:ascii="Calibri" w:eastAsia="MS Mincho" w:hAnsi="Calibri" w:cs="Times New Roman"/>
                <w:color w:val="000000"/>
                <w:lang w:val="en-US"/>
              </w:rPr>
            </w:pPr>
            <w:r w:rsidRPr="00A94BF9">
              <w:rPr>
                <w:rFonts w:ascii="Calibri" w:eastAsia="MS Mincho" w:hAnsi="Calibri" w:cs="Times New Roman"/>
                <w:color w:val="000000"/>
                <w:lang w:val="en-US"/>
              </w:rPr>
              <w:t>cell division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6A239C" w:rsidP="006A23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94BF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  <w:r w:rsidRPr="006A239C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4BF9" w:rsidRPr="00A94BF9" w:rsidRDefault="00A94BF9" w:rsidP="00A94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F1192A" w:rsidRPr="00044905" w:rsidRDefault="00F1192A" w:rsidP="00F1192A">
      <w:pPr>
        <w:rPr>
          <w:rFonts w:asciiTheme="majorHAnsi" w:hAnsiTheme="majorHAnsi"/>
        </w:rPr>
      </w:pPr>
    </w:p>
    <w:p w:rsidR="00366AB4" w:rsidRPr="00F1192A" w:rsidRDefault="00F1192A" w:rsidP="00366AB4">
      <w:pPr>
        <w:rPr>
          <w:b/>
        </w:rPr>
      </w:pPr>
      <w:r w:rsidRPr="00F1192A">
        <w:rPr>
          <w:b/>
        </w:rPr>
        <w:t xml:space="preserve"> </w:t>
      </w:r>
    </w:p>
    <w:sectPr w:rsidR="00366AB4" w:rsidRPr="00F1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1DF" w:rsidRDefault="005061DF" w:rsidP="005061DF">
      <w:pPr>
        <w:spacing w:after="0" w:line="240" w:lineRule="auto"/>
      </w:pPr>
      <w:r>
        <w:separator/>
      </w:r>
    </w:p>
  </w:endnote>
  <w:endnote w:type="continuationSeparator" w:id="0">
    <w:p w:rsidR="005061DF" w:rsidRDefault="005061DF" w:rsidP="0050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531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61DF" w:rsidRDefault="00506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25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061DF" w:rsidRDefault="00506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1DF" w:rsidRDefault="005061DF" w:rsidP="005061DF">
      <w:pPr>
        <w:spacing w:after="0" w:line="240" w:lineRule="auto"/>
      </w:pPr>
      <w:r>
        <w:separator/>
      </w:r>
    </w:p>
  </w:footnote>
  <w:footnote w:type="continuationSeparator" w:id="0">
    <w:p w:rsidR="005061DF" w:rsidRDefault="005061DF" w:rsidP="00506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B4"/>
    <w:rsid w:val="000009C7"/>
    <w:rsid w:val="000078E0"/>
    <w:rsid w:val="00114331"/>
    <w:rsid w:val="00207572"/>
    <w:rsid w:val="00211777"/>
    <w:rsid w:val="00220599"/>
    <w:rsid w:val="00341F2D"/>
    <w:rsid w:val="00366AB4"/>
    <w:rsid w:val="00433622"/>
    <w:rsid w:val="0049625C"/>
    <w:rsid w:val="005061DF"/>
    <w:rsid w:val="006A239C"/>
    <w:rsid w:val="0084405C"/>
    <w:rsid w:val="009D7546"/>
    <w:rsid w:val="00A94BF9"/>
    <w:rsid w:val="00AC139D"/>
    <w:rsid w:val="00AF38E4"/>
    <w:rsid w:val="00B073C5"/>
    <w:rsid w:val="00B338FE"/>
    <w:rsid w:val="00B40BD6"/>
    <w:rsid w:val="00C32C54"/>
    <w:rsid w:val="00C437F6"/>
    <w:rsid w:val="00CA0A2B"/>
    <w:rsid w:val="00D939E5"/>
    <w:rsid w:val="00F1192A"/>
    <w:rsid w:val="00F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B4"/>
  </w:style>
  <w:style w:type="paragraph" w:styleId="Heading1">
    <w:name w:val="heading 1"/>
    <w:basedOn w:val="Normal"/>
    <w:next w:val="Normal"/>
    <w:link w:val="Heading1Char"/>
    <w:uiPriority w:val="9"/>
    <w:qFormat/>
    <w:rsid w:val="00366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DF"/>
  </w:style>
  <w:style w:type="paragraph" w:styleId="Footer">
    <w:name w:val="footer"/>
    <w:basedOn w:val="Normal"/>
    <w:link w:val="FooterChar"/>
    <w:uiPriority w:val="99"/>
    <w:unhideWhenUsed/>
    <w:rsid w:val="00506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B4"/>
  </w:style>
  <w:style w:type="paragraph" w:styleId="Heading1">
    <w:name w:val="heading 1"/>
    <w:basedOn w:val="Normal"/>
    <w:next w:val="Normal"/>
    <w:link w:val="Heading1Char"/>
    <w:uiPriority w:val="9"/>
    <w:qFormat/>
    <w:rsid w:val="00366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DF"/>
  </w:style>
  <w:style w:type="paragraph" w:styleId="Footer">
    <w:name w:val="footer"/>
    <w:basedOn w:val="Normal"/>
    <w:link w:val="FooterChar"/>
    <w:uiPriority w:val="99"/>
    <w:unhideWhenUsed/>
    <w:rsid w:val="00506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regmlb2</dc:creator>
  <cp:lastModifiedBy>Lee B</cp:lastModifiedBy>
  <cp:revision>6</cp:revision>
  <cp:lastPrinted>2014-09-26T14:56:00Z</cp:lastPrinted>
  <dcterms:created xsi:type="dcterms:W3CDTF">2014-09-26T14:38:00Z</dcterms:created>
  <dcterms:modified xsi:type="dcterms:W3CDTF">2014-09-26T15:18:00Z</dcterms:modified>
</cp:coreProperties>
</file>