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03366"/>
          <w:sz w:val="56"/>
        </w:rPr>
        <w:br/>
        <w:br/>
        <w:br/>
        <w:br/>
        <w:t>招股书股本结构：从PDF到结构化数据</w:t>
        <w:br/>
        <w:br/>
      </w:r>
    </w:p>
    <w:p>
      <w:pPr>
        <w:jc w:val="center"/>
      </w:pPr>
      <w:r>
        <w:rPr>
          <w:color w:val="646464"/>
          <w:sz w:val="28"/>
        </w:rPr>
        <w:t>汇报人：刘宇轩 | C组（科创板）</w:t>
        <w:br/>
        <w:t>闫海洲老师、汪小圈老师 指导 | 2026年6月</w:t>
      </w:r>
    </w:p>
    <w:p>
      <w:r>
        <w:br w:type="page"/>
      </w:r>
    </w:p>
    <w:p>
      <w:pPr>
        <w:pStyle w:val="Heading1"/>
      </w:pPr>
      <w:r>
        <w:rPr>
          <w:color w:val="003366"/>
        </w:rPr>
        <w:t>01  项目背景与目标</w:t>
      </w:r>
    </w:p>
    <w:p>
      <w:pPr>
        <w:pStyle w:val="Heading2"/>
      </w:pPr>
      <w:r>
        <w:t>项目背景</w:t>
      </w:r>
    </w:p>
    <w:p>
      <w:r>
        <w:t>本项目是闫海洲老师和汪小圈老师指导的研究生数据处理训练。目标是从8份IPO招股说明书PDF中，通过全自动化流程提取上市前的股本变化数据，包括认缴流量、股权存量、股权转让，形成可复核、可扩展的结构化数据集。8家招股书覆盖主板、创业板、科创板、北交所四个板块，每份400到800页。</w:t>
      </w:r>
    </w:p>
    <w:p>
      <w:pPr>
        <w:pStyle w:val="Heading2"/>
      </w:pPr>
      <w:r>
        <w:t>输出要求</w:t>
      </w:r>
    </w:p>
    <w:p>
      <w:r>
        <w:t>每家公司需要产出三张结构化数据表：认缴流量表回答谁在什么时候认购了多少股、花了多少钱、什么价格。股权结构存量表记录每个关键时点的股东持股明细，必须包含报告期初t0。股权转让表记录股东之间的股份转让——谁转给谁、多少股、什么价格。</w:t>
      </w:r>
    </w:p>
    <w:p>
      <w:pPr>
        <w:pStyle w:val="Heading2"/>
      </w:pPr>
      <w:r>
        <w:t>核心约束</w:t>
      </w:r>
    </w:p>
    <w:p>
      <w:r>
        <w:t>每个数字都必须能回到PDF原文和具体页码，PDF没有披露的数值就留空不能推算，所有结果通过Pydantic Schema校验和数值Cross-check，单位写在列名里，金额和股数要分列。</w:t>
      </w:r>
    </w:p>
    <w:p>
      <w:r>
        <w:br w:type="page"/>
      </w:r>
    </w:p>
    <w:p>
      <w:pPr>
        <w:pStyle w:val="Heading1"/>
      </w:pPr>
      <w:r>
        <w:rPr>
          <w:color w:val="003366"/>
        </w:rPr>
        <w:t>02  技术流水线</w:t>
      </w:r>
    </w:p>
    <w:p>
      <w:pPr>
        <w:pStyle w:val="Heading2"/>
      </w:pPr>
      <w:r>
        <w:t>从PDF到Excel的七步自动化流水线</w:t>
      </w:r>
    </w:p>
    <w:p>
      <w:r>
        <w:t>第一步：数据获取与解析。cninfo_spider.py爬虫对接巨潮资讯网API，实现了Session Cookie获取、UA随机轮换、随机延时2到5秒、文件完整性校验大于等于100KB、3次失败重试和断点续爬功能，8家公司全部自动下载成功。然后用MinerU把PDF解析为结构化JSON，保留每页文字的坐标和页码标记。</w:t>
      </w:r>
    </w:p>
    <w:p>
      <w:r>
        <w:t>第二步：目录定位与精准提取。扫描MinerU JSON前30页找到目录页，用正则提取章节和页码的对应关系，精准定位"发行人基本情况"的起止页，只从这个页码范围提取文本，不把整本PDF扔给AI。招股书里"投资者"这个词会出现在风险提示等无关章节，全量输入会让AI严重误判。</w:t>
      </w:r>
    </w:p>
    <w:p>
      <w:r>
        <w:t>第三步：关键词密度评分。对每页文本打分——每命中VC相关关键词加1分，前5页强制保留。按分数降序选取，把约7.5万字符压缩到4.8万字符，信息密度提升约10倍，同时大幅降低API调用成本。</w:t>
      </w:r>
    </w:p>
    <w:p>
      <w:r>
        <w:t>第四步：AI抽取与校验。使用Deepseek-chat模型，Temperature=0.1最大化输出稳定性，max_tokens=16384到24576。数据量大的公司采用分轮调用策略，认缴流量和股权存量分开两次API请求。Pydantic Schema校验字段类型和必填项，数值Cross-check验证股本变化一致性。</w:t>
      </w:r>
    </w:p>
    <w:p>
      <w:r>
        <w:br w:type="page"/>
      </w:r>
    </w:p>
    <w:p>
      <w:pPr>
        <w:pStyle w:val="Heading1"/>
      </w:pPr>
      <w:r>
        <w:rPr>
          <w:color w:val="003366"/>
        </w:rPr>
        <w:t>03  关键挑战</w:t>
      </w:r>
    </w:p>
    <w:p>
      <w:pPr>
        <w:pStyle w:val="Heading2"/>
      </w:pPr>
      <w:r>
        <w:t>挑战一：MinerU页码范围导致数据完全丢失</w:t>
      </w:r>
    </w:p>
    <w:p>
      <w:r>
        <w:t>三协电机第一次上传MinerU，解析出200页内容，首页是"租赁负债"的会计政策说明，末页是"备查文件目录"。全文扫描"增资"关键词仅1次，"发行人基本情况"0次。原因是三协电机共382页，我们恰好覆盖了第200到382页的附录部分，核心内容在第1到200页。切换范围后数据完整出现。赛分科技更严重——468页PDF上传4次MinerU，3次未覆盖增资章节，其中一次只解析出69页全是末尾附录。三周下来MinerU上传20多次，报废率约50%。核心教训：先看PDF总页数，用TOC定位找到精确页码范围再上传。</w:t>
      </w:r>
    </w:p>
    <w:p>
      <w:pPr>
        <w:pStyle w:val="Heading2"/>
      </w:pPr>
      <w:r>
        <w:t>挑战二：PDF表格展平导致数值全散</w:t>
      </w:r>
    </w:p>
    <w:p>
      <w:r>
        <w:t>MinerU将PDF表格转为纯文本后，行和列的对应关系完全丢失。赛分科技第59页31个股东的股权结构表——"认购数量""认购金额""万股"关键词全部出现0次。影石创新第64页"股权结构如下："后面表格完全消失，整页仅剩50个字符。这不是Prompt工程能解决的问题——只要MinerU输出的文本里没有数据，AI就不可能凭空变出数字。最终采用人机协作策略：AI负责提取框架结构，人工负责查PDF补数字。生成null_fill_template.md填空模板列出所有缺失记录和页码，人工填入后脚本一键将Markdown转为JSONL。效果：赛分存量从14条暴增到184条，影石从2条增加到65条。</w:t>
      </w:r>
    </w:p>
    <w:p>
      <w:pPr>
        <w:pStyle w:val="Heading2"/>
      </w:pPr>
      <w:r>
        <w:t>挑战三：AI输出截断与记录重复</w:t>
      </w:r>
    </w:p>
    <w:p>
      <w:r>
        <w:t>大数据量时JSON输出超过max_tokens限制被从中间截断。赛分科技一次输出两个表超过24576 tokens被腰斩。同时发现15条认缴记录全是同一个认购方——AI把同一条记录重复生成了15次。解决方案：分轮调用——认缴和存量分开两次API请求，各自拥有完整token预算；加去重逻辑——同一认购方加同一日期只保留一条。修复后：15条认缴加184条存量，零null零重复。</w:t>
      </w:r>
    </w:p>
    <w:p>
      <w:r>
        <w:br w:type="page"/>
      </w:r>
    </w:p>
    <w:p>
      <w:pPr>
        <w:pStyle w:val="Heading1"/>
      </w:pPr>
      <w:r>
        <w:rPr>
          <w:color w:val="003366"/>
        </w:rPr>
        <w:t>04  核心创新——TOC目录定位法</w:t>
      </w:r>
    </w:p>
    <w:p>
      <w:r>
        <w:t>扫描MinerU JSON前30页找到目录页，正则提取章节标题和起始页码的映射——"第四节 发行人基本情况........... 第30页"。再找下一节"第五节 业务和技术........... 第87页"作为边界。只提取第30到87页的文本。提取前验证关键词覆盖——"增资""股权转让""持股比例"必须至少出现3次。</w:t>
      </w:r>
    </w:p>
    <w:p>
      <w:r>
        <w:t>三协电机是最大受益者：错误分段时存量仅1条，TOC定位到第30页后精准提取第43到47页，存量暴增到37条，包括完整t0股权结构——盛国新153万元、陆华87万元、周亚萍60万元。三联锻造：定位第33到37页，从大量null优化为精准的1条认缴加2条存量。该方法通用于任何有目录的招股书，不依赖人工经验。</w:t>
      </w:r>
    </w:p>
    <w:p>
      <w:r>
        <w:br w:type="page"/>
      </w:r>
    </w:p>
    <w:p>
      <w:pPr>
        <w:pStyle w:val="Heading1"/>
      </w:pPr>
      <w:r>
        <w:rPr>
          <w:color w:val="003366"/>
        </w:rPr>
        <w:t>05  成果与展望</w:t>
      </w:r>
    </w:p>
    <w:p>
      <w:pPr>
        <w:pStyle w:val="Heading2"/>
      </w:pPr>
      <w:r>
        <w:t>八家公司全部完成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公司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认缴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存量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转让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关键突破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友升股份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教师gold，2020年3笔完全匹配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云汉芯城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3轮融资覆盖2018-2020年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赛分科技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184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存量14→184，人工填入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影石创新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存量2→65，设立不算增资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三协电机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TOC定位，存量1→37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黄山谷捷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认购金额null为PDF未披露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三联锻造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t0三位创始人补全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星图测控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evidence提取修复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合计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440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Heading2"/>
      </w:pPr>
      <w:r>
        <w:t>关键数据</w:t>
      </w:r>
    </w:p>
    <w:p>
      <w:r>
        <w:t>Git提交15次以上，约2000行Python代码。Deepseek API调用30多次，约80万tokens。MinerU上传20多次，报废率约50%。null值从Week 2的约100个，经过四轮修复最终清零。存量数据从约200条增长到452条。</w:t>
      </w:r>
    </w:p>
    <w:p>
      <w:pPr>
        <w:pStyle w:val="Heading2"/>
      </w:pPr>
      <w:r>
        <w:t>技术资产</w:t>
      </w:r>
    </w:p>
    <w:p>
      <w:r>
        <w:t>TOC目录定位法、关键词密度评分、分轮调用策略、null值处理三板斧——evidence提取优先、坐标重建次之、人工Markdown模板兜底。全流程已工程化为独立脚本，记录在source_notes/technical_summary.md中。扩展到50家公司只需修改公司列表CSV，批量运行MinerU和提取脚本，预计2到3天完成。</w:t>
      </w:r>
    </w:p>
    <w:p>
      <w:r>
        <w:br w:type="page"/>
      </w:r>
    </w:p>
    <w:p/>
    <w:p>
      <w:pPr>
        <w:jc w:val="center"/>
      </w:pPr>
      <w:r>
        <w:rPr>
          <w:b/>
          <w:color w:val="003366"/>
          <w:sz w:val="40"/>
        </w:rPr>
        <w:br/>
        <w:br/>
        <w:br/>
        <w:br/>
        <w:br/>
        <w:br/>
        <w:t>感谢各位老师的观看与指导</w:t>
        <w:br/>
        <w:br/>
        <w:t>刘宇轩 | C组（科创板）</w:t>
        <w:br/>
        <w:t>2026年6月</w:t>
      </w:r>
    </w:p>
    <w:p>
      <w:r>
        <w:br w:type="page"/>
      </w:r>
    </w:p>
    <w:p>
      <w:pPr>
        <w:pStyle w:val="Heading1"/>
      </w:pPr>
      <w:r>
        <w:rPr>
          <w:color w:val="003366"/>
        </w:rPr>
        <w:t>附录：可能被问到的问题及回答要点</w:t>
      </w:r>
    </w:p>
    <w:p>
      <w:r>
        <w:rPr>
          <w:b/>
          <w:color w:val="B43232"/>
          <w:sz w:val="26"/>
        </w:rPr>
        <w:t>Q1: 为什么不用MinerU的API批量处理，而是手工上传？</w:t>
      </w:r>
    </w:p>
    <w:p>
      <w:pPr>
        <w:spacing w:after="240"/>
      </w:pPr>
      <w:r>
        <w:t>A: 最开始确实尝试过API方式，但MinerU的API有200页限制且对扫描版PDF支持不稳定。手工上传虽然慢，但可以精确控制页码范围——这是我们三周下来最大的教训。后续扩展到50家公司时，会切换到API批量调用，前提是先用TOC定位法确定每家的精确页码范围。</w:t>
      </w:r>
    </w:p>
    <w:p>
      <w:r>
        <w:rPr>
          <w:b/>
          <w:color w:val="B43232"/>
          <w:sz w:val="26"/>
        </w:rPr>
        <w:t>Q2: 你的自动化率到底是多少？</w:t>
      </w:r>
    </w:p>
    <w:p>
      <w:pPr>
        <w:spacing w:after="240"/>
      </w:pPr>
      <w:r>
        <w:t>A: 章节定位和框架结构抽取是100%自动的。但表格数值——特别是复杂的股权结构表——目前只有约70%能自动提取。剩下30%的数值需要人工从PDF表格中核对填入。这个比例取决于PDF的文字型程度：友升、云汉接近全自动，赛分和影石就需要较多人工介入。</w:t>
      </w:r>
    </w:p>
    <w:p>
      <w:r>
        <w:rPr>
          <w:b/>
          <w:color w:val="B43232"/>
          <w:sz w:val="26"/>
        </w:rPr>
        <w:t>Q3: 为什么有些公司的股权转让没有提取出来？</w:t>
      </w:r>
    </w:p>
    <w:p>
      <w:pPr>
        <w:spacing w:after="240"/>
      </w:pPr>
      <w:r>
        <w:t>A: 黄山谷捷是有限责任公司，它的转让记录用的是出资额转让而非标准股权转让格式。当前的Prompt对出资额转让的识别能力不足。另外三联锻造的4次转让在PDF附件里——申报文件4-3，MinerU没覆盖到。这两个都需要改进提取策略或扩大MinerU覆盖范围。</w:t>
      </w:r>
    </w:p>
    <w:p>
      <w:r>
        <w:rPr>
          <w:b/>
          <w:color w:val="B43232"/>
          <w:sz w:val="26"/>
        </w:rPr>
        <w:t>Q4: 你这个流程能迁移到港股或美股招股书吗？</w:t>
      </w:r>
    </w:p>
    <w:p>
      <w:pPr>
        <w:spacing w:after="240"/>
      </w:pPr>
      <w:r>
        <w:t>A: 技术框架可以——TOC定位、密度评分、分轮调用都是语言无关的。但具体实现上，港股和美股的招股书章节结构不同，关键词列表需要调整。比如港股常用'歷史及發展'而不是'历史沿革'。另外估值单位可能从人民币变为港币或美元，需要做单位识别扩展。</w:t>
      </w:r>
    </w:p>
    <w:p>
      <w:r>
        <w:rPr>
          <w:b/>
          <w:color w:val="B43232"/>
          <w:sz w:val="26"/>
        </w:rPr>
        <w:t>Q5: 你觉得自己最大的技术贡献是什么？</w:t>
      </w:r>
    </w:p>
    <w:p>
      <w:pPr>
        <w:spacing w:after="240"/>
      </w:pPr>
      <w:r>
        <w:t>A: 目录定位法——TOC-based extraction。之前大家包括我们自己都是凭经验估计页码范围，报废率高达50%。TOC定位把这个过程完全自动化了：先解析目录页，再正则提取章节页码映射，然后精准提取目标范围。三协电机从1条暴增到37条就是这个方法的效果。这个方法是语言无关、板块无关的，可以复用到任何有目录的招股书。</w:t>
      </w:r>
    </w:p>
    <w:p>
      <w:r>
        <w:rPr>
          <w:b/>
          <w:color w:val="B43232"/>
          <w:sz w:val="26"/>
        </w:rPr>
        <w:t>Q6: 如果让你重新做这三周，你会怎么改进？</w:t>
      </w:r>
    </w:p>
    <w:p>
      <w:pPr>
        <w:spacing w:after="240"/>
      </w:pPr>
      <w:r>
        <w:t>A: 第一周就开始做TOC定位，而不是第三周才发现。第二周就建立gold standard，而不是先跑一堆自动数据再回头核对。另外，应该先跑通一家公司的完整闭环——从PDF下载到Excel输出的每一步都验证对——再扩展到8家。我们一开始就8家并行，结果每个环节都在反复修。香肠理论是对的——一步验证通过再做下一步。</w:t>
      </w:r>
    </w:p>
    <w:p>
      <w:r>
        <w:rPr>
          <w:b/>
          <w:color w:val="B43232"/>
          <w:sz w:val="26"/>
        </w:rPr>
        <w:t>Q7: 你们的Cross-check是不是只是验证了股本变化的加减法？</w:t>
      </w:r>
    </w:p>
    <w:p>
      <w:pPr>
        <w:spacing w:after="240"/>
      </w:pPr>
      <w:r>
        <w:t>A: 不仅仅是加减法。我们做了三个层次的校验：Schema层检查字段类型和必填项、Total层验证每股本变化前后的一致性、Per-shareholder层追踪每个股东的持股变化是否等于认购加转让。友升股份的交叉校验中，2020年增资的3笔全部实现0差额——金浦临港基金从0到840万股，老股东泽升贸易从8976到8976未参与增资，完全自洽。</w:t>
      </w:r>
    </w:p>
    <w:p>
      <w:r>
        <w:rPr>
          <w:b/>
          <w:color w:val="B43232"/>
          <w:sz w:val="26"/>
        </w:rPr>
        <w:t>Q8: 友升的2022年数据为什么和教师版本不同？你的版本准还是教师的准？</w:t>
      </w:r>
    </w:p>
    <w:p>
      <w:pPr>
        <w:spacing w:after="240"/>
      </w:pPr>
      <w:r>
        <w:t>A: 这个问题我们标记为待复核。2022年12月的10个认购方中，教师版用'杉晖创业297.3万股/10000万元'，我们的AI提取用'财投晨源90万股/3026万元'。差异在于PDF中可能不同位置用了不同的投资者名称——杉晖创业可能是财投晨源的基金管理人。这个需要回到PDF原文仔细核对，在确认之前两个版本都保留，不做硬合并。这也是为什么manual_review_queue很重要——不确定的记录要标注而不是强行统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