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2"/>
        </w:rPr>
        <w:br/>
        <w:br/>
        <w:br/>
        <w:t>招股书股本结构自动化抽取</w:t>
        <w:br/>
      </w:r>
    </w:p>
    <w:p>
      <w:pPr>
        <w:jc w:val="center"/>
      </w:pPr>
      <w:r>
        <w:rPr>
          <w:color w:val="646464"/>
          <w:sz w:val="32"/>
        </w:rPr>
        <w:t>从PDF到结构化数据的三周实战</w:t>
        <w:br/>
        <w:br/>
        <w:t>刘宇轩 &amp; 苏宇垚 | C组（科创板）</w:t>
        <w:br/>
        <w:t>闫海洲老师、汪小圈老师指导</w:t>
        <w:br/>
        <w:t>2026年6月</w:t>
      </w:r>
    </w:p>
    <w:p>
      <w:r>
        <w:br w:type="page"/>
      </w:r>
    </w:p>
    <w:p>
      <w:pPr>
        <w:pStyle w:val="Heading1"/>
      </w:pPr>
      <w:r>
        <w:t>第1页：我们要做什么</w:t>
      </w:r>
    </w:p>
    <w:p>
      <w:r>
        <w:t>各位老师、同学好。我们组负责的是科创板方向，但本周所有组处理的都是同一批8家公共样本。我先简单介绍一下任务。</w:t>
      </w:r>
    </w:p>
    <w:p>
      <w:r>
        <w:t>输入是8份IPO招股书PDF文件，覆盖主板、创业板、科创板、北交所四个板块，每份400到800页不等，总数据量约70MB。输出是每家公司生成3张结构化数据表——认缴流量表、股权结构存量表、股权转让表。认缴流量回答谁在什么时候认购了多少股、花了多少钱、什么价格。股权存量回答每个关键时点的股东持股明细，必须包含报告期初也就是t0。股权转让回答谁转让给谁、多少股、什么价格。</w:t>
      </w:r>
    </w:p>
    <w:p>
      <w:r>
        <w:t>核心约束有三个：第一，每个数字都必须能回到PDF的原文和具体页码；第二，PDF没有披露的数值就留空，不能推算、不能编造；第三，所有结果必须通过Pydantic Schema校验和数值Cross-check。</w:t>
      </w:r>
    </w:p>
    <w:p>
      <w:pPr>
        <w:pStyle w:val="Heading1"/>
      </w:pPr>
      <w:r>
        <w:t>第2页：我们搭的自动化流水线</w:t>
      </w:r>
    </w:p>
    <w:p>
      <w:r>
        <w:t>我们搭了一条7步流水线。第一步是PDF下载，自己写了cninfo_spider.py爬虫，对接巨潮资讯网API，带Session Cookie获取、UA轮换、随机延时、文件完整性校验、3次失败重试和断点续爬功能。8家公司的招股书全部自动下载成功。</w:t>
      </w:r>
    </w:p>
    <w:p>
      <w:r>
        <w:t>第二步是MinerU解析，把PDF上传到MinerU解析为结构化JSON，保留每页文字的坐标和页码标记——这一步是后续所有工作的基础，但也是出问题最多的地方，后面我会详细讲。</w:t>
      </w:r>
    </w:p>
    <w:p>
      <w:r>
        <w:t>第三步是我们本周的核心创新——TOC目录定位法。先扫描MinerU JSON的前30页找到目录页，用正则提取章节和页码的对应关系，然后精准定位目标章节的起止页。</w:t>
      </w:r>
    </w:p>
    <w:p>
      <w:r>
        <w:t>第四步是章节精准提取，只从目标章节的页面中提取文本，不把整本PDF扔给AI。招股书里"投资者"这个词会出现在风险提示、募集资金用途等很多无关章节里，必须先定位再提取。</w:t>
      </w:r>
    </w:p>
    <w:p>
      <w:r>
        <w:t>第五步是关键词密度评分——对每页文本打分，每命中一个VC相关关键词加1分，前5页强制保留，按分数降序选取，把7.5万字符压缩到4.8万字符，信息密度提升约10倍。</w:t>
      </w:r>
    </w:p>
    <w:p>
      <w:r>
        <w:t>第六步是用Deepseek-chat做AI抽取，Temperature设为0.1来最大化稳定性。数据量大的公司采用分轮调用策略，认缴流量和股权存量分开两次API请求，避免JSON输出超长被截断。</w:t>
      </w:r>
    </w:p>
    <w:p>
      <w:r>
        <w:t>第七步是校验与输出——Pydantic Schema检查字段类型和必填项，持股比例超过100%自动报警。数值Cross-check验证上一时点股本加本次新增是否等于下一时点股本。所有通过校验的输出为JSONL和Excel三表格式。</w:t>
      </w:r>
    </w:p>
    <w:p>
      <w:pPr>
        <w:pStyle w:val="Heading1"/>
      </w:pPr>
      <w:r>
        <w:t>第3页：踩坑1——MinerU页码范围决定一切</w:t>
      </w:r>
    </w:p>
    <w:p>
      <w:r>
        <w:t>这是三周下来最大的教训。三协电机的案例最典型。第一次上传MinerU时，我们随便填了个页码范围，解析出来200页内容。首页显示的是"租赁负债"的会计政策说明，末页是"备查文件目录"。全文扫描发现"增资"关键词只有1次，"发行人基本情况"出现了0次——完全没有我们要的数据。</w:t>
      </w:r>
    </w:p>
    <w:p>
      <w:r>
        <w:t>根本原因是三协电机总共有382页，我们那200页恰好覆盖了第200到382页，也就是财务会计报告和附录部分。真正的发行人基本情况、历史沿革、股权变化全部在第1到200页。第二次上传用了1-200的范围，情况立刻改观——封面、目录、发行人基本情况全有了，"增资"变成4次，"股权转让"变成28次。</w:t>
      </w:r>
    </w:p>
    <w:p>
      <w:r>
        <w:t>赛分科技同样的问题更严重：468页的PDF，我们前后上传了4次MinerU，3次都没有覆盖到增资章节。影石创新第64页的股权结构表被MinerU完全丢失，整页只输出50个字符——"股权结构如下："这句话还在，但后面的表格变成了空白。</w:t>
      </w:r>
    </w:p>
    <w:p>
      <w:r>
        <w:t>三周下来MinerU上传了20多次，报废率约50%，绝大多数都是因为页码范围填错了。现在我们的标准操作流程是：先看PDF总页数，然后用TOC目录定位法找到精确页码范围，再上传MinerU。</w:t>
      </w:r>
    </w:p>
    <w:p>
      <w:pPr>
        <w:pStyle w:val="Heading1"/>
      </w:pPr>
      <w:r>
        <w:t>第4页：踩坑2——表格被展平，数值全null</w:t>
      </w:r>
    </w:p>
    <w:p>
      <w:r>
        <w:t>第二个大坑是MinerU对表格的处理。PDF中的表格被转成纯文本后，行和列的对应关系完全丢失。比如一个5行4列的股权结构表，展平后变成一段连续文字，AI能读到股东名字和持股数字，但分不清哪个数字属于哪个股东。</w:t>
      </w:r>
    </w:p>
    <w:p>
      <w:r>
        <w:t>赛分科技第59页是最典型的例子。这一页有一个包含31个股东的股权结构表，每个股东有股份数量和持股比例两列数据。MinerU解析后，"认购数量"关键词出现0次，"万股"出现0次——表格数据被彻底打散了。影石创新第64页更惨，整页只剩50个字符。</w:t>
      </w:r>
    </w:p>
    <w:p>
      <w:r>
        <w:t>这不是Prompt工程能解决的问题。我们试了所有的Prompt变体：详细版、精简版、分轮调用版、坐标重建版——只要MinerU输出的文本里没有数据，AI就不可能凭空变出数字。</w:t>
      </w:r>
    </w:p>
    <w:p>
      <w:r>
        <w:t>最终我们采用了人机协作的策略：AI负责提取框架结构，人工负责查PDF补数字。具体做法是生成一个填空模板，列出所有缺失数值的记录和对应的PDF页码，人工打开PDF找到表格把数字抄进去，然后脚本一键将Markdown转为JSONL。效果：赛分科技存量从14条暴增到184条，影石创新从2条增加到65条。</w:t>
      </w:r>
    </w:p>
    <w:p>
      <w:pPr>
        <w:pStyle w:val="Heading1"/>
      </w:pPr>
      <w:r>
        <w:t>第5页：踩坑3——AI输出截断和数据重复</w:t>
      </w:r>
    </w:p>
    <w:p>
      <w:r>
        <w:t>第三个坑是当数据量太大时，AI的JSON输出会被截断。赛分科技的存量数据特别大，我们让AI一次性输出认缴流量和股权存量两个表，结果JSON超过了Deepseek的max_tokens限制，在中间被腰斩，整个文件无法解析。</w:t>
      </w:r>
    </w:p>
    <w:p>
      <w:r>
        <w:t>另一个问题是数据重复。早期版本中赛分的认缴流量记录有15条，但仔细检查发现全是同一个认购方"国寿疌泉"——AI把同一条记录重复生成了15次，而实际的4个不同投资者只提取到了1个。</w:t>
      </w:r>
    </w:p>
    <w:p>
      <w:r>
        <w:t>解决方案分两步：第一，分轮调用——认缴流量和股权存量分开两次API请求，各走各的token预算。第二，加去重逻辑——同一认购方加同一增资日期的记录只保留一条。修复后赛分科技最终输出15条认缴流量加184条股权存量，零null、零重复。</w:t>
      </w:r>
    </w:p>
    <w:p>
      <w:r>
        <w:t>影石创新的2条认缴记录——2015年设立和2020年股改——也经过人工确认：公司设立和净资产折股不是增资事件，认购数量和金额为null是正确的，符合"PDF没披露就留空"的原则。</w:t>
      </w:r>
    </w:p>
    <w:p>
      <w:pPr>
        <w:pStyle w:val="Heading1"/>
      </w:pPr>
      <w:r>
        <w:t>第6页：核心创新——目录定位法</w:t>
      </w:r>
    </w:p>
    <w:p>
      <w:r>
        <w:t>这是我们本周最重要的方法论创新，虽然思路很简单但之前一直没有系统性地做。具体步骤：第一步，扫描MinerU JSON的前30页，找到目录页——通常在PDF的第8到15页。第二步，用正则表达式提取章节标题和对应的起始页码，比如"第四节 发行人基本情况...........30"。第三步，找到目标章节的起始页，再找下一节的起始页作为结束边界。第四步，只从这个页码范围提取文本发给AI。第五步，提取前先验证关键词覆盖——"增资""股权转让""持股比例"这些关键词至少要出现3次以上。</w:t>
      </w:r>
    </w:p>
    <w:p>
      <w:r>
        <w:t>三协电机是这个方法的最大受益者。之前我们在错误的分段提取，存量只有可怜的1条。用TOC定位到第30页的"第四节 发行人基本情况"后，精准提取第43到47页，存量暴增到37条，包括完整的t0股权结构——盛国新153万元、陆华87万元、周亚萍60万元。三联锻造同样受益，TOC定位到第33到37页的增减资段落。</w:t>
      </w:r>
    </w:p>
    <w:p>
      <w:r>
        <w:t>这个方法的通用性很强：不同板块、不同年份的招股书，只要它有目录页，就能用同一套逻辑自动定位，不需要人工判断"这一页是不是发行人基本情况"。</w:t>
      </w:r>
    </w:p>
    <w:p>
      <w:pPr>
        <w:pStyle w:val="Heading1"/>
      </w:pPr>
      <w:r>
        <w:t>第7页：最终成果——8家公司全部完成</w:t>
      </w:r>
    </w:p>
    <w:p>
      <w:r>
        <w:t>三周下来，8家公司全部覆盖，四个板块都有。总共55条认缴流量、440条股权存量、31条股权转让，null值清零。</w:t>
      </w:r>
    </w:p>
    <w:p>
      <w:r>
        <w:t>其中友升股份的认缴流量和股权存量用的是教师提供的黄金标准数据，2020年9月的3笔增资——金浦临港基金840万股7000万元、金浦科创基金360万股3000万元、上海骁墨180万股1500万元——和我们自己的AI提取结果完全一致。2022年12月的10笔增资因为投资者名称有差异，已经标记为待复核。</w:t>
      </w:r>
    </w:p>
    <w:p>
      <w:r>
        <w:t>赛分科技的11条认缴中，55页的4个投资者——国寿疌泉250万股13500万元、复星惟盈89万股4807万元、唐斌2.1万股114万元、张敏1.5万股79万元——是人工从PDF表格填入的。184条存量覆盖了从公司设立到IPO前的完整股权演变。</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公司</w:t>
            </w:r>
          </w:p>
        </w:tc>
        <w:tc>
          <w:tcPr>
            <w:tcW w:type="dxa" w:w="1440"/>
          </w:tcPr>
          <w:p>
            <w:r>
              <w:rPr>
                <w:b/>
                <w:sz w:val="20"/>
              </w:rPr>
              <w:t>认缴</w:t>
            </w:r>
          </w:p>
        </w:tc>
        <w:tc>
          <w:tcPr>
            <w:tcW w:type="dxa" w:w="1440"/>
          </w:tcPr>
          <w:p>
            <w:r>
              <w:rPr>
                <w:b/>
                <w:sz w:val="20"/>
              </w:rPr>
              <w:t>存量</w:t>
            </w:r>
          </w:p>
        </w:tc>
        <w:tc>
          <w:tcPr>
            <w:tcW w:type="dxa" w:w="1440"/>
          </w:tcPr>
          <w:p>
            <w:r>
              <w:rPr>
                <w:b/>
                <w:sz w:val="20"/>
              </w:rPr>
              <w:t>转让</w:t>
            </w:r>
          </w:p>
        </w:tc>
        <w:tc>
          <w:tcPr>
            <w:tcW w:type="dxa" w:w="1440"/>
          </w:tcPr>
          <w:p>
            <w:r>
              <w:rPr>
                <w:b/>
                <w:sz w:val="20"/>
              </w:rPr>
              <w:t>null</w:t>
            </w:r>
          </w:p>
        </w:tc>
        <w:tc>
          <w:tcPr>
            <w:tcW w:type="dxa" w:w="1440"/>
          </w:tcPr>
          <w:p>
            <w:r>
              <w:rPr>
                <w:b/>
                <w:sz w:val="20"/>
              </w:rPr>
              <w:t>亮点</w:t>
            </w:r>
          </w:p>
        </w:tc>
      </w:tr>
      <w:tr>
        <w:tc>
          <w:tcPr>
            <w:tcW w:type="dxa" w:w="1440"/>
          </w:tcPr>
          <w:p>
            <w:r>
              <w:rPr>
                <w:sz w:val="20"/>
              </w:rPr>
              <w:t>友升股份</w:t>
            </w:r>
          </w:p>
        </w:tc>
        <w:tc>
          <w:tcPr>
            <w:tcW w:type="dxa" w:w="1440"/>
          </w:tcPr>
          <w:p>
            <w:r>
              <w:rPr>
                <w:sz w:val="20"/>
              </w:rPr>
              <w:t>13</w:t>
            </w:r>
          </w:p>
        </w:tc>
        <w:tc>
          <w:tcPr>
            <w:tcW w:type="dxa" w:w="1440"/>
          </w:tcPr>
          <w:p>
            <w:r>
              <w:rPr>
                <w:sz w:val="20"/>
              </w:rPr>
              <w:t>28</w:t>
            </w:r>
          </w:p>
        </w:tc>
        <w:tc>
          <w:tcPr>
            <w:tcW w:type="dxa" w:w="1440"/>
          </w:tcPr>
          <w:p>
            <w:r>
              <w:rPr>
                <w:sz w:val="20"/>
              </w:rPr>
              <w:t>5</w:t>
            </w:r>
          </w:p>
        </w:tc>
        <w:tc>
          <w:tcPr>
            <w:tcW w:type="dxa" w:w="1440"/>
          </w:tcPr>
          <w:p>
            <w:r>
              <w:rPr>
                <w:sz w:val="20"/>
              </w:rPr>
              <w:t>0</w:t>
            </w:r>
          </w:p>
        </w:tc>
        <w:tc>
          <w:tcPr>
            <w:tcW w:type="dxa" w:w="1440"/>
          </w:tcPr>
          <w:p>
            <w:r>
              <w:rPr>
                <w:sz w:val="20"/>
              </w:rPr>
              <w:t>教师gold，2020年3笔完全匹配</w:t>
            </w:r>
          </w:p>
        </w:tc>
      </w:tr>
      <w:tr>
        <w:tc>
          <w:tcPr>
            <w:tcW w:type="dxa" w:w="1440"/>
          </w:tcPr>
          <w:p>
            <w:r>
              <w:rPr>
                <w:sz w:val="20"/>
              </w:rPr>
              <w:t>云汉芯城</w:t>
            </w:r>
          </w:p>
        </w:tc>
        <w:tc>
          <w:tcPr>
            <w:tcW w:type="dxa" w:w="1440"/>
          </w:tcPr>
          <w:p>
            <w:r>
              <w:rPr>
                <w:sz w:val="20"/>
              </w:rPr>
              <w:t>15</w:t>
            </w:r>
          </w:p>
        </w:tc>
        <w:tc>
          <w:tcPr>
            <w:tcW w:type="dxa" w:w="1440"/>
          </w:tcPr>
          <w:p>
            <w:r>
              <w:rPr>
                <w:sz w:val="20"/>
              </w:rPr>
              <w:t>87</w:t>
            </w:r>
          </w:p>
        </w:tc>
        <w:tc>
          <w:tcPr>
            <w:tcW w:type="dxa" w:w="1440"/>
          </w:tcPr>
          <w:p>
            <w:r>
              <w:rPr>
                <w:sz w:val="20"/>
              </w:rPr>
              <w:t>8</w:t>
            </w:r>
          </w:p>
        </w:tc>
        <w:tc>
          <w:tcPr>
            <w:tcW w:type="dxa" w:w="1440"/>
          </w:tcPr>
          <w:p>
            <w:r>
              <w:rPr>
                <w:sz w:val="20"/>
              </w:rPr>
              <w:t>0</w:t>
            </w:r>
          </w:p>
        </w:tc>
        <w:tc>
          <w:tcPr>
            <w:tcW w:type="dxa" w:w="1440"/>
          </w:tcPr>
          <w:p>
            <w:r>
              <w:rPr>
                <w:sz w:val="20"/>
              </w:rPr>
              <w:t>3轮融资覆盖2018-2020</w:t>
            </w:r>
          </w:p>
        </w:tc>
      </w:tr>
      <w:tr>
        <w:tc>
          <w:tcPr>
            <w:tcW w:type="dxa" w:w="1440"/>
          </w:tcPr>
          <w:p>
            <w:r>
              <w:rPr>
                <w:sz w:val="20"/>
              </w:rPr>
              <w:t>赛分科技</w:t>
            </w:r>
          </w:p>
        </w:tc>
        <w:tc>
          <w:tcPr>
            <w:tcW w:type="dxa" w:w="1440"/>
          </w:tcPr>
          <w:p>
            <w:r>
              <w:rPr>
                <w:sz w:val="20"/>
              </w:rPr>
              <w:t>15</w:t>
            </w:r>
          </w:p>
        </w:tc>
        <w:tc>
          <w:tcPr>
            <w:tcW w:type="dxa" w:w="1440"/>
          </w:tcPr>
          <w:p>
            <w:r>
              <w:rPr>
                <w:sz w:val="20"/>
              </w:rPr>
              <w:t>184</w:t>
            </w:r>
          </w:p>
        </w:tc>
        <w:tc>
          <w:tcPr>
            <w:tcW w:type="dxa" w:w="1440"/>
          </w:tcPr>
          <w:p>
            <w:r>
              <w:rPr>
                <w:sz w:val="20"/>
              </w:rPr>
              <w:t>2</w:t>
            </w:r>
          </w:p>
        </w:tc>
        <w:tc>
          <w:tcPr>
            <w:tcW w:type="dxa" w:w="1440"/>
          </w:tcPr>
          <w:p>
            <w:r>
              <w:rPr>
                <w:sz w:val="20"/>
              </w:rPr>
              <w:t>0</w:t>
            </w:r>
          </w:p>
        </w:tc>
        <w:tc>
          <w:tcPr>
            <w:tcW w:type="dxa" w:w="1440"/>
          </w:tcPr>
          <w:p>
            <w:r>
              <w:rPr>
                <w:sz w:val="20"/>
              </w:rPr>
              <w:t>存量14→184+人工填入</w:t>
            </w:r>
          </w:p>
        </w:tc>
      </w:tr>
      <w:tr>
        <w:tc>
          <w:tcPr>
            <w:tcW w:type="dxa" w:w="1440"/>
          </w:tcPr>
          <w:p>
            <w:r>
              <w:rPr>
                <w:sz w:val="20"/>
              </w:rPr>
              <w:t>影石创新</w:t>
            </w:r>
          </w:p>
        </w:tc>
        <w:tc>
          <w:tcPr>
            <w:tcW w:type="dxa" w:w="1440"/>
          </w:tcPr>
          <w:p>
            <w:r>
              <w:rPr>
                <w:sz w:val="20"/>
              </w:rPr>
              <w:t>2</w:t>
            </w:r>
          </w:p>
        </w:tc>
        <w:tc>
          <w:tcPr>
            <w:tcW w:type="dxa" w:w="1440"/>
          </w:tcPr>
          <w:p>
            <w:r>
              <w:rPr>
                <w:sz w:val="20"/>
              </w:rPr>
              <w:t>65</w:t>
            </w:r>
          </w:p>
        </w:tc>
        <w:tc>
          <w:tcPr>
            <w:tcW w:type="dxa" w:w="1440"/>
          </w:tcPr>
          <w:p>
            <w:r>
              <w:rPr>
                <w:sz w:val="20"/>
              </w:rPr>
              <w:t>1</w:t>
            </w:r>
          </w:p>
        </w:tc>
        <w:tc>
          <w:tcPr>
            <w:tcW w:type="dxa" w:w="1440"/>
          </w:tcPr>
          <w:p>
            <w:r>
              <w:rPr>
                <w:sz w:val="20"/>
              </w:rPr>
              <w:t>0</w:t>
            </w:r>
          </w:p>
        </w:tc>
        <w:tc>
          <w:tcPr>
            <w:tcW w:type="dxa" w:w="1440"/>
          </w:tcPr>
          <w:p>
            <w:r>
              <w:rPr>
                <w:sz w:val="20"/>
              </w:rPr>
              <w:t>存量2→65，设立不算增资</w:t>
            </w:r>
          </w:p>
        </w:tc>
      </w:tr>
      <w:tr>
        <w:tc>
          <w:tcPr>
            <w:tcW w:type="dxa" w:w="1440"/>
          </w:tcPr>
          <w:p>
            <w:r>
              <w:rPr>
                <w:sz w:val="20"/>
              </w:rPr>
              <w:t>三协电机</w:t>
            </w:r>
          </w:p>
        </w:tc>
        <w:tc>
          <w:tcPr>
            <w:tcW w:type="dxa" w:w="1440"/>
          </w:tcPr>
          <w:p>
            <w:r>
              <w:rPr>
                <w:sz w:val="20"/>
              </w:rPr>
              <w:t>3</w:t>
            </w:r>
          </w:p>
        </w:tc>
        <w:tc>
          <w:tcPr>
            <w:tcW w:type="dxa" w:w="1440"/>
          </w:tcPr>
          <w:p>
            <w:r>
              <w:rPr>
                <w:sz w:val="20"/>
              </w:rPr>
              <w:t>37</w:t>
            </w:r>
          </w:p>
        </w:tc>
        <w:tc>
          <w:tcPr>
            <w:tcW w:type="dxa" w:w="1440"/>
          </w:tcPr>
          <w:p>
            <w:r>
              <w:rPr>
                <w:sz w:val="20"/>
              </w:rPr>
              <w:t>10</w:t>
            </w:r>
          </w:p>
        </w:tc>
        <w:tc>
          <w:tcPr>
            <w:tcW w:type="dxa" w:w="1440"/>
          </w:tcPr>
          <w:p>
            <w:r>
              <w:rPr>
                <w:sz w:val="20"/>
              </w:rPr>
              <w:t>0</w:t>
            </w:r>
          </w:p>
        </w:tc>
        <w:tc>
          <w:tcPr>
            <w:tcW w:type="dxa" w:w="1440"/>
          </w:tcPr>
          <w:p>
            <w:r>
              <w:rPr>
                <w:sz w:val="20"/>
              </w:rPr>
              <w:t>TOC定位，存量1→37</w:t>
            </w:r>
          </w:p>
        </w:tc>
      </w:tr>
      <w:tr>
        <w:tc>
          <w:tcPr>
            <w:tcW w:type="dxa" w:w="1440"/>
          </w:tcPr>
          <w:p>
            <w:r>
              <w:rPr>
                <w:sz w:val="20"/>
              </w:rPr>
              <w:t>黄山谷捷</w:t>
            </w:r>
          </w:p>
        </w:tc>
        <w:tc>
          <w:tcPr>
            <w:tcW w:type="dxa" w:w="1440"/>
          </w:tcPr>
          <w:p>
            <w:r>
              <w:rPr>
                <w:sz w:val="20"/>
              </w:rPr>
              <w:t>3</w:t>
            </w:r>
          </w:p>
        </w:tc>
        <w:tc>
          <w:tcPr>
            <w:tcW w:type="dxa" w:w="1440"/>
          </w:tcPr>
          <w:p>
            <w:r>
              <w:rPr>
                <w:sz w:val="20"/>
              </w:rPr>
              <w:t>24</w:t>
            </w:r>
          </w:p>
        </w:tc>
        <w:tc>
          <w:tcPr>
            <w:tcW w:type="dxa" w:w="1440"/>
          </w:tcPr>
          <w:p>
            <w:r>
              <w:rPr>
                <w:sz w:val="20"/>
              </w:rPr>
              <w:t>3</w:t>
            </w:r>
          </w:p>
        </w:tc>
        <w:tc>
          <w:tcPr>
            <w:tcW w:type="dxa" w:w="1440"/>
          </w:tcPr>
          <w:p>
            <w:r>
              <w:rPr>
                <w:sz w:val="20"/>
              </w:rPr>
              <w:t>0</w:t>
            </w:r>
          </w:p>
        </w:tc>
        <w:tc>
          <w:tcPr>
            <w:tcW w:type="dxa" w:w="1440"/>
          </w:tcPr>
          <w:p>
            <w:r>
              <w:rPr>
                <w:sz w:val="20"/>
              </w:rPr>
              <w:t>有限责任公司，认购金额PDF未披露</w:t>
            </w:r>
          </w:p>
        </w:tc>
      </w:tr>
      <w:tr>
        <w:tc>
          <w:tcPr>
            <w:tcW w:type="dxa" w:w="1440"/>
          </w:tcPr>
          <w:p>
            <w:r>
              <w:rPr>
                <w:sz w:val="20"/>
              </w:rPr>
              <w:t>三联锻造</w:t>
            </w:r>
          </w:p>
        </w:tc>
        <w:tc>
          <w:tcPr>
            <w:tcW w:type="dxa" w:w="1440"/>
          </w:tcPr>
          <w:p>
            <w:r>
              <w:rPr>
                <w:sz w:val="20"/>
              </w:rPr>
              <w:t>1</w:t>
            </w:r>
          </w:p>
        </w:tc>
        <w:tc>
          <w:tcPr>
            <w:tcW w:type="dxa" w:w="1440"/>
          </w:tcPr>
          <w:p>
            <w:r>
              <w:rPr>
                <w:sz w:val="20"/>
              </w:rPr>
              <w:t>4</w:t>
            </w:r>
          </w:p>
        </w:tc>
        <w:tc>
          <w:tcPr>
            <w:tcW w:type="dxa" w:w="1440"/>
          </w:tcPr>
          <w:p>
            <w:r>
              <w:rPr>
                <w:sz w:val="20"/>
              </w:rPr>
              <w:t>3</w:t>
            </w:r>
          </w:p>
        </w:tc>
        <w:tc>
          <w:tcPr>
            <w:tcW w:type="dxa" w:w="1440"/>
          </w:tcPr>
          <w:p>
            <w:r>
              <w:rPr>
                <w:sz w:val="20"/>
              </w:rPr>
              <w:t>0</w:t>
            </w:r>
          </w:p>
        </w:tc>
        <w:tc>
          <w:tcPr>
            <w:tcW w:type="dxa" w:w="1440"/>
          </w:tcPr>
          <w:p>
            <w:r>
              <w:rPr>
                <w:sz w:val="20"/>
              </w:rPr>
              <w:t>t0三位创始人，附件含其余4增资</w:t>
            </w:r>
          </w:p>
        </w:tc>
      </w:tr>
      <w:tr>
        <w:tc>
          <w:tcPr>
            <w:tcW w:type="dxa" w:w="1440"/>
          </w:tcPr>
          <w:p>
            <w:r>
              <w:rPr>
                <w:sz w:val="20"/>
              </w:rPr>
              <w:t>星图测控</w:t>
            </w:r>
          </w:p>
        </w:tc>
        <w:tc>
          <w:tcPr>
            <w:tcW w:type="dxa" w:w="1440"/>
          </w:tcPr>
          <w:p>
            <w:r>
              <w:rPr>
                <w:sz w:val="20"/>
              </w:rPr>
              <w:t>3</w:t>
            </w:r>
          </w:p>
        </w:tc>
        <w:tc>
          <w:tcPr>
            <w:tcW w:type="dxa" w:w="1440"/>
          </w:tcPr>
          <w:p>
            <w:r>
              <w:rPr>
                <w:sz w:val="20"/>
              </w:rPr>
              <w:t>11</w:t>
            </w:r>
          </w:p>
        </w:tc>
        <w:tc>
          <w:tcPr>
            <w:tcW w:type="dxa" w:w="1440"/>
          </w:tcPr>
          <w:p>
            <w:r>
              <w:rPr>
                <w:sz w:val="20"/>
              </w:rPr>
              <w:t>2</w:t>
            </w:r>
          </w:p>
        </w:tc>
        <w:tc>
          <w:tcPr>
            <w:tcW w:type="dxa" w:w="1440"/>
          </w:tcPr>
          <w:p>
            <w:r>
              <w:rPr>
                <w:sz w:val="20"/>
              </w:rPr>
              <w:t>0</w:t>
            </w:r>
          </w:p>
        </w:tc>
        <w:tc>
          <w:tcPr>
            <w:tcW w:type="dxa" w:w="1440"/>
          </w:tcPr>
          <w:p>
            <w:r>
              <w:rPr>
                <w:sz w:val="20"/>
              </w:rPr>
              <w:t>evidence提取修复</w:t>
            </w:r>
          </w:p>
        </w:tc>
      </w:tr>
    </w:tbl>
    <w:p>
      <w:pPr>
        <w:pStyle w:val="Heading1"/>
      </w:pPr>
      <w:r>
        <w:t>第8页：上周被批评→本周全部改正</w:t>
      </w:r>
    </w:p>
    <w:p>
      <w:r>
        <w:t>第二周结束后，老师在检查报告中对我们的评价是：提交相对规范，但输出结果存在字段缺失和核验不足。公共8家缺三联锻造，Excel缺第三张带数字的cross-check表，批注证据也不足。核心问题是——提交规范只是第一步，不能因为GitHub看起来规范就认为任务完成。</w:t>
      </w:r>
    </w:p>
    <w:p>
      <w:r>
        <w:t>针对每一个批评，我们本周逐一改正。三联锻造补齐了——第一版MinerU JSON是错的，切换到正确版本后完成抽取。带数字的cross-check从只写pass/fail改为48条带具体数字的校验记录。与教师版本的比对新增了row_match.csv，对友升股份13条认缴逐行逐字段对比。批注证据新增了PDF截图。字段缺失全部修复——友升2022年10条认购明细的null值通过合并双份MinerU JSON全部消除。主动核验意识从无到有——新增了manual_review_queue、组内互查表、prompt敏感性分析。</w:t>
      </w:r>
    </w:p>
    <w:p>
      <w:r>
        <w:t>最重要的是观念转变：从"交了就行"变成"每个数字都要能回答它在PDF哪一页、原文怎么写的、谁确认的"。</w:t>
      </w:r>
    </w:p>
    <w:p>
      <w:pPr>
        <w:pStyle w:val="Heading1"/>
      </w:pPr>
      <w:r>
        <w:t>第9页：三周关键数字</w:t>
      </w:r>
    </w:p>
    <w:p>
      <w:r>
        <w:t>Git提交15次以上，累计处理约2000行Python代码。Deepseek API调用30多次，累计消耗约80万tokens，总费用约15到20美元。MinerU上传20多次，报废率约50%，基本都是页码范围填错的。</w:t>
      </w:r>
    </w:p>
    <w:p>
      <w:r>
        <w:t>null值的变化最能说明问题：Week 2初始时大约有100个null值，经过关键词密度评分、分轮调用、TOC定位、人工填入四轮修复，本周最终0个。这里的0不是所有字段都有数值——PDF未披露的字段正确留空也是0。</w:t>
      </w:r>
    </w:p>
    <w:p>
      <w:r>
        <w:t>股权存量数据量从Week 1的约200条增长到本周的440条，主要增长来自赛分科技的人工补全和影石创新的TOC定位修复。</w:t>
      </w:r>
    </w:p>
    <w:p>
      <w:pPr>
        <w:pStyle w:val="Heading1"/>
      </w:pPr>
      <w:r>
        <w:t>第10页：留给以后的技术资产</w:t>
      </w:r>
    </w:p>
    <w:p>
      <w:r>
        <w:t>我们在source_notes/technical_summary.md中整理了一套完整的九步流水线文档，包括每步的要点、常见问题和解法。四个核心方法是：TOC目录定位法——先解析目录再定位章节；关键词密度评分——大文本精准压缩；分轮调用——解决AI输出截断；null值处理三板斧——先从evidence提取、再用坐标重建、最后一招人工填Markdown模板。</w:t>
      </w:r>
    </w:p>
    <w:p>
      <w:r>
        <w:t>如果要把这个流程扩展到50家公司，只需要修改公司列表CSV文件，然后批量运行MinerU——建议切换到API方式以提升效率——再批量运行extract脚本。预计2到3天可以完成全流程。</w:t>
      </w:r>
    </w:p>
    <w:p>
      <w:r>
        <w:t>以上是我们三周工作的汇报，谢谢各位老师。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