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B6914" w:sz="48" w:space="1"/>
        </w:pBdr>
        <w:spacing w:after="0" w:before="0" w:line="276" w:lineRule="auto"/>
      </w:pPr>
      <w:r>
        <w:rPr>
          <w:highlight w:val="black"/>
          <w:highlightCs w:val="black"/>
        </w:rPr>
        <w:t xml:space="preserve">  </w:t>
      </w:r>
    </w:p>
    <w:p>
      <w:pPr>
        <w:spacing w:after="480" w:before="0" w:line="276" w:lineRule="auto"/>
      </w:pPr>
      <w:r>
        <w:t xml:space="preserve"/>
      </w:r>
    </w:p>
    <w:p>
      <w:pPr>
        <w:spacing w:after="120" w:before="0" w:line="276" w:lineRule="auto"/>
        <w:jc w:val="center"/>
      </w:pPr>
      <w:r>
        <w:rPr>
          <w:rFonts w:ascii="Georgia" w:cs="Georgia" w:eastAsia="Georgia" w:hAnsi="Georgia"/>
          <w:b/>
          <w:bCs/>
          <w:caps/>
          <w:color w:val="1A1A2E"/>
          <w:sz w:val="48"/>
          <w:szCs w:val="48"/>
        </w:rPr>
        <w:t xml:space="preserve">GENERATIVE AGENT SIMULATION REPORT</w:t>
      </w:r>
    </w:p>
    <w:p>
      <w:pPr>
        <w:spacing w:after="80" w:before="0" w:line="276" w:lineRule="auto"/>
        <w:jc w:val="center"/>
      </w:pPr>
      <w:r>
        <w:rPr>
          <w:rFonts w:ascii="Georgia" w:cs="Georgia" w:eastAsia="Georgia" w:hAnsi="Georgia"/>
          <w:i/>
          <w:iCs/>
          <w:color w:val="8B6914"/>
          <w:sz w:val="30"/>
          <w:szCs w:val="30"/>
        </w:rPr>
        <w:t xml:space="preserve">Lantern Festival Night, Chang'an — Tang Dynasty 742 AD</w:t>
      </w:r>
    </w:p>
    <w:p>
      <w:pPr>
        <w:spacing w:after="600" w:before="0" w:line="276" w:lineRule="auto"/>
        <w:jc w:val="center"/>
      </w:pPr>
      <w:r>
        <w:rPr>
          <w:rFonts w:ascii="Arial" w:cs="Arial" w:eastAsia="Arial" w:hAnsi="Arial"/>
          <w:color w:val="666666"/>
          <w:sz w:val="24"/>
          <w:szCs w:val="24"/>
        </w:rPr>
        <w:t xml:space="preserve">长安西市  ·  元宵节之夜  ·  唐开元三十年</w:t>
      </w:r>
    </w:p>
    <w:p>
      <w:pPr>
        <w:spacing w:after="320" w:before="0" w:line="276" w:lineRule="auto"/>
      </w:pPr>
      <w:r>
        <w:t xml:space="preserve"/>
      </w:r>
    </w:p>
    <w:p>
      <w:pPr>
        <w:pBdr>
          <w:top w:val="single" w:color="C9A96E" w:sz="4" w:space="4"/>
        </w:pBdr>
        <w:spacing w:after="80" w:before="0" w:line="276" w:lineRule="auto"/>
      </w:pPr>
    </w:p>
    <w:p>
      <w:pPr>
        <w:spacing w:after="80" w:before="0" w:line="276" w:lineRule="auto"/>
        <w:jc w:val="center"/>
      </w:pPr>
      <w:r>
        <w:rPr>
          <w:rFonts w:ascii="Arial" w:cs="Arial" w:eastAsia="Arial" w:hAnsi="Arial"/>
          <w:b/>
          <w:bCs/>
          <w:color w:val="666666"/>
          <w:sz w:val="20"/>
          <w:szCs w:val="20"/>
        </w:rPr>
        <w:t xml:space="preserve">Adapted from Stanford Smallville — Generative Agents Framework</w:t>
      </w:r>
    </w:p>
    <w:p>
      <w:pPr>
        <w:spacing w:after="80" w:before="0" w:line="276" w:lineRule="auto"/>
        <w:jc w:val="center"/>
      </w:pPr>
      <w:r>
        <w:rPr>
          <w:rFonts w:ascii="Courier New" w:cs="Courier New" w:eastAsia="Courier New" w:hAnsi="Courier New"/>
          <w:color w:val="666666"/>
          <w:sz w:val="18"/>
          <w:szCs w:val="18"/>
        </w:rPr>
        <w:t xml:space="preserve">Simulation Code: tang_lantern_minimal_20260426_121131</w:t>
      </w:r>
    </w:p>
    <w:p>
      <w:pPr>
        <w:spacing w:after="0" w:before="0" w:line="276" w:lineRule="auto"/>
        <w:jc w:val="center"/>
      </w:pPr>
      <w:r>
        <w:rPr>
          <w:rFonts w:ascii="Arial" w:cs="Arial" w:eastAsia="Arial" w:hAnsi="Arial"/>
          <w:color w:val="666666"/>
          <w:sz w:val="20"/>
          <w:szCs w:val="20"/>
        </w:rPr>
        <w:t xml:space="preserve">200 Steps  ·  3 Agents  ·  MiniMax-M2 LLM  ·  April 26,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8B6914" w:sz="8" w:space="4"/>
        </w:pBdr>
        <w:spacing w:after="160" w:before="360" w:line="276" w:lineRule="auto"/>
      </w:pPr>
      <w:r>
        <w:rPr>
          <w:rFonts w:ascii="Georgia" w:cs="Georgia" w:eastAsia="Georgia" w:hAnsi="Georgia"/>
          <w:b/>
          <w:bCs/>
          <w:color w:val="1A1A2E"/>
        </w:rPr>
        <w:t xml:space="preserve">1.  Historical World Overview</w:t>
      </w:r>
    </w:p>
    <w:p>
      <w:pPr>
        <w:spacing w:after="140" w:before="0" w:line="276" w:lineRule="auto"/>
        <w:jc w:val="both"/>
      </w:pPr>
      <w:r>
        <w:rPr>
          <w:rFonts w:ascii="Arial" w:cs="Arial" w:eastAsia="Arial" w:hAnsi="Arial"/>
          <w:sz w:val="22"/>
          <w:szCs w:val="22"/>
        </w:rPr>
        <w:t xml:space="preserve">This simulation places three generative agents inside the </w:t>
      </w:r>
      <w:r>
        <w:rPr>
          <w:rFonts w:ascii="Arial" w:cs="Arial" w:eastAsia="Arial" w:hAnsi="Arial"/>
          <w:b/>
          <w:bCs/>
          <w:sz w:val="22"/>
          <w:szCs w:val="22"/>
        </w:rPr>
        <w:t xml:space="preserve">Chang'an West Market district (长安西市)</w:t>
      </w:r>
      <w:r>
        <w:rPr>
          <w:rFonts w:ascii="Arial" w:cs="Arial" w:eastAsia="Arial" w:hAnsi="Arial"/>
          <w:sz w:val="22"/>
          <w:szCs w:val="22"/>
        </w:rPr>
        <w:t xml:space="preserve"> of Tang Dynasty China during the </w:t>
      </w:r>
      <w:r>
        <w:rPr>
          <w:rFonts w:ascii="Arial" w:cs="Arial" w:eastAsia="Arial" w:hAnsi="Arial"/>
          <w:b/>
          <w:bCs/>
          <w:sz w:val="22"/>
          <w:szCs w:val="22"/>
        </w:rPr>
        <w:t xml:space="preserve">Lantern Festival (元宵节)</w:t>
      </w:r>
      <w:r>
        <w:rPr>
          <w:rFonts w:ascii="Arial" w:cs="Arial" w:eastAsia="Arial" w:hAnsi="Arial"/>
          <w:sz w:val="22"/>
          <w:szCs w:val="22"/>
        </w:rPr>
        <w:t xml:space="preserve"> on February 15, 742 AD — the thirtieth year of the Kaiyuan reign era of Emperor Xuanzong. The Lantern Festival marked the culmination of the Lunar New Year celebrations, when Chang'an's strict nocturnal curfew was temporarily lifted and the city's inhabitants — imperial officials, merchants, scholars, entertainers, and laborers — mingled freely under the light of thousands of lanterns.</w:t>
      </w:r>
    </w:p>
    <w:p>
      <w:pPr>
        <w:spacing w:after="80" w:before="0" w:line="276" w:lineRule="auto"/>
      </w:pPr>
      <w:r>
        <w:t xml:space="preserve"/>
      </w:r>
    </w:p>
    <w:p>
      <w:pPr>
        <w:spacing w:after="140" w:before="0" w:line="276" w:lineRule="auto"/>
        <w:jc w:val="both"/>
      </w:pPr>
      <w:r>
        <w:rPr>
          <w:rFonts w:ascii="Arial" w:cs="Arial" w:eastAsia="Arial" w:hAnsi="Arial"/>
          <w:sz w:val="22"/>
          <w:szCs w:val="22"/>
        </w:rPr>
        <w:t xml:space="preserve">Chang'an (modern Xi'an) was the largest city on earth in 742 AD, with a population estimated at one million. The West Market (西市) was one of two official commercial zones, legally designated for foreign merchants under the tang legal code. It was the eastern terminus of the Silk Road, where Sogdian, Persian, Indian, and Central Asian traders sold goods alongside Chinese merchants. The social hierarchy of the market was not merely economic — it intersected with ethnicity, examination rank, gender, and guild affiliation.</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Key Locations (Mapped from Smallville)</w:t>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2800"/>
        <w:gridCol w:w="6560"/>
      </w:tblGrid>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明珠茶馆</w:t>
            </w:r>
          </w:p>
        </w:tc>
        <w:tc>
          <w:tcPr>
            <w:tcW w:type="dxa" w:w="6560"/>
            <w:tcMar>
              <w:top w:type="dxa" w:w="80"/>
              <w:left w:type="dxa" w:w="160"/>
              <w:bottom w:type="dxa" w:w="80"/>
              <w:right w:type="dxa" w:w="120"/>
            </w:tcMar>
          </w:tcPr>
          <w:p>
            <w:r>
              <w:rPr>
                <w:rFonts w:ascii="Arial" w:cs="Arial" w:eastAsia="Arial" w:hAnsi="Arial"/>
                <w:sz w:val="20"/>
                <w:szCs w:val="20"/>
              </w:rPr>
              <w:t xml:space="preserve">Tea House (mapped from Hobbs Cafe) — Li Mingzhu's establishment near the West Market, a gathering hub for scholars, merchants, and officials.</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胡姬酒肆</w:t>
            </w:r>
          </w:p>
        </w:tc>
        <w:tc>
          <w:tcPr>
            <w:tcW w:type="dxa" w:w="6560"/>
            <w:tcMar>
              <w:top w:type="dxa" w:w="80"/>
              <w:left w:type="dxa" w:w="160"/>
              <w:bottom w:type="dxa" w:w="80"/>
              <w:right w:type="dxa" w:w="120"/>
            </w:tcMar>
          </w:tcPr>
          <w:p>
            <w:r>
              <w:rPr>
                <w:rFonts w:ascii="Arial" w:cs="Arial" w:eastAsia="Arial" w:hAnsi="Arial"/>
                <w:sz w:val="20"/>
                <w:szCs w:val="20"/>
              </w:rPr>
              <w:t xml:space="preserve">Sogdian Tavern (mapped from The Rose and Crown Pub) — a foreign-run drinking house where Central Asian entertainers performed.</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学子客舍</w:t>
            </w:r>
          </w:p>
        </w:tc>
        <w:tc>
          <w:tcPr>
            <w:tcW w:type="dxa" w:w="6560"/>
            <w:tcMar>
              <w:top w:type="dxa" w:w="80"/>
              <w:left w:type="dxa" w:w="160"/>
              <w:bottom w:type="dxa" w:w="80"/>
              <w:right w:type="dxa" w:w="120"/>
            </w:tcMar>
          </w:tcPr>
          <w:p>
            <w:r>
              <w:rPr>
                <w:rFonts w:ascii="Arial" w:cs="Arial" w:eastAsia="Arial" w:hAnsi="Arial"/>
                <w:sz w:val="20"/>
                <w:szCs w:val="20"/>
              </w:rPr>
              <w:t xml:space="preserve">Scholar's Inn (mapped from Oak Hill College Dorm) — lodging for provincial examination candidates during their stay in the capital.</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长安西市</w:t>
            </w:r>
          </w:p>
        </w:tc>
        <w:tc>
          <w:tcPr>
            <w:tcW w:type="dxa" w:w="6560"/>
            <w:tcMar>
              <w:top w:type="dxa" w:w="80"/>
              <w:left w:type="dxa" w:w="160"/>
              <w:bottom w:type="dxa" w:w="80"/>
              <w:right w:type="dxa" w:w="120"/>
            </w:tcMar>
          </w:tcPr>
          <w:p>
            <w:r>
              <w:rPr>
                <w:rFonts w:ascii="Arial" w:cs="Arial" w:eastAsia="Arial" w:hAnsi="Arial"/>
                <w:sz w:val="20"/>
                <w:szCs w:val="20"/>
              </w:rPr>
              <w:t xml:space="preserve">Chang'an West Market District (mapped from The Ville) — the commercial and social heart of the simulation environment.</w:t>
            </w:r>
          </w:p>
        </w:tc>
      </w:tr>
    </w:tbl>
    <w:p>
      <w:pPr>
        <w:spacing w:after="160" w:before="0" w:line="276" w:lineRule="auto"/>
      </w:pPr>
      <w:r>
        <w:t xml:space="preserve"/>
      </w:r>
    </w:p>
    <w:p>
      <w:pPr>
        <w:pStyle w:val="Heading2"/>
        <w:spacing w:after="100" w:before="240" w:line="276" w:lineRule="auto"/>
      </w:pPr>
      <w:r>
        <w:rPr>
          <w:rFonts w:ascii="Georgia" w:cs="Georgia" w:eastAsia="Georgia" w:hAnsi="Georgia"/>
          <w:b/>
          <w:bCs/>
          <w:color w:val="8B6914"/>
        </w:rPr>
        <w:t xml:space="preserve">Design Rationale</w:t>
      </w:r>
    </w:p>
    <w:p>
      <w:pPr>
        <w:spacing w:after="140" w:before="0" w:line="276" w:lineRule="auto"/>
        <w:jc w:val="both"/>
      </w:pPr>
      <w:r>
        <w:rPr>
          <w:rFonts w:ascii="Arial" w:cs="Arial" w:eastAsia="Arial" w:hAnsi="Arial"/>
          <w:sz w:val="22"/>
          <w:szCs w:val="22"/>
        </w:rPr>
        <w:t xml:space="preserve">The Lantern Festival was selected because it creates a moment of exceptional social fluidity: the curfew is lifted, status barriers are temporarily lowered, and characters who would normally occupy separate social worlds — a tea house proprietress, a provincial scholar, and a Sogdian merchant — have plausible reasons to be in the same space at the same time. The scenario also allows the LLM to exercise historically specific knowledge of Tang Dynasty institutions: the imperial examination system (科举), Silk Road commerce, and the social dynamics of Chang'an's cosmopolitan merchant class.</w:t>
      </w:r>
    </w:p>
    <w:p>
      <w:pPr>
        <w:spacing w:after="160" w:before="0" w:line="276" w:lineRule="auto"/>
      </w:pPr>
      <w:r>
        <w:t xml:space="preserve"/>
      </w:r>
    </w:p>
    <w:p>
      <w:r>
        <w:br w:type="page"/>
      </w:r>
    </w:p>
    <w:p>
      <w:pPr>
        <w:pStyle w:val="Heading1"/>
        <w:pBdr>
          <w:bottom w:val="single" w:color="8B6914" w:sz="8" w:space="4"/>
        </w:pBdr>
        <w:spacing w:after="160" w:before="360" w:line="276" w:lineRule="auto"/>
      </w:pPr>
      <w:r>
        <w:rPr>
          <w:rFonts w:ascii="Georgia" w:cs="Georgia" w:eastAsia="Georgia" w:hAnsi="Georgia"/>
          <w:b/>
          <w:bCs/>
          <w:color w:val="1A1A2E"/>
        </w:rPr>
        <w:t xml:space="preserve">2.  Agent Setup</w:t>
      </w:r>
    </w:p>
    <w:p>
      <w:pPr>
        <w:spacing w:after="140" w:before="0" w:line="276" w:lineRule="auto"/>
        <w:jc w:val="both"/>
      </w:pPr>
      <w:r>
        <w:rPr>
          <w:rFonts w:ascii="Arial" w:cs="Arial" w:eastAsia="Arial" w:hAnsi="Arial"/>
          <w:sz w:val="22"/>
          <w:szCs w:val="22"/>
        </w:rPr>
        <w:t xml:space="preserve">Three agents were instantiated from Smallville's base templates, fully reskinned with Tang Dynasty identities, memories, and goals. Each agent's bootstrap memory was hand-crafted with twelve temporally-stamped memory nodes designed to ground their decision-making in historically plausible priorities.</w:t>
      </w:r>
    </w:p>
    <w:p>
      <w:pPr>
        <w:spacing w:after="80" w:before="0" w:line="276" w:lineRule="auto"/>
      </w:pPr>
      <w:r>
        <w:t xml:space="preserve"/>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2200"/>
        <w:gridCol w:w="7160"/>
      </w:tblGrid>
      <w:tr>
        <w:tc>
          <w:tcPr>
            <w:tcW w:type="dxa" w:w="9360"/>
            <w:gridSpan w:val="2"/>
            <w:shd w:fill="1A1A2E" w:val="clear"/>
            <w:tcMar>
              <w:top w:type="dxa" w:w="100"/>
              <w:left w:type="dxa" w:w="200"/>
              <w:bottom w:type="dxa" w:w="100"/>
              <w:right w:type="dxa" w:w="200"/>
            </w:tcMar>
          </w:tcPr>
          <w:p>
            <w:pPr>
              <w:jc w:val="left"/>
            </w:pPr>
            <w:r>
              <w:rPr>
                <w:rFonts w:ascii="Georgia" w:cs="Georgia" w:eastAsia="Georgia" w:hAnsi="Georgia"/>
                <w:b/>
                <w:bCs/>
                <w:color w:val="FFFFFF"/>
                <w:sz w:val="24"/>
                <w:szCs w:val="24"/>
              </w:rPr>
              <w:t xml:space="preserve">Li Mingzhu  </w:t>
            </w:r>
            <w:r>
              <w:rPr>
                <w:rFonts w:ascii="Georgia" w:cs="Georgia" w:eastAsia="Georgia" w:hAnsi="Georgia"/>
                <w:color w:val="C9A96E"/>
                <w:sz w:val="22"/>
                <w:szCs w:val="22"/>
              </w:rPr>
              <w:t xml:space="preserve">(李明珠)  </w:t>
            </w:r>
            <w:r>
              <w:rPr>
                <w:rFonts w:ascii="Arial" w:cs="Arial" w:eastAsia="Arial" w:hAnsi="Arial"/>
                <w:color w:val="E8E0D0"/>
                <w:sz w:val="20"/>
                <w:szCs w:val="20"/>
              </w:rPr>
              <w:t xml:space="preserve">— Tea House Owner</w:t>
            </w:r>
          </w:p>
        </w:tc>
      </w:tr>
      <w:tr>
        <w:tc>
          <w:tcPr>
            <w:tcW w:type="dxa" w:w="2200"/>
            <w:shd w:fill="E8E0D0" w:val="clear"/>
            <w:tcMar>
              <w:top w:type="dxa" w:w="60"/>
              <w:left w:type="dxa" w:w="160"/>
              <w:bottom w:type="dxa" w:w="60"/>
              <w:right w:type="dxa" w:w="100"/>
            </w:tcMar>
          </w:tcPr>
          <w:p>
            <w:r>
              <w:rPr>
                <w:rFonts w:ascii="Arial" w:cs="Arial" w:eastAsia="Arial" w:hAnsi="Arial"/>
                <w:b/>
                <w:bCs/>
                <w:color w:val="1A1A2E"/>
                <w:sz w:val="20"/>
                <w:szCs w:val="20"/>
              </w:rPr>
              <w:t xml:space="preserve">Age</w:t>
            </w:r>
          </w:p>
        </w:tc>
        <w:tc>
          <w:tcPr>
            <w:tcW w:type="dxa" w:w="7160"/>
            <w:tcMar>
              <w:top w:type="dxa" w:w="60"/>
              <w:left w:type="dxa" w:w="160"/>
              <w:bottom w:type="dxa" w:w="60"/>
              <w:right w:type="dxa" w:w="100"/>
            </w:tcMar>
          </w:tcPr>
          <w:p>
            <w:r>
              <w:rPr>
                <w:rFonts w:ascii="Arial" w:cs="Arial" w:eastAsia="Arial" w:hAnsi="Arial"/>
                <w:sz w:val="20"/>
                <w:szCs w:val="20"/>
              </w:rPr>
              <w:t xml:space="preserve">32</w:t>
            </w:r>
          </w:p>
        </w:tc>
      </w:tr>
      <w:tr>
        <w:tc>
          <w:tcPr>
            <w:tcW w:type="dxa" w:w="2200"/>
            <w:shd w:fill="E8E0D0" w:val="clear"/>
            <w:tcMar>
              <w:top w:type="dxa" w:w="60"/>
              <w:left w:type="dxa" w:w="160"/>
              <w:bottom w:type="dxa" w:w="60"/>
              <w:right w:type="dxa" w:w="100"/>
            </w:tcMar>
          </w:tcPr>
          <w:p>
            <w:r>
              <w:rPr>
                <w:rFonts w:ascii="Arial" w:cs="Arial" w:eastAsia="Arial" w:hAnsi="Arial"/>
                <w:b/>
                <w:bCs/>
                <w:color w:val="1A1A2E"/>
                <w:sz w:val="20"/>
                <w:szCs w:val="20"/>
              </w:rPr>
              <w:t xml:space="preserve">Personality</w:t>
            </w:r>
          </w:p>
        </w:tc>
        <w:tc>
          <w:tcPr>
            <w:tcW w:type="dxa" w:w="7160"/>
            <w:tcMar>
              <w:top w:type="dxa" w:w="60"/>
              <w:left w:type="dxa" w:w="160"/>
              <w:bottom w:type="dxa" w:w="60"/>
              <w:right w:type="dxa" w:w="100"/>
            </w:tcMar>
          </w:tcPr>
          <w:p>
            <w:r>
              <w:rPr>
                <w:rFonts w:ascii="Arial" w:cs="Arial" w:eastAsia="Arial" w:hAnsi="Arial"/>
                <w:sz w:val="20"/>
                <w:szCs w:val="20"/>
              </w:rPr>
              <w:t xml:space="preserve">Warm, observant, practical; careful with money but generous to regulars.</w:t>
            </w:r>
          </w:p>
        </w:tc>
      </w:tr>
      <w:tr>
        <w:tc>
          <w:tcPr>
            <w:tcW w:type="dxa" w:w="2200"/>
            <w:shd w:fill="E8E0D0" w:val="clear"/>
            <w:tcMar>
              <w:top w:type="dxa" w:w="60"/>
              <w:left w:type="dxa" w:w="160"/>
              <w:bottom w:type="dxa" w:w="60"/>
              <w:right w:type="dxa" w:w="100"/>
            </w:tcMar>
          </w:tcPr>
          <w:p>
            <w:r>
              <w:rPr>
                <w:rFonts w:ascii="Arial" w:cs="Arial" w:eastAsia="Arial" w:hAnsi="Arial"/>
                <w:b/>
                <w:bCs/>
                <w:color w:val="1A1A2E"/>
                <w:sz w:val="20"/>
                <w:szCs w:val="20"/>
              </w:rPr>
              <w:t xml:space="preserve">Primary Goal</w:t>
            </w:r>
          </w:p>
        </w:tc>
        <w:tc>
          <w:tcPr>
            <w:tcW w:type="dxa" w:w="7160"/>
            <w:tcMar>
              <w:top w:type="dxa" w:w="60"/>
              <w:left w:type="dxa" w:w="160"/>
              <w:bottom w:type="dxa" w:w="60"/>
              <w:right w:type="dxa" w:w="100"/>
            </w:tcMar>
          </w:tcPr>
          <w:p>
            <w:r>
              <w:rPr>
                <w:rFonts w:ascii="Arial" w:cs="Arial" w:eastAsia="Arial" w:hAnsi="Arial"/>
                <w:sz w:val="20"/>
                <w:szCs w:val="20"/>
              </w:rPr>
              <w:t xml:space="preserve">Host a successful Lantern Festival evening gathering: arrange tea, sweet cakes, extra lamps, seating; draw customers in after sunset.</w:t>
            </w:r>
          </w:p>
        </w:tc>
      </w:tr>
    </w:tbl>
    <w:p>
      <w:pPr>
        <w:spacing w:after="160" w:before="0" w:line="276" w:lineRule="auto"/>
      </w:pPr>
      <w:r>
        <w:t xml:space="preserve"/>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2200"/>
        <w:gridCol w:w="7160"/>
      </w:tblGrid>
      <w:tr>
        <w:tc>
          <w:tcPr>
            <w:tcW w:type="dxa" w:w="9360"/>
            <w:gridSpan w:val="2"/>
            <w:shd w:fill="1A1A2E" w:val="clear"/>
            <w:tcMar>
              <w:top w:type="dxa" w:w="100"/>
              <w:left w:type="dxa" w:w="200"/>
              <w:bottom w:type="dxa" w:w="100"/>
              <w:right w:type="dxa" w:w="200"/>
            </w:tcMar>
          </w:tcPr>
          <w:p>
            <w:pPr>
              <w:jc w:val="left"/>
            </w:pPr>
            <w:r>
              <w:rPr>
                <w:rFonts w:ascii="Georgia" w:cs="Georgia" w:eastAsia="Georgia" w:hAnsi="Georgia"/>
                <w:b/>
                <w:bCs/>
                <w:color w:val="FFFFFF"/>
                <w:sz w:val="24"/>
                <w:szCs w:val="24"/>
              </w:rPr>
              <w:t xml:space="preserve">Chen Zian  </w:t>
            </w:r>
            <w:r>
              <w:rPr>
                <w:rFonts w:ascii="Georgia" w:cs="Georgia" w:eastAsia="Georgia" w:hAnsi="Georgia"/>
                <w:color w:val="C9A96E"/>
                <w:sz w:val="22"/>
                <w:szCs w:val="22"/>
              </w:rPr>
              <w:t xml:space="preserve">(陈子安)  </w:t>
            </w:r>
            <w:r>
              <w:rPr>
                <w:rFonts w:ascii="Arial" w:cs="Arial" w:eastAsia="Arial" w:hAnsi="Arial"/>
                <w:color w:val="E8E0D0"/>
                <w:sz w:val="20"/>
                <w:szCs w:val="20"/>
              </w:rPr>
              <w:t xml:space="preserve">— Imperial Examination Candidate</w:t>
            </w:r>
          </w:p>
        </w:tc>
      </w:tr>
      <w:tr>
        <w:tc>
          <w:tcPr>
            <w:tcW w:type="dxa" w:w="2200"/>
            <w:shd w:fill="E8E0D0" w:val="clear"/>
            <w:tcMar>
              <w:top w:type="dxa" w:w="60"/>
              <w:left w:type="dxa" w:w="160"/>
              <w:bottom w:type="dxa" w:w="60"/>
              <w:right w:type="dxa" w:w="100"/>
            </w:tcMar>
          </w:tcPr>
          <w:p>
            <w:r>
              <w:rPr>
                <w:rFonts w:ascii="Arial" w:cs="Arial" w:eastAsia="Arial" w:hAnsi="Arial"/>
                <w:b/>
                <w:bCs/>
                <w:color w:val="1A1A2E"/>
                <w:sz w:val="20"/>
                <w:szCs w:val="20"/>
              </w:rPr>
              <w:t xml:space="preserve">Age</w:t>
            </w:r>
          </w:p>
        </w:tc>
        <w:tc>
          <w:tcPr>
            <w:tcW w:type="dxa" w:w="7160"/>
            <w:tcMar>
              <w:top w:type="dxa" w:w="60"/>
              <w:left w:type="dxa" w:w="160"/>
              <w:bottom w:type="dxa" w:w="60"/>
              <w:right w:type="dxa" w:w="100"/>
            </w:tcMar>
          </w:tcPr>
          <w:p>
            <w:r>
              <w:rPr>
                <w:rFonts w:ascii="Arial" w:cs="Arial" w:eastAsia="Arial" w:hAnsi="Arial"/>
                <w:sz w:val="20"/>
                <w:szCs w:val="20"/>
              </w:rPr>
              <w:t xml:space="preserve">24</w:t>
            </w:r>
          </w:p>
        </w:tc>
      </w:tr>
      <w:tr>
        <w:tc>
          <w:tcPr>
            <w:tcW w:type="dxa" w:w="2200"/>
            <w:shd w:fill="E8E0D0" w:val="clear"/>
            <w:tcMar>
              <w:top w:type="dxa" w:w="60"/>
              <w:left w:type="dxa" w:w="160"/>
              <w:bottom w:type="dxa" w:w="60"/>
              <w:right w:type="dxa" w:w="100"/>
            </w:tcMar>
          </w:tcPr>
          <w:p>
            <w:r>
              <w:rPr>
                <w:rFonts w:ascii="Arial" w:cs="Arial" w:eastAsia="Arial" w:hAnsi="Arial"/>
                <w:b/>
                <w:bCs/>
                <w:color w:val="1A1A2E"/>
                <w:sz w:val="20"/>
                <w:szCs w:val="20"/>
              </w:rPr>
              <w:t xml:space="preserve">Personality</w:t>
            </w:r>
          </w:p>
        </w:tc>
        <w:tc>
          <w:tcPr>
            <w:tcW w:type="dxa" w:w="7160"/>
            <w:tcMar>
              <w:top w:type="dxa" w:w="60"/>
              <w:left w:type="dxa" w:w="160"/>
              <w:bottom w:type="dxa" w:w="60"/>
              <w:right w:type="dxa" w:w="100"/>
            </w:tcMar>
          </w:tcPr>
          <w:p>
            <w:r>
              <w:rPr>
                <w:rFonts w:ascii="Arial" w:cs="Arial" w:eastAsia="Arial" w:hAnsi="Arial"/>
                <w:sz w:val="20"/>
                <w:szCs w:val="20"/>
              </w:rPr>
              <w:t xml:space="preserve">Ambitious, thoughtful, disciplined; prone to self-doubt about literary elegance.</w:t>
            </w:r>
          </w:p>
        </w:tc>
      </w:tr>
      <w:tr>
        <w:tc>
          <w:tcPr>
            <w:tcW w:type="dxa" w:w="2200"/>
            <w:shd w:fill="E8E0D0" w:val="clear"/>
            <w:tcMar>
              <w:top w:type="dxa" w:w="60"/>
              <w:left w:type="dxa" w:w="160"/>
              <w:bottom w:type="dxa" w:w="60"/>
              <w:right w:type="dxa" w:w="100"/>
            </w:tcMar>
          </w:tcPr>
          <w:p>
            <w:r>
              <w:rPr>
                <w:rFonts w:ascii="Arial" w:cs="Arial" w:eastAsia="Arial" w:hAnsi="Arial"/>
                <w:b/>
                <w:bCs/>
                <w:color w:val="1A1A2E"/>
                <w:sz w:val="20"/>
                <w:szCs w:val="20"/>
              </w:rPr>
              <w:t xml:space="preserve">Primary Goal</w:t>
            </w:r>
          </w:p>
        </w:tc>
        <w:tc>
          <w:tcPr>
            <w:tcW w:type="dxa" w:w="7160"/>
            <w:tcMar>
              <w:top w:type="dxa" w:w="60"/>
              <w:left w:type="dxa" w:w="160"/>
              <w:bottom w:type="dxa" w:w="60"/>
              <w:right w:type="dxa" w:w="100"/>
            </w:tcMar>
          </w:tcPr>
          <w:p>
            <w:r>
              <w:rPr>
                <w:rFonts w:ascii="Arial" w:cs="Arial" w:eastAsia="Arial" w:hAnsi="Arial"/>
                <w:sz w:val="20"/>
                <w:szCs w:val="20"/>
              </w:rPr>
              <w:t xml:space="preserve">Pass the imperial examination by reviewing classical texts, practicing poetry, and seeking advice on court politics and essay style.</w:t>
            </w:r>
          </w:p>
        </w:tc>
      </w:tr>
    </w:tbl>
    <w:p>
      <w:pPr>
        <w:spacing w:after="160" w:before="0" w:line="276" w:lineRule="auto"/>
      </w:pPr>
      <w:r>
        <w:t xml:space="preserve"/>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2200"/>
        <w:gridCol w:w="7160"/>
      </w:tblGrid>
      <w:tr>
        <w:tc>
          <w:tcPr>
            <w:tcW w:type="dxa" w:w="9360"/>
            <w:gridSpan w:val="2"/>
            <w:shd w:fill="1A1A2E" w:val="clear"/>
            <w:tcMar>
              <w:top w:type="dxa" w:w="100"/>
              <w:left w:type="dxa" w:w="200"/>
              <w:bottom w:type="dxa" w:w="100"/>
              <w:right w:type="dxa" w:w="200"/>
            </w:tcMar>
          </w:tcPr>
          <w:p>
            <w:pPr>
              <w:jc w:val="left"/>
            </w:pPr>
            <w:r>
              <w:rPr>
                <w:rFonts w:ascii="Georgia" w:cs="Georgia" w:eastAsia="Georgia" w:hAnsi="Georgia"/>
                <w:b/>
                <w:bCs/>
                <w:color w:val="FFFFFF"/>
                <w:sz w:val="24"/>
                <w:szCs w:val="24"/>
              </w:rPr>
              <w:t xml:space="preserve">An Lushan  </w:t>
            </w:r>
            <w:r>
              <w:rPr>
                <w:rFonts w:ascii="Georgia" w:cs="Georgia" w:eastAsia="Georgia" w:hAnsi="Georgia"/>
                <w:color w:val="C9A96E"/>
                <w:sz w:val="22"/>
                <w:szCs w:val="22"/>
              </w:rPr>
              <w:t xml:space="preserve">(安禄山)  </w:t>
            </w:r>
            <w:r>
              <w:rPr>
                <w:rFonts w:ascii="Arial" w:cs="Arial" w:eastAsia="Arial" w:hAnsi="Arial"/>
                <w:color w:val="E8E0D0"/>
                <w:sz w:val="20"/>
                <w:szCs w:val="20"/>
              </w:rPr>
              <w:t xml:space="preserve">— Sogdian Silk Road Merchant</w:t>
            </w:r>
          </w:p>
        </w:tc>
      </w:tr>
      <w:tr>
        <w:tc>
          <w:tcPr>
            <w:tcW w:type="dxa" w:w="2200"/>
            <w:shd w:fill="E8E0D0" w:val="clear"/>
            <w:tcMar>
              <w:top w:type="dxa" w:w="60"/>
              <w:left w:type="dxa" w:w="160"/>
              <w:bottom w:type="dxa" w:w="60"/>
              <w:right w:type="dxa" w:w="100"/>
            </w:tcMar>
          </w:tcPr>
          <w:p>
            <w:r>
              <w:rPr>
                <w:rFonts w:ascii="Arial" w:cs="Arial" w:eastAsia="Arial" w:hAnsi="Arial"/>
                <w:b/>
                <w:bCs/>
                <w:color w:val="1A1A2E"/>
                <w:sz w:val="20"/>
                <w:szCs w:val="20"/>
              </w:rPr>
              <w:t xml:space="preserve">Age</w:t>
            </w:r>
          </w:p>
        </w:tc>
        <w:tc>
          <w:tcPr>
            <w:tcW w:type="dxa" w:w="7160"/>
            <w:tcMar>
              <w:top w:type="dxa" w:w="60"/>
              <w:left w:type="dxa" w:w="160"/>
              <w:bottom w:type="dxa" w:w="60"/>
              <w:right w:type="dxa" w:w="100"/>
            </w:tcMar>
          </w:tcPr>
          <w:p>
            <w:r>
              <w:rPr>
                <w:rFonts w:ascii="Arial" w:cs="Arial" w:eastAsia="Arial" w:hAnsi="Arial"/>
                <w:sz w:val="20"/>
                <w:szCs w:val="20"/>
              </w:rPr>
              <w:t xml:space="preserve">38</w:t>
            </w:r>
          </w:p>
        </w:tc>
      </w:tr>
      <w:tr>
        <w:tc>
          <w:tcPr>
            <w:tcW w:type="dxa" w:w="2200"/>
            <w:shd w:fill="E8E0D0" w:val="clear"/>
            <w:tcMar>
              <w:top w:type="dxa" w:w="60"/>
              <w:left w:type="dxa" w:w="160"/>
              <w:bottom w:type="dxa" w:w="60"/>
              <w:right w:type="dxa" w:w="100"/>
            </w:tcMar>
          </w:tcPr>
          <w:p>
            <w:r>
              <w:rPr>
                <w:rFonts w:ascii="Arial" w:cs="Arial" w:eastAsia="Arial" w:hAnsi="Arial"/>
                <w:b/>
                <w:bCs/>
                <w:color w:val="1A1A2E"/>
                <w:sz w:val="20"/>
                <w:szCs w:val="20"/>
              </w:rPr>
              <w:t xml:space="preserve">Personality</w:t>
            </w:r>
          </w:p>
        </w:tc>
        <w:tc>
          <w:tcPr>
            <w:tcW w:type="dxa" w:w="7160"/>
            <w:tcMar>
              <w:top w:type="dxa" w:w="60"/>
              <w:left w:type="dxa" w:w="160"/>
              <w:bottom w:type="dxa" w:w="60"/>
              <w:right w:type="dxa" w:w="100"/>
            </w:tcMar>
          </w:tcPr>
          <w:p>
            <w:r>
              <w:rPr>
                <w:rFonts w:ascii="Arial" w:cs="Arial" w:eastAsia="Arial" w:hAnsi="Arial"/>
                <w:sz w:val="20"/>
                <w:szCs w:val="20"/>
              </w:rPr>
              <w:t xml:space="preserve">Shrewd, sociable, adaptive; respects Tang law while always alert to profitable opportunities.</w:t>
            </w:r>
          </w:p>
        </w:tc>
      </w:tr>
      <w:tr>
        <w:tc>
          <w:tcPr>
            <w:tcW w:type="dxa" w:w="2200"/>
            <w:shd w:fill="E8E0D0" w:val="clear"/>
            <w:tcMar>
              <w:top w:type="dxa" w:w="60"/>
              <w:left w:type="dxa" w:w="160"/>
              <w:bottom w:type="dxa" w:w="60"/>
              <w:right w:type="dxa" w:w="100"/>
            </w:tcMar>
          </w:tcPr>
          <w:p>
            <w:r>
              <w:rPr>
                <w:rFonts w:ascii="Arial" w:cs="Arial" w:eastAsia="Arial" w:hAnsi="Arial"/>
                <w:b/>
                <w:bCs/>
                <w:color w:val="1A1A2E"/>
                <w:sz w:val="20"/>
                <w:szCs w:val="20"/>
              </w:rPr>
              <w:t xml:space="preserve">Primary Goal</w:t>
            </w:r>
          </w:p>
        </w:tc>
        <w:tc>
          <w:tcPr>
            <w:tcW w:type="dxa" w:w="7160"/>
            <w:tcMar>
              <w:top w:type="dxa" w:w="60"/>
              <w:left w:type="dxa" w:w="160"/>
              <w:bottom w:type="dxa" w:w="60"/>
              <w:right w:type="dxa" w:w="100"/>
            </w:tcMar>
          </w:tcPr>
          <w:p>
            <w:r>
              <w:rPr>
                <w:rFonts w:ascii="Arial" w:cs="Arial" w:eastAsia="Arial" w:hAnsi="Arial"/>
                <w:sz w:val="20"/>
                <w:szCs w:val="20"/>
              </w:rPr>
              <w:t xml:space="preserve">Sell a new shipment of foreign glass cups and aromatic spices at West Market; secure reliable local partners before the caravan departs.</w:t>
            </w:r>
          </w:p>
        </w:tc>
      </w:tr>
    </w:tbl>
    <w:p>
      <w:pPr>
        <w:spacing w:after="160" w:before="0" w:line="276" w:lineRule="auto"/>
      </w:pPr>
      <w:r>
        <w:t xml:space="preserve"/>
      </w:r>
    </w:p>
    <w:p>
      <w:pPr>
        <w:pStyle w:val="Heading2"/>
        <w:spacing w:after="100" w:before="240" w:line="276" w:lineRule="auto"/>
      </w:pPr>
      <w:r>
        <w:rPr>
          <w:rFonts w:ascii="Georgia" w:cs="Georgia" w:eastAsia="Georgia" w:hAnsi="Georgia"/>
          <w:b/>
          <w:bCs/>
          <w:color w:val="8B6914"/>
        </w:rPr>
        <w:t xml:space="preserve">Memory Design</w:t>
      </w:r>
    </w:p>
    <w:p>
      <w:pPr>
        <w:spacing w:after="140" w:before="0" w:line="276" w:lineRule="auto"/>
        <w:jc w:val="both"/>
      </w:pPr>
      <w:r>
        <w:rPr>
          <w:rFonts w:ascii="Arial" w:cs="Arial" w:eastAsia="Arial" w:hAnsi="Arial"/>
          <w:sz w:val="22"/>
          <w:szCs w:val="22"/>
        </w:rPr>
        <w:t xml:space="preserve">Each agent was seeded with twelve episodic memory nodes covering personal history, social knowledge, and event-specific preparation. Memory nodes were embedded using a deterministic hash-based embedding (MiniMax-SHA256 local embedder) to avoid reliance on an external embedding API. This approach ensured reproducibility but sacrifices semantic accuracy compared to a neural embedding model.</w:t>
      </w:r>
    </w:p>
    <w:p>
      <w:pPr>
        <w:spacing w:after="160" w:before="0" w:line="276" w:lineRule="auto"/>
      </w:pPr>
      <w:r>
        <w:t xml:space="preserve"/>
      </w:r>
    </w:p>
    <w:p>
      <w:r>
        <w:br w:type="page"/>
      </w:r>
    </w:p>
    <w:p>
      <w:pPr>
        <w:pStyle w:val="Heading1"/>
        <w:pBdr>
          <w:bottom w:val="single" w:color="8B6914" w:sz="8" w:space="4"/>
        </w:pBdr>
        <w:spacing w:after="160" w:before="360" w:line="276" w:lineRule="auto"/>
      </w:pPr>
      <w:r>
        <w:rPr>
          <w:rFonts w:ascii="Georgia" w:cs="Georgia" w:eastAsia="Georgia" w:hAnsi="Georgia"/>
          <w:b/>
          <w:bCs/>
          <w:color w:val="1A1A2E"/>
        </w:rPr>
        <w:t xml:space="preserve">3.  Behavior Documentation</w:t>
      </w:r>
    </w:p>
    <w:p>
      <w:pPr>
        <w:spacing w:after="140" w:before="0" w:line="276" w:lineRule="auto"/>
        <w:jc w:val="both"/>
      </w:pPr>
      <w:r>
        <w:rPr>
          <w:rFonts w:ascii="Arial" w:cs="Arial" w:eastAsia="Arial" w:hAnsi="Arial"/>
          <w:sz w:val="22"/>
          <w:szCs w:val="22"/>
        </w:rPr>
        <w:t xml:space="preserve">The simulation ran </w:t>
      </w:r>
      <w:r>
        <w:rPr>
          <w:rFonts w:ascii="Arial" w:cs="Arial" w:eastAsia="Arial" w:hAnsi="Arial"/>
          <w:b/>
          <w:bCs/>
          <w:sz w:val="22"/>
          <w:szCs w:val="22"/>
        </w:rPr>
        <w:t xml:space="preserve">200 steps</w:t>
      </w:r>
      <w:r>
        <w:rPr>
          <w:rFonts w:ascii="Arial" w:cs="Arial" w:eastAsia="Arial" w:hAnsi="Arial"/>
          <w:sz w:val="22"/>
          <w:szCs w:val="22"/>
        </w:rPr>
        <w:t xml:space="preserve"> at 10 seconds of simulated time per step, covering the in-world period from </w:t>
      </w:r>
      <w:r>
        <w:rPr>
          <w:rFonts w:ascii="Arial" w:cs="Arial" w:eastAsia="Arial" w:hAnsi="Arial"/>
          <w:b/>
          <w:bCs/>
          <w:sz w:val="22"/>
          <w:szCs w:val="22"/>
        </w:rPr>
        <w:t xml:space="preserve">18:00:00 to 18:33:10</w:t>
      </w:r>
      <w:r>
        <w:rPr>
          <w:rFonts w:ascii="Arial" w:cs="Arial" w:eastAsia="Arial" w:hAnsi="Arial"/>
          <w:sz w:val="22"/>
          <w:szCs w:val="22"/>
        </w:rPr>
        <w:t xml:space="preserve"> on February 15, 742 AD. Below are the three primary behavioral observations derived from the movement logs, conversation logs, and timeline data.</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Observation 1 — Persistent Sleep State (Steps 0–44, 145–199)</w:t>
      </w:r>
    </w:p>
    <w:p>
      <w:pPr>
        <w:spacing w:after="140" w:before="0" w:line="276" w:lineRule="auto"/>
        <w:jc w:val="both"/>
      </w:pPr>
      <w:r>
        <w:rPr>
          <w:rFonts w:ascii="Arial" w:cs="Arial" w:eastAsia="Arial" w:hAnsi="Arial"/>
          <w:b/>
          <w:bCs/>
          <w:sz w:val="22"/>
          <w:szCs w:val="22"/>
        </w:rPr>
        <w:t xml:space="preserve">What happened: </w:t>
      </w:r>
      <w:r>
        <w:rPr>
          <w:rFonts w:ascii="Arial" w:cs="Arial" w:eastAsia="Arial" w:hAnsi="Arial"/>
          <w:sz w:val="22"/>
          <w:szCs w:val="22"/>
        </w:rPr>
        <w:t xml:space="preserve">All three agents spent the first 44 steps (Steps 0–44, 18:00–18:07) in a </w:t>
      </w:r>
      <w:r>
        <w:rPr>
          <w:rFonts w:ascii="Arial" w:cs="Arial" w:eastAsia="Arial" w:hAnsi="Arial"/>
          <w:i/>
          <w:iCs/>
          <w:sz w:val="22"/>
          <w:szCs w:val="22"/>
        </w:rPr>
        <w:t xml:space="preserve">sleep</w:t>
      </w:r>
      <w:r>
        <w:rPr>
          <w:rFonts w:ascii="Arial" w:cs="Arial" w:eastAsia="Arial" w:hAnsi="Arial"/>
          <w:sz w:val="22"/>
          <w:szCs w:val="22"/>
        </w:rPr>
        <w:t xml:space="preserve"> state, physically navigating through the tile map but performing no goal-directed actions. Li Mingzhu remained asleep throughout the entire 200-step run. Chen Zian and An Lushan returned to an asleep state from Step 145 onward (labeled "on the way to aslee" — a truncation artifact from the action description pipeline).</w:t>
      </w:r>
    </w:p>
    <w:p>
      <w:pPr>
        <w:spacing w:after="80" w:before="0" w:line="276" w:lineRule="auto"/>
      </w:pPr>
      <w:r>
        <w:t xml:space="preserve"/>
      </w:r>
    </w:p>
    <w:p>
      <w:pPr>
        <w:spacing w:after="140" w:before="0" w:line="276" w:lineRule="auto"/>
        <w:jc w:val="both"/>
      </w:pPr>
      <w:r>
        <w:rPr>
          <w:rFonts w:ascii="Arial" w:cs="Arial" w:eastAsia="Arial" w:hAnsi="Arial"/>
          <w:sz w:val="22"/>
          <w:szCs w:val="22"/>
        </w:rPr>
        <w:t xml:space="preserve">Sample log entries (Steps 0–3):</w:t>
      </w:r>
    </w:p>
    <w:p>
      <w:pPr>
        <w:pBdr>
          <w:left w:val="single" w:color="8B6914" w:sz="12" w:space="8"/>
        </w:pBdr>
        <w:spacing w:after="80" w:before="80" w:line="276" w:lineRule="auto"/>
        <w:ind w:left="720" w:right="720"/>
        <w:jc w:val="both"/>
      </w:pPr>
      <w:r>
        <w:rPr>
          <w:rFonts w:ascii="Georgia" w:cs="Georgia" w:eastAsia="Georgia" w:hAnsi="Georgia"/>
          <w:i/>
          <w:iCs/>
          <w:color w:val="444444"/>
          <w:sz w:val="20"/>
          <w:szCs w:val="20"/>
        </w:rPr>
        <w:t xml:space="preserve">18:00:00  Li Mingzhu → asleep @ Isabella Rodriguez's apartment: unspecified spot [73, 14]
18:00:00  Chen Zian → asleep @ Dorm for Oak Hill College: common room [123, 56]
18:00:00  An Lushan → asleep @ Dorm for Oak Hill College: common room [126, 46]</w:t>
      </w:r>
    </w:p>
    <w:p>
      <w:pPr>
        <w:spacing w:after="80" w:before="0" w:line="276" w:lineRule="auto"/>
      </w:pPr>
      <w:r>
        <w:t xml:space="preserve"/>
      </w:r>
    </w:p>
    <w:p>
      <w:pPr>
        <w:spacing w:after="140" w:before="0" w:line="276" w:lineRule="auto"/>
        <w:jc w:val="both"/>
      </w:pPr>
      <w:r>
        <w:rPr>
          <w:rFonts w:ascii="Arial" w:cs="Arial" w:eastAsia="Arial" w:hAnsi="Arial"/>
          <w:b/>
          <w:bCs/>
          <w:sz w:val="22"/>
          <w:szCs w:val="22"/>
        </w:rPr>
        <w:t xml:space="preserve">Significance: </w:t>
      </w:r>
      <w:r>
        <w:rPr>
          <w:rFonts w:ascii="Arial" w:cs="Arial" w:eastAsia="Arial" w:hAnsi="Arial"/>
          <w:sz w:val="22"/>
          <w:szCs w:val="22"/>
        </w:rPr>
        <w:t xml:space="preserve">The agents' internal daily schedules, inherited from the Smallville base simulation (which originally modeled a contemporary American college town), defaulted to sleep at 18:00. Despite the Lantern Festival context — in which Li Mingzhu's explicit goal was to host an evening gathering — the scheduling system overrode agent motivation. This reveals a fundamental tension between </w:t>
      </w:r>
      <w:r>
        <w:rPr>
          <w:rFonts w:ascii="Arial" w:cs="Arial" w:eastAsia="Arial" w:hAnsi="Arial"/>
          <w:i/>
          <w:iCs/>
          <w:sz w:val="22"/>
          <w:szCs w:val="22"/>
        </w:rPr>
        <w:t xml:space="preserve">goal-level prompting</w:t>
      </w:r>
      <w:r>
        <w:rPr>
          <w:rFonts w:ascii="Arial" w:cs="Arial" w:eastAsia="Arial" w:hAnsi="Arial"/>
          <w:sz w:val="22"/>
          <w:szCs w:val="22"/>
        </w:rPr>
        <w:t xml:space="preserve"> and </w:t>
      </w:r>
      <w:r>
        <w:rPr>
          <w:rFonts w:ascii="Arial" w:cs="Arial" w:eastAsia="Arial" w:hAnsi="Arial"/>
          <w:i/>
          <w:iCs/>
          <w:sz w:val="22"/>
          <w:szCs w:val="22"/>
        </w:rPr>
        <w:t xml:space="preserve">schedule-level execution</w:t>
      </w:r>
      <w:r>
        <w:rPr>
          <w:rFonts w:ascii="Arial" w:cs="Arial" w:eastAsia="Arial" w:hAnsi="Arial"/>
          <w:sz w:val="22"/>
          <w:szCs w:val="22"/>
        </w:rPr>
        <w:t xml:space="preserve"> in the Smallville architecture.</w:t>
      </w:r>
    </w:p>
    <w:p>
      <w:pPr>
        <w:spacing w:after="160" w:before="0" w:line="276" w:lineRule="auto"/>
      </w:pPr>
      <w:r>
        <w:t xml:space="preserve"/>
      </w:r>
    </w:p>
    <w:p>
      <w:pPr>
        <w:pStyle w:val="Heading2"/>
        <w:spacing w:after="100" w:before="240" w:line="276" w:lineRule="auto"/>
      </w:pPr>
      <w:r>
        <w:rPr>
          <w:rFonts w:ascii="Georgia" w:cs="Georgia" w:eastAsia="Georgia" w:hAnsi="Georgia"/>
          <w:b/>
          <w:bCs/>
          <w:color w:val="8B6914"/>
        </w:rPr>
        <w:t xml:space="preserve">Observation 2 — Scholar-Merchant Encounter (Step 45, 18:07:30)</w:t>
      </w:r>
    </w:p>
    <w:p>
      <w:pPr>
        <w:spacing w:after="140" w:before="0" w:line="276" w:lineRule="auto"/>
        <w:jc w:val="both"/>
      </w:pPr>
      <w:r>
        <w:rPr>
          <w:rFonts w:ascii="Arial" w:cs="Arial" w:eastAsia="Arial" w:hAnsi="Arial"/>
          <w:b/>
          <w:bCs/>
          <w:sz w:val="22"/>
          <w:szCs w:val="22"/>
        </w:rPr>
        <w:t xml:space="preserve">What happened: </w:t>
      </w:r>
      <w:r>
        <w:rPr>
          <w:rFonts w:ascii="Arial" w:cs="Arial" w:eastAsia="Arial" w:hAnsi="Arial"/>
          <w:sz w:val="22"/>
          <w:szCs w:val="22"/>
        </w:rPr>
        <w:t xml:space="preserve">At Step 45, Chen Zian and An Lushan engaged in the simulation's only conversation — a 16-turn dialogue logged at 18:07:30. Chen Zian, navigating through the Scholar's Inn common room, encountered An Lushan and opened with a formal greeting. The conversation covered four thematically distinct but historically coherent topics: (1) Chen Zian's examination preparation, (2) An Lushan's Silk Road trade networks, (3) mutual intelligence-gathering about court preferences and examiner priorities, and (4) a proposed meeting at Li Mingzhu's tea house.</w:t>
      </w:r>
    </w:p>
    <w:p>
      <w:pPr>
        <w:spacing w:after="80" w:before="0" w:line="276" w:lineRule="auto"/>
      </w:pPr>
      <w:r>
        <w:t xml:space="preserve"/>
      </w:r>
    </w:p>
    <w:p>
      <w:pPr>
        <w:spacing w:after="140" w:before="0" w:line="276" w:lineRule="auto"/>
        <w:jc w:val="both"/>
      </w:pPr>
      <w:r>
        <w:rPr>
          <w:rFonts w:ascii="Arial" w:cs="Arial" w:eastAsia="Arial" w:hAnsi="Arial"/>
          <w:sz w:val="22"/>
          <w:szCs w:val="22"/>
        </w:rPr>
        <w:t xml:space="preserve">Selected conversation transcript:</w:t>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2000"/>
        <w:gridCol w:w="7360"/>
      </w:tblGrid>
      <w:tr>
        <w:tc>
          <w:tcPr>
            <w:tcW w:type="dxa" w:w="2000"/>
            <w:shd w:fill="1A1A2E" w:val="clear"/>
            <w:tcMar>
              <w:top w:type="dxa" w:w="80"/>
              <w:left w:type="dxa" w:w="140"/>
              <w:bottom w:type="dxa" w:w="80"/>
              <w:right w:type="dxa" w:w="100"/>
            </w:tcMar>
          </w:tcPr>
          <w:p>
            <w:r>
              <w:rPr>
                <w:rFonts w:ascii="Arial" w:cs="Arial" w:eastAsia="Arial" w:hAnsi="Arial"/>
                <w:b/>
                <w:bCs/>
                <w:color w:val="FFFFFF"/>
                <w:sz w:val="20"/>
                <w:szCs w:val="20"/>
              </w:rPr>
              <w:t xml:space="preserve">Speaker</w:t>
            </w:r>
          </w:p>
        </w:tc>
        <w:tc>
          <w:tcPr>
            <w:tcW w:type="dxa" w:w="7360"/>
            <w:shd w:fill="1A1A2E" w:val="clear"/>
            <w:tcMar>
              <w:top w:type="dxa" w:w="80"/>
              <w:left w:type="dxa" w:w="140"/>
              <w:bottom w:type="dxa" w:w="80"/>
              <w:right w:type="dxa" w:w="100"/>
            </w:tcMar>
          </w:tcPr>
          <w:p>
            <w:r>
              <w:rPr>
                <w:rFonts w:ascii="Arial" w:cs="Arial" w:eastAsia="Arial" w:hAnsi="Arial"/>
                <w:b/>
                <w:bCs/>
                <w:color w:val="FFFFFF"/>
                <w:sz w:val="20"/>
                <w:szCs w:val="20"/>
              </w:rPr>
              <w:t xml:space="preserve">Utterance (truncated)</w:t>
            </w:r>
          </w:p>
        </w:tc>
      </w:tr>
      <w:tr>
        <w:tc>
          <w:tcPr>
            <w:tcW w:type="dxa" w:w="2000"/>
            <w:shd w:fill="E8E0D0" w:val="clear"/>
            <w:tcMar>
              <w:top w:type="dxa" w:w="60"/>
              <w:left w:type="dxa" w:w="140"/>
              <w:bottom w:type="dxa" w:w="60"/>
              <w:right w:type="dxa" w:w="100"/>
            </w:tcMar>
          </w:tcPr>
          <w:p>
            <w:r>
              <w:rPr>
                <w:rFonts w:ascii="Arial" w:cs="Arial" w:eastAsia="Arial" w:hAnsi="Arial"/>
                <w:b/>
                <w:bCs/>
                <w:color w:val="1A1A2E"/>
                <w:sz w:val="19"/>
                <w:szCs w:val="19"/>
              </w:rPr>
              <w:t xml:space="preserve">Chen Zian</w:t>
            </w:r>
          </w:p>
        </w:tc>
        <w:tc>
          <w:tcPr>
            <w:tcW w:type="dxa" w:w="7360"/>
            <w:shd w:fill="E8E0D0" w:val="clear"/>
            <w:tcMar>
              <w:top w:type="dxa" w:w="60"/>
              <w:left w:type="dxa" w:w="140"/>
              <w:bottom w:type="dxa" w:w="60"/>
              <w:right w:type="dxa" w:w="100"/>
            </w:tcMar>
          </w:tcPr>
          <w:p>
            <w:r>
              <w:rPr>
                <w:rFonts w:ascii="Arial" w:cs="Arial" w:eastAsia="Arial" w:hAnsi="Arial"/>
                <w:sz w:val="19"/>
                <w:szCs w:val="19"/>
              </w:rPr>
              <w:t xml:space="preserve">Greetings, sir. I hope I did not startle you — I was resting when I happened to glimpse you here... might I ask your name and profession? I am Chen Zian, a scholar from the provinces, preparing [for the examination].</w:t>
            </w:r>
          </w:p>
        </w:tc>
      </w:tr>
      <w:tr>
        <w:tc>
          <w:tcPr>
            <w:tcW w:type="dxa" w:w="2000"/>
            <w:shd w:fill="FFFFFF" w:val="clear"/>
            <w:tcMar>
              <w:top w:type="dxa" w:w="60"/>
              <w:left w:type="dxa" w:w="140"/>
              <w:bottom w:type="dxa" w:w="60"/>
              <w:right w:type="dxa" w:w="100"/>
            </w:tcMar>
          </w:tcPr>
          <w:p>
            <w:r>
              <w:rPr>
                <w:rFonts w:ascii="Arial" w:cs="Arial" w:eastAsia="Arial" w:hAnsi="Arial"/>
                <w:b/>
                <w:bCs/>
                <w:color w:val="1A1A2E"/>
                <w:sz w:val="19"/>
                <w:szCs w:val="19"/>
              </w:rPr>
              <w:t xml:space="preserve">An Lushan</w:t>
            </w:r>
          </w:p>
        </w:tc>
        <w:tc>
          <w:tcPr>
            <w:tcW w:type="dxa" w:w="7360"/>
            <w:shd w:fill="FFFFFF" w:val="clear"/>
            <w:tcMar>
              <w:top w:type="dxa" w:w="60"/>
              <w:left w:type="dxa" w:w="140"/>
              <w:bottom w:type="dxa" w:w="60"/>
              <w:right w:type="dxa" w:w="100"/>
            </w:tcMar>
          </w:tcPr>
          <w:p>
            <w:r>
              <w:rPr>
                <w:rFonts w:ascii="Arial" w:cs="Arial" w:eastAsia="Arial" w:hAnsi="Arial"/>
                <w:sz w:val="19"/>
                <w:szCs w:val="19"/>
              </w:rPr>
              <w:t xml:space="preserve">Greetings, young scholar. No need for apologies — I was merely resting under the trees. I am An Lushan, a merchant of foreign goods — spices, glassware, and textiles from the Silk Road...</w:t>
            </w:r>
          </w:p>
        </w:tc>
      </w:tr>
      <w:tr>
        <w:tc>
          <w:tcPr>
            <w:tcW w:type="dxa" w:w="2000"/>
            <w:shd w:fill="E8E0D0" w:val="clear"/>
            <w:tcMar>
              <w:top w:type="dxa" w:w="60"/>
              <w:left w:type="dxa" w:w="140"/>
              <w:bottom w:type="dxa" w:w="60"/>
              <w:right w:type="dxa" w:w="100"/>
            </w:tcMar>
          </w:tcPr>
          <w:p>
            <w:r>
              <w:rPr>
                <w:rFonts w:ascii="Arial" w:cs="Arial" w:eastAsia="Arial" w:hAnsi="Arial"/>
                <w:b/>
                <w:bCs/>
                <w:color w:val="1A1A2E"/>
                <w:sz w:val="19"/>
                <w:szCs w:val="19"/>
              </w:rPr>
              <w:t xml:space="preserve">Chen Zian</w:t>
            </w:r>
          </w:p>
        </w:tc>
        <w:tc>
          <w:tcPr>
            <w:tcW w:type="dxa" w:w="7360"/>
            <w:shd w:fill="E8E0D0" w:val="clear"/>
            <w:tcMar>
              <w:top w:type="dxa" w:w="60"/>
              <w:left w:type="dxa" w:w="140"/>
              <w:bottom w:type="dxa" w:w="60"/>
              <w:right w:type="dxa" w:w="100"/>
            </w:tcMar>
          </w:tcPr>
          <w:p>
            <w:r>
              <w:rPr>
                <w:rFonts w:ascii="Arial" w:cs="Arial" w:eastAsia="Arial" w:hAnsi="Arial"/>
                <w:sz w:val="19"/>
                <w:szCs w:val="19"/>
              </w:rPr>
              <w:t xml:space="preserve">A merchant of foreign goods from the Silk Road! How fascinating... I am most curious about matters of the court. Do your travels bring you into contact with officials?</w:t>
            </w:r>
          </w:p>
        </w:tc>
      </w:tr>
      <w:tr>
        <w:tc>
          <w:tcPr>
            <w:tcW w:type="dxa" w:w="2000"/>
            <w:shd w:fill="FFFFFF" w:val="clear"/>
            <w:tcMar>
              <w:top w:type="dxa" w:w="60"/>
              <w:left w:type="dxa" w:w="140"/>
              <w:bottom w:type="dxa" w:w="60"/>
              <w:right w:type="dxa" w:w="100"/>
            </w:tcMar>
          </w:tcPr>
          <w:p>
            <w:r>
              <w:rPr>
                <w:rFonts w:ascii="Arial" w:cs="Arial" w:eastAsia="Arial" w:hAnsi="Arial"/>
                <w:b/>
                <w:bCs/>
                <w:color w:val="1A1A2E"/>
                <w:sz w:val="19"/>
                <w:szCs w:val="19"/>
              </w:rPr>
              <w:t xml:space="preserve">An Lushan</w:t>
            </w:r>
          </w:p>
        </w:tc>
        <w:tc>
          <w:tcPr>
            <w:tcW w:type="dxa" w:w="7360"/>
            <w:shd w:fill="FFFFFF" w:val="clear"/>
            <w:tcMar>
              <w:top w:type="dxa" w:w="60"/>
              <w:left w:type="dxa" w:w="140"/>
              <w:bottom w:type="dxa" w:w="60"/>
              <w:right w:type="dxa" w:w="100"/>
            </w:tcMar>
          </w:tcPr>
          <w:p>
            <w:r>
              <w:rPr>
                <w:rFonts w:ascii="Arial" w:cs="Arial" w:eastAsia="Arial" w:hAnsi="Arial"/>
                <w:sz w:val="19"/>
                <w:szCs w:val="19"/>
              </w:rPr>
              <w:t xml:space="preserve">Rumors? Well, young scholar, the court is always bustling with whispers — who rises, who falls, which policies favor which goods. But such talk is delicate... Perhaps we could discuss this further over tea?</w:t>
            </w:r>
          </w:p>
        </w:tc>
      </w:tr>
      <w:tr>
        <w:tc>
          <w:tcPr>
            <w:tcW w:type="dxa" w:w="2000"/>
            <w:shd w:fill="E8E0D0" w:val="clear"/>
            <w:tcMar>
              <w:top w:type="dxa" w:w="60"/>
              <w:left w:type="dxa" w:w="140"/>
              <w:bottom w:type="dxa" w:w="60"/>
              <w:right w:type="dxa" w:w="100"/>
            </w:tcMar>
          </w:tcPr>
          <w:p>
            <w:r>
              <w:rPr>
                <w:rFonts w:ascii="Arial" w:cs="Arial" w:eastAsia="Arial" w:hAnsi="Arial"/>
                <w:b/>
                <w:bCs/>
                <w:color w:val="1A1A2E"/>
                <w:sz w:val="19"/>
                <w:szCs w:val="19"/>
              </w:rPr>
              <w:t xml:space="preserve">Chen Zian</w:t>
            </w:r>
          </w:p>
        </w:tc>
        <w:tc>
          <w:tcPr>
            <w:tcW w:type="dxa" w:w="7360"/>
            <w:shd w:fill="E8E0D0" w:val="clear"/>
            <w:tcMar>
              <w:top w:type="dxa" w:w="60"/>
              <w:left w:type="dxa" w:w="140"/>
              <w:bottom w:type="dxa" w:w="60"/>
              <w:right w:type="dxa" w:w="100"/>
            </w:tcMar>
          </w:tcPr>
          <w:p>
            <w:r>
              <w:rPr>
                <w:rFonts w:ascii="Arial" w:cs="Arial" w:eastAsia="Arial" w:hAnsi="Arial"/>
                <w:sz w:val="19"/>
                <w:szCs w:val="19"/>
              </w:rPr>
              <w:t xml:space="preserve">Tea would be most welcome, sir. I know a pleasant tea house not far from here — the establishment run by Li Mingzhu, if you are familiar with it. There we could speak more freely.</w:t>
            </w:r>
          </w:p>
        </w:tc>
      </w:tr>
      <w:tr>
        <w:tc>
          <w:tcPr>
            <w:tcW w:type="dxa" w:w="2000"/>
            <w:shd w:fill="FFFFFF" w:val="clear"/>
            <w:tcMar>
              <w:top w:type="dxa" w:w="60"/>
              <w:left w:type="dxa" w:w="140"/>
              <w:bottom w:type="dxa" w:w="60"/>
              <w:right w:type="dxa" w:w="100"/>
            </w:tcMar>
          </w:tcPr>
          <w:p>
            <w:r>
              <w:rPr>
                <w:rFonts w:ascii="Arial" w:cs="Arial" w:eastAsia="Arial" w:hAnsi="Arial"/>
                <w:b/>
                <w:bCs/>
                <w:color w:val="1A1A2E"/>
                <w:sz w:val="19"/>
                <w:szCs w:val="19"/>
              </w:rPr>
              <w:t xml:space="preserve">An Lushan</w:t>
            </w:r>
          </w:p>
        </w:tc>
        <w:tc>
          <w:tcPr>
            <w:tcW w:type="dxa" w:w="7360"/>
            <w:shd w:fill="FFFFFF" w:val="clear"/>
            <w:tcMar>
              <w:top w:type="dxa" w:w="60"/>
              <w:left w:type="dxa" w:w="140"/>
              <w:bottom w:type="dxa" w:w="60"/>
              <w:right w:type="dxa" w:w="100"/>
            </w:tcMar>
          </w:tcPr>
          <w:p>
            <w:r>
              <w:rPr>
                <w:rFonts w:ascii="Arial" w:cs="Arial" w:eastAsia="Arial" w:hAnsi="Arial"/>
                <w:sz w:val="19"/>
                <w:szCs w:val="19"/>
              </w:rPr>
              <w:t xml:space="preserve">There is a fine tea house not far from here... I would be honored to share what I know. A scholar like yourself must have connections among the educated families of the city — perhaps you could recommend a customer?</w:t>
            </w:r>
          </w:p>
        </w:tc>
      </w:tr>
    </w:tbl>
    <w:p>
      <w:pPr>
        <w:spacing w:after="80" w:before="0" w:line="276" w:lineRule="auto"/>
      </w:pPr>
      <w:r>
        <w:t xml:space="preserve"/>
      </w:r>
    </w:p>
    <w:p>
      <w:pPr>
        <w:spacing w:after="140" w:before="0" w:line="276" w:lineRule="auto"/>
        <w:jc w:val="both"/>
      </w:pPr>
      <w:r>
        <w:rPr>
          <w:rFonts w:ascii="Arial" w:cs="Arial" w:eastAsia="Arial" w:hAnsi="Arial"/>
          <w:b/>
          <w:bCs/>
          <w:sz w:val="22"/>
          <w:szCs w:val="22"/>
        </w:rPr>
        <w:t xml:space="preserve">Significance: </w:t>
      </w:r>
      <w:r>
        <w:rPr>
          <w:rFonts w:ascii="Arial" w:cs="Arial" w:eastAsia="Arial" w:hAnsi="Arial"/>
          <w:sz w:val="22"/>
          <w:szCs w:val="22"/>
        </w:rPr>
        <w:t xml:space="preserve">The dialogue exhibits several historically plausible features: the scholar's deference to an older stranger, the mutual instrumentalization of the relationship (Chen Zian wants court intelligence; An Lushan wants customer referrals), and the convergence on the tea house as a social intermediary space. Both agents independently named Li Mingzhu's establishment without direct coordination, demonstrating that memory-seeded social knowledge can produce emergent, contextually appropriate behavior.</w:t>
      </w:r>
    </w:p>
    <w:p>
      <w:pPr>
        <w:spacing w:after="160" w:before="0" w:line="276" w:lineRule="auto"/>
      </w:pPr>
      <w:r>
        <w:t xml:space="preserve"/>
      </w:r>
    </w:p>
    <w:p>
      <w:pPr>
        <w:pStyle w:val="Heading2"/>
        <w:spacing w:after="100" w:before="240" w:line="276" w:lineRule="auto"/>
      </w:pPr>
      <w:r>
        <w:rPr>
          <w:rFonts w:ascii="Georgia" w:cs="Georgia" w:eastAsia="Georgia" w:hAnsi="Georgia"/>
          <w:b/>
          <w:bCs/>
          <w:color w:val="8B6914"/>
        </w:rPr>
        <w:t xml:space="preserve">Observation 3 — Conversation State Lock-In (Steps 45–144)</w:t>
      </w:r>
    </w:p>
    <w:p>
      <w:pPr>
        <w:spacing w:after="140" w:before="0" w:line="276" w:lineRule="auto"/>
        <w:jc w:val="both"/>
      </w:pPr>
      <w:r>
        <w:rPr>
          <w:rFonts w:ascii="Arial" w:cs="Arial" w:eastAsia="Arial" w:hAnsi="Arial"/>
          <w:b/>
          <w:bCs/>
          <w:sz w:val="22"/>
          <w:szCs w:val="22"/>
        </w:rPr>
        <w:t xml:space="preserve">What happened: </w:t>
      </w:r>
      <w:r>
        <w:rPr>
          <w:rFonts w:ascii="Arial" w:cs="Arial" w:eastAsia="Arial" w:hAnsi="Arial"/>
          <w:sz w:val="22"/>
          <w:szCs w:val="22"/>
        </w:rPr>
        <w:t xml:space="preserve">Following the conversation at Step 45, both Chen Zian and An Lushan remained labeled as </w:t>
      </w:r>
      <w:r>
        <w:rPr>
          <w:rFonts w:ascii="Arial" w:cs="Arial" w:eastAsia="Arial" w:hAnsi="Arial"/>
          <w:i/>
          <w:iCs/>
          <w:sz w:val="22"/>
          <w:szCs w:val="22"/>
        </w:rPr>
        <w:t xml:space="preserve">"conversing about Chen Zian, a provincial scholar... meeting An Lushan..."</w:t>
      </w:r>
      <w:r>
        <w:rPr>
          <w:rFonts w:ascii="Arial" w:cs="Arial" w:eastAsia="Arial" w:hAnsi="Arial"/>
          <w:sz w:val="22"/>
          <w:szCs w:val="22"/>
        </w:rPr>
        <w:t xml:space="preserve"> for the next 100 steps (Steps 45–144, approximately 16.5 minutes of simulated time), while continuing to move through the tile map. Their positions drifted apart — Chen Zian moving toward coordinates [120, 41] while An Lushan moved to [127, 37] — suggesting movement toward separate destinations, yet both remained coded as in active conversation.</w:t>
      </w:r>
    </w:p>
    <w:p>
      <w:pPr>
        <w:spacing w:after="80" w:before="0" w:line="276" w:lineRule="auto"/>
      </w:pPr>
      <w:r>
        <w:t xml:space="preserve"/>
      </w:r>
    </w:p>
    <w:p>
      <w:pPr>
        <w:spacing w:after="140" w:before="0" w:line="276" w:lineRule="auto"/>
        <w:jc w:val="both"/>
      </w:pPr>
      <w:r>
        <w:rPr>
          <w:rFonts w:ascii="Arial" w:cs="Arial" w:eastAsia="Arial" w:hAnsi="Arial"/>
          <w:sz w:val="22"/>
          <w:szCs w:val="22"/>
        </w:rPr>
        <w:t xml:space="preserve">Movement log excerpt (Steps 50–55):</w:t>
      </w:r>
    </w:p>
    <w:p>
      <w:pPr>
        <w:pBdr>
          <w:left w:val="single" w:color="8B6914" w:sz="12" w:space="8"/>
        </w:pBdr>
        <w:spacing w:after="80" w:before="80" w:line="276" w:lineRule="auto"/>
        <w:ind w:left="720" w:right="720"/>
        <w:jc w:val="both"/>
      </w:pPr>
      <w:r>
        <w:rPr>
          <w:rFonts w:ascii="Georgia" w:cs="Georgia" w:eastAsia="Georgia" w:hAnsi="Georgia"/>
          <w:i/>
          <w:iCs/>
          <w:color w:val="444444"/>
          <w:sz w:val="20"/>
          <w:szCs w:val="20"/>
        </w:rPr>
        <w:t xml:space="preserve">Step 50 [18:08:20]  Chen Zian → conversing [at 122, 41]
Step 50 [18:08:20]  An Lushan → conversing [at 126, 37]
Step 55 [18:09:10]  Chen Zian → conversing [at 120, 41]
Step 55 [18:09:10]  An Lushan → conversing [at 127, 37]</w:t>
      </w:r>
    </w:p>
    <w:p>
      <w:pPr>
        <w:spacing w:after="80" w:before="0" w:line="276" w:lineRule="auto"/>
      </w:pPr>
      <w:r>
        <w:t xml:space="preserve"/>
      </w:r>
    </w:p>
    <w:p>
      <w:pPr>
        <w:spacing w:after="140" w:before="0" w:line="276" w:lineRule="auto"/>
        <w:jc w:val="both"/>
      </w:pPr>
      <w:r>
        <w:rPr>
          <w:rFonts w:ascii="Arial" w:cs="Arial" w:eastAsia="Arial" w:hAnsi="Arial"/>
          <w:b/>
          <w:bCs/>
          <w:sz w:val="22"/>
          <w:szCs w:val="22"/>
        </w:rPr>
        <w:t xml:space="preserve">Significance: </w:t>
      </w:r>
      <w:r>
        <w:rPr>
          <w:rFonts w:ascii="Arial" w:cs="Arial" w:eastAsia="Arial" w:hAnsi="Arial"/>
          <w:sz w:val="22"/>
          <w:szCs w:val="22"/>
        </w:rPr>
        <w:t xml:space="preserve">This represents a technical limitation of the Smallville architecture's conversation state machine. Once two agents enter a conversation event, the action description is frozen at the conversation summary until the conversation formally terminates. The physically diverging positions show that agents were already moving independently, but the metadata lagged behind. This "conversation echo" is an artifact of the system design, not intentional agent behavior.</w:t>
      </w:r>
    </w:p>
    <w:p>
      <w:pPr>
        <w:spacing w:after="160" w:before="0" w:line="276" w:lineRule="auto"/>
      </w:pPr>
      <w:r>
        <w:t xml:space="preserve"/>
      </w:r>
    </w:p>
    <w:p>
      <w:r>
        <w:br w:type="page"/>
      </w:r>
    </w:p>
    <w:p>
      <w:pPr>
        <w:pStyle w:val="Heading1"/>
        <w:pBdr>
          <w:bottom w:val="single" w:color="8B6914" w:sz="8" w:space="4"/>
        </w:pBdr>
        <w:spacing w:after="160" w:before="360" w:line="276" w:lineRule="auto"/>
      </w:pPr>
      <w:r>
        <w:rPr>
          <w:rFonts w:ascii="Georgia" w:cs="Georgia" w:eastAsia="Georgia" w:hAnsi="Georgia"/>
          <w:b/>
          <w:bCs/>
          <w:color w:val="1A1A2E"/>
        </w:rPr>
        <w:t xml:space="preserve">4.  Behavior Analysis</w:t>
      </w:r>
    </w:p>
    <w:p>
      <w:pPr>
        <w:pStyle w:val="Heading2"/>
        <w:spacing w:after="100" w:before="240" w:line="276" w:lineRule="auto"/>
      </w:pPr>
      <w:r>
        <w:rPr>
          <w:rFonts w:ascii="Georgia" w:cs="Georgia" w:eastAsia="Georgia" w:hAnsi="Georgia"/>
          <w:b/>
          <w:bCs/>
          <w:color w:val="8B6914"/>
        </w:rPr>
        <w:t xml:space="preserve">Patterns Observed</w:t>
      </w:r>
    </w:p>
    <w:p>
      <w:pPr>
        <w:spacing w:after="140" w:before="0" w:line="276" w:lineRule="auto"/>
        <w:jc w:val="both"/>
      </w:pPr>
      <w:r>
        <w:rPr>
          <w:rFonts w:ascii="Arial" w:cs="Arial" w:eastAsia="Arial" w:hAnsi="Arial"/>
          <w:b/>
          <w:bCs/>
          <w:sz w:val="22"/>
          <w:szCs w:val="22"/>
        </w:rPr>
        <w:t xml:space="preserve">Pattern 1 — Role-Consistent Goal Expression: </w:t>
      </w:r>
      <w:r>
        <w:rPr>
          <w:rFonts w:ascii="Arial" w:cs="Arial" w:eastAsia="Arial" w:hAnsi="Arial"/>
          <w:sz w:val="22"/>
          <w:szCs w:val="22"/>
        </w:rPr>
        <w:t xml:space="preserve">In the one conversation that occurred, each agent acted in ways consistent with their seeded identity. Chen Zian immediately prioritized gathering intelligence about the imperial examination; An Lushan attempted to convert a social encounter into a business opportunity. Neither agent acted outside their designated role archetype, suggesting that the memory-seeded goal system functioned effectively at the individual level.</w:t>
      </w:r>
    </w:p>
    <w:p>
      <w:pPr>
        <w:spacing w:after="80" w:before="0" w:line="276" w:lineRule="auto"/>
      </w:pPr>
      <w:r>
        <w:t xml:space="preserve"/>
      </w:r>
    </w:p>
    <w:p>
      <w:pPr>
        <w:spacing w:after="140" w:before="0" w:line="276" w:lineRule="auto"/>
        <w:jc w:val="both"/>
      </w:pPr>
      <w:r>
        <w:rPr>
          <w:rFonts w:ascii="Arial" w:cs="Arial" w:eastAsia="Arial" w:hAnsi="Arial"/>
          <w:b/>
          <w:bCs/>
          <w:sz w:val="22"/>
          <w:szCs w:val="22"/>
        </w:rPr>
        <w:t xml:space="preserve">Pattern 2 — Dominant Inactivity: </w:t>
      </w:r>
      <w:r>
        <w:rPr>
          <w:rFonts w:ascii="Arial" w:cs="Arial" w:eastAsia="Arial" w:hAnsi="Arial"/>
          <w:sz w:val="22"/>
          <w:szCs w:val="22"/>
        </w:rPr>
        <w:t xml:space="preserve">Of the 200 simulation steps, Li Mingzhu was active in zero steps (she remained asleep throughout). Chen Zian and An Lushan were active (conversing) in approximately 100 steps, but this was a single conversation event that locked their action state. If activity is measured by goal-directed behavior rather than locomotion, the simulation produced meaningful output in only one brief window (Step 45).</w:t>
      </w:r>
    </w:p>
    <w:p>
      <w:pPr>
        <w:spacing w:after="80" w:before="0" w:line="276" w:lineRule="auto"/>
      </w:pPr>
      <w:r>
        <w:t xml:space="preserve"/>
      </w:r>
    </w:p>
    <w:p>
      <w:pPr>
        <w:spacing w:after="140" w:before="0" w:line="276" w:lineRule="auto"/>
        <w:jc w:val="both"/>
      </w:pPr>
      <w:r>
        <w:rPr>
          <w:rFonts w:ascii="Arial" w:cs="Arial" w:eastAsia="Arial" w:hAnsi="Arial"/>
          <w:b/>
          <w:bCs/>
          <w:sz w:val="22"/>
          <w:szCs w:val="22"/>
        </w:rPr>
        <w:t xml:space="preserve">Pattern 3 — Schedule Architecture Dominance: </w:t>
      </w:r>
      <w:r>
        <w:rPr>
          <w:rFonts w:ascii="Arial" w:cs="Arial" w:eastAsia="Arial" w:hAnsi="Arial"/>
          <w:sz w:val="22"/>
          <w:szCs w:val="22"/>
        </w:rPr>
        <w:t xml:space="preserve">The Smallville schedule system, which distributes activities across a 24-hour plan, dominated over narrative context. The 6pm starting time placed agents in a late-day routine that defaulted to sleep rather than festival activity. This suggests that historical reskins of the Smallville framework must also rework the underlying schedule generation logic — simply changing agent names and backstories is insufficient to override the temporal scaffolding of the original system.</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Environment, Prompts, and Roles</w:t>
      </w:r>
    </w:p>
    <w:p>
      <w:pPr>
        <w:spacing w:after="140" w:before="0" w:line="276" w:lineRule="auto"/>
        <w:jc w:val="both"/>
      </w:pPr>
      <w:r>
        <w:rPr>
          <w:rFonts w:ascii="Arial" w:cs="Arial" w:eastAsia="Arial" w:hAnsi="Arial"/>
          <w:sz w:val="22"/>
          <w:szCs w:val="22"/>
        </w:rPr>
        <w:t xml:space="preserve">The simulation used the original Smallville tile map (the_ville) without modification. As a result, location names in the movement log still reference the original Smallville geography ("Isabella Rodriguez's apartment," "Oak Hill College Dorm") rather than Tang Dynasty locations. While the agents' conversation demonstrated awareness of the remapped names (both referred to "Li Mingzhu's tea house"), the underlying environment metadata did not reflect the historical context. This created a structural mismatch between the narrative layer (LLM-generated text) and the spatial layer (tile-based movement).</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Realistic vs. Artificial Behaviors</w:t>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2800"/>
        <w:gridCol w:w="6560"/>
      </w:tblGrid>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Realistic</w:t>
            </w:r>
          </w:p>
        </w:tc>
        <w:tc>
          <w:tcPr>
            <w:tcW w:type="dxa" w:w="6560"/>
            <w:tcMar>
              <w:top w:type="dxa" w:w="80"/>
              <w:left w:type="dxa" w:w="160"/>
              <w:bottom w:type="dxa" w:w="80"/>
              <w:right w:type="dxa" w:w="120"/>
            </w:tcMar>
          </w:tcPr>
          <w:p>
            <w:r>
              <w:rPr>
                <w:rFonts w:ascii="Arial" w:cs="Arial" w:eastAsia="Arial" w:hAnsi="Arial"/>
                <w:sz w:val="20"/>
                <w:szCs w:val="20"/>
              </w:rPr>
              <w:t xml:space="preserve">Chen Zian's deference to An Lushan; the instrumental framing of the tea house visit; An Lushan's awareness of court-merchant networks; the mutual referencing of Li Mingzhu as a social hub without direct coordination.</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Artificial</w:t>
            </w:r>
          </w:p>
        </w:tc>
        <w:tc>
          <w:tcPr>
            <w:tcW w:type="dxa" w:w="6560"/>
            <w:tcMar>
              <w:top w:type="dxa" w:w="80"/>
              <w:left w:type="dxa" w:w="160"/>
              <w:bottom w:type="dxa" w:w="80"/>
              <w:right w:type="dxa" w:w="120"/>
            </w:tcMar>
          </w:tcPr>
          <w:p>
            <w:r>
              <w:rPr>
                <w:rFonts w:ascii="Arial" w:cs="Arial" w:eastAsia="Arial" w:hAnsi="Arial"/>
                <w:sz w:val="20"/>
                <w:szCs w:val="20"/>
              </w:rPr>
              <w:t xml:space="preserve">All agents asleep at 6pm on Lantern Festival eve; Li Mingzhu's complete non-participation despite her being the designated host; the 100-step conversation state lock-in; tile positions labeled with modern Smallville location names.</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Surprising</w:t>
            </w:r>
          </w:p>
        </w:tc>
        <w:tc>
          <w:tcPr>
            <w:tcW w:type="dxa" w:w="6560"/>
            <w:tcMar>
              <w:top w:type="dxa" w:w="80"/>
              <w:left w:type="dxa" w:w="160"/>
              <w:bottom w:type="dxa" w:w="80"/>
              <w:right w:type="dxa" w:w="120"/>
            </w:tcMar>
          </w:tcPr>
          <w:p>
            <w:r>
              <w:rPr>
                <w:rFonts w:ascii="Arial" w:cs="Arial" w:eastAsia="Arial" w:hAnsi="Arial"/>
                <w:sz w:val="20"/>
                <w:szCs w:val="20"/>
              </w:rPr>
              <w:t xml:space="preserve">An Lushan spontaneously suggested "White Jade Tea House" in one conversational turn, an embellishment not present in his seeded memories — showing LLM-generated creativity that exceeded the prompt specifications.</w:t>
            </w:r>
          </w:p>
        </w:tc>
      </w:tr>
    </w:tbl>
    <w:p>
      <w:pPr>
        <w:spacing w:after="160" w:before="0" w:line="276" w:lineRule="auto"/>
      </w:pPr>
      <w:r>
        <w:t xml:space="preserve"/>
      </w:r>
    </w:p>
    <w:p>
      <w:r>
        <w:br w:type="page"/>
      </w:r>
    </w:p>
    <w:p>
      <w:pPr>
        <w:pStyle w:val="Heading1"/>
        <w:pBdr>
          <w:bottom w:val="single" w:color="8B6914" w:sz="8" w:space="4"/>
        </w:pBdr>
        <w:spacing w:after="160" w:before="360" w:line="276" w:lineRule="auto"/>
      </w:pPr>
      <w:r>
        <w:rPr>
          <w:rFonts w:ascii="Georgia" w:cs="Georgia" w:eastAsia="Georgia" w:hAnsi="Georgia"/>
          <w:b/>
          <w:bCs/>
          <w:color w:val="1A1A2E"/>
        </w:rPr>
        <w:t xml:space="preserve">5.  Historical Plausibility Evaluation</w:t>
      </w:r>
    </w:p>
    <w:p>
      <w:pPr>
        <w:pStyle w:val="Heading2"/>
        <w:spacing w:after="100" w:before="240" w:line="276" w:lineRule="auto"/>
      </w:pPr>
      <w:r>
        <w:rPr>
          <w:rFonts w:ascii="Georgia" w:cs="Georgia" w:eastAsia="Georgia" w:hAnsi="Georgia"/>
          <w:b/>
          <w:bCs/>
          <w:color w:val="8B6914"/>
        </w:rPr>
        <w:t xml:space="preserve">What Fits the Historical Context</w:t>
      </w:r>
    </w:p>
    <w:p>
      <w:pPr>
        <w:pStyle w:val="ListParagraph"/>
        <w:numPr>
          <w:ilvl w:val="0"/>
          <w:numId w:val="2"/>
        </w:numPr>
        <w:spacing w:after="80" w:before="0" w:line="276" w:lineRule="auto"/>
      </w:pPr>
      <w:r>
        <w:rPr>
          <w:rFonts w:ascii="Arial" w:cs="Arial" w:eastAsia="Arial" w:hAnsi="Arial"/>
          <w:sz w:val="22"/>
          <w:szCs w:val="22"/>
        </w:rPr>
        <w:t xml:space="preserve">The scholar-merchant exchange reflects historically documented patterns of cross-class social interaction in Tang Chang'an, where tea houses functioned as informal information markets.</w:t>
      </w:r>
    </w:p>
    <w:p>
      <w:pPr>
        <w:pStyle w:val="ListParagraph"/>
        <w:numPr>
          <w:ilvl w:val="0"/>
          <w:numId w:val="2"/>
        </w:numPr>
        <w:spacing w:after="80" w:before="0" w:line="276" w:lineRule="auto"/>
      </w:pPr>
      <w:r>
        <w:rPr>
          <w:rFonts w:ascii="Arial" w:cs="Arial" w:eastAsia="Arial" w:hAnsi="Arial"/>
          <w:sz w:val="22"/>
          <w:szCs w:val="22"/>
        </w:rPr>
        <w:t xml:space="preserve">Chen Zian's anxiety about examiner preferences reflects documented historical practice: Tang examinees actively sought intelligence about political factions influencing the examination.</w:t>
      </w:r>
    </w:p>
    <w:p>
      <w:pPr>
        <w:pStyle w:val="ListParagraph"/>
        <w:numPr>
          <w:ilvl w:val="0"/>
          <w:numId w:val="2"/>
        </w:numPr>
        <w:spacing w:after="80" w:before="0" w:line="276" w:lineRule="auto"/>
      </w:pPr>
      <w:r>
        <w:rPr>
          <w:rFonts w:ascii="Arial" w:cs="Arial" w:eastAsia="Arial" w:hAnsi="Arial"/>
          <w:sz w:val="22"/>
          <w:szCs w:val="22"/>
        </w:rPr>
        <w:t xml:space="preserve">An Lushan's awareness that "scholars often know which households seek fashionable imports" reflects the documented role of Sogdian merchants as social brokers in Tang elite culture.</w:t>
      </w:r>
    </w:p>
    <w:p>
      <w:pPr>
        <w:pStyle w:val="ListParagraph"/>
        <w:numPr>
          <w:ilvl w:val="0"/>
          <w:numId w:val="2"/>
        </w:numPr>
        <w:spacing w:after="80" w:before="0" w:line="276" w:lineRule="auto"/>
      </w:pPr>
      <w:r>
        <w:rPr>
          <w:rFonts w:ascii="Arial" w:cs="Arial" w:eastAsia="Arial" w:hAnsi="Arial"/>
          <w:sz w:val="22"/>
          <w:szCs w:val="22"/>
        </w:rPr>
        <w:t xml:space="preserve">The proposal to meet at the tea house as a neutral social space is consistent with the function of tea houses (茶馆) as documented in Tang period texts.</w:t>
      </w:r>
    </w:p>
    <w:p>
      <w:pPr>
        <w:pStyle w:val="ListParagraph"/>
        <w:numPr>
          <w:ilvl w:val="0"/>
          <w:numId w:val="2"/>
        </w:numPr>
        <w:spacing w:after="80" w:before="0" w:line="276" w:lineRule="auto"/>
      </w:pPr>
      <w:r>
        <w:rPr>
          <w:rFonts w:ascii="Arial" w:cs="Arial" w:eastAsia="Arial" w:hAnsi="Arial"/>
          <w:sz w:val="22"/>
          <w:szCs w:val="22"/>
        </w:rPr>
        <w:t xml:space="preserve">The Lantern Festival as a moment for cross-status social encounter is historically accurate — nocturnal curfew suspension during Shangyuan was legally codified.</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Anachronisms and Distortions</w:t>
      </w:r>
    </w:p>
    <w:p>
      <w:pPr>
        <w:pStyle w:val="ListParagraph"/>
        <w:numPr>
          <w:ilvl w:val="0"/>
          <w:numId w:val="2"/>
        </w:numPr>
        <w:spacing w:after="80" w:before="0" w:line="276" w:lineRule="auto"/>
      </w:pPr>
      <w:r>
        <w:rPr>
          <w:rFonts w:ascii="Arial" w:cs="Arial" w:eastAsia="Arial" w:hAnsi="Arial"/>
          <w:b/>
          <w:bCs/>
          <w:sz w:val="22"/>
          <w:szCs w:val="22"/>
        </w:rPr>
        <w:t xml:space="preserve">Map topology: </w:t>
      </w:r>
      <w:r>
        <w:rPr>
          <w:rFonts w:ascii="Arial" w:cs="Arial" w:eastAsia="Arial" w:hAnsi="Arial"/>
          <w:sz w:val="22"/>
          <w:szCs w:val="22"/>
        </w:rPr>
        <w:t xml:space="preserve">The underlying tile map reflects a contemporary American college-town spatial layout. The agents navigate through corridors and rooms that have no Tang Dynasty analogue. Chang'an's grid-based ward (坊) system — with high walls separating commercial from residential zones — is absent.</w:t>
      </w:r>
    </w:p>
    <w:p>
      <w:pPr>
        <w:pStyle w:val="ListParagraph"/>
        <w:numPr>
          <w:ilvl w:val="0"/>
          <w:numId w:val="2"/>
        </w:numPr>
        <w:spacing w:after="80" w:before="0" w:line="276" w:lineRule="auto"/>
      </w:pPr>
      <w:r>
        <w:rPr>
          <w:rFonts w:ascii="Arial" w:cs="Arial" w:eastAsia="Arial" w:hAnsi="Arial"/>
          <w:b/>
          <w:bCs/>
          <w:sz w:val="22"/>
          <w:szCs w:val="22"/>
        </w:rPr>
        <w:t xml:space="preserve">Social hierarchy flattening: </w:t>
      </w:r>
      <w:r>
        <w:rPr>
          <w:rFonts w:ascii="Arial" w:cs="Arial" w:eastAsia="Arial" w:hAnsi="Arial"/>
          <w:sz w:val="22"/>
          <w:szCs w:val="22"/>
        </w:rPr>
        <w:t xml:space="preserve">Chen Zian addresses An Lushan (a foreign merchant) with greater openness than historical class and ethnic hierarchies would typically permit. Tang legal codes placed foreign merchants in a formally subordinate category relative to examination candidates.</w:t>
      </w:r>
    </w:p>
    <w:p>
      <w:pPr>
        <w:pStyle w:val="ListParagraph"/>
        <w:numPr>
          <w:ilvl w:val="0"/>
          <w:numId w:val="2"/>
        </w:numPr>
        <w:spacing w:after="80" w:before="0" w:line="276" w:lineRule="auto"/>
      </w:pPr>
      <w:r>
        <w:rPr>
          <w:rFonts w:ascii="Arial" w:cs="Arial" w:eastAsia="Arial" w:hAnsi="Arial"/>
          <w:b/>
          <w:bCs/>
          <w:sz w:val="22"/>
          <w:szCs w:val="22"/>
        </w:rPr>
        <w:t xml:space="preserve">Language register: </w:t>
      </w:r>
      <w:r>
        <w:rPr>
          <w:rFonts w:ascii="Arial" w:cs="Arial" w:eastAsia="Arial" w:hAnsi="Arial"/>
          <w:sz w:val="22"/>
          <w:szCs w:val="22"/>
        </w:rPr>
        <w:t xml:space="preserve">The conversation is conducted in 21st-century English with modern rhetorical conventions. There is no attempt to simulate the formal register of classical Chinese social discourse, including the use of honorifics (先生, 足下) and indirect speech patterns.</w:t>
      </w:r>
    </w:p>
    <w:p>
      <w:pPr>
        <w:pStyle w:val="ListParagraph"/>
        <w:numPr>
          <w:ilvl w:val="0"/>
          <w:numId w:val="2"/>
        </w:numPr>
        <w:spacing w:after="80" w:before="0" w:line="276" w:lineRule="auto"/>
      </w:pPr>
      <w:r>
        <w:rPr>
          <w:rFonts w:ascii="Arial" w:cs="Arial" w:eastAsia="Arial" w:hAnsi="Arial"/>
          <w:b/>
          <w:bCs/>
          <w:sz w:val="22"/>
          <w:szCs w:val="22"/>
        </w:rPr>
        <w:t xml:space="preserve">Li Mingzhu's absence: </w:t>
      </w:r>
      <w:r>
        <w:rPr>
          <w:rFonts w:ascii="Arial" w:cs="Arial" w:eastAsia="Arial" w:hAnsi="Arial"/>
          <w:sz w:val="22"/>
          <w:szCs w:val="22"/>
        </w:rPr>
        <w:t xml:space="preserve">The failure of the female tea house proprietress to participate is historically significant in the wrong direction — women in Tang commercial spaces, particularly proprietresses of entertainment and food establishments, were documented as socially active figures. Her non-participation is a simulation failure, not a historical representation.</w:t>
      </w:r>
    </w:p>
    <w:p>
      <w:pPr>
        <w:pStyle w:val="ListParagraph"/>
        <w:numPr>
          <w:ilvl w:val="0"/>
          <w:numId w:val="2"/>
        </w:numPr>
        <w:spacing w:after="80" w:before="0" w:line="276" w:lineRule="auto"/>
      </w:pPr>
      <w:r>
        <w:rPr>
          <w:rFonts w:ascii="Arial" w:cs="Arial" w:eastAsia="Arial" w:hAnsi="Arial"/>
          <w:b/>
          <w:bCs/>
          <w:sz w:val="22"/>
          <w:szCs w:val="22"/>
        </w:rPr>
        <w:t xml:space="preserve">Schedule misalignment: </w:t>
      </w:r>
      <w:r>
        <w:rPr>
          <w:rFonts w:ascii="Arial" w:cs="Arial" w:eastAsia="Arial" w:hAnsi="Arial"/>
          <w:sz w:val="22"/>
          <w:szCs w:val="22"/>
        </w:rPr>
        <w:t xml:space="preserve">All agents sleeping at 6pm on Lantern Festival eve is historically implausible. Historical records document that Lantern Festival celebrations in Chang'an extended from dusk well into the night.</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What Seems Missing</w:t>
      </w:r>
    </w:p>
    <w:p>
      <w:pPr>
        <w:spacing w:after="140" w:before="0" w:line="276" w:lineRule="auto"/>
        <w:jc w:val="both"/>
      </w:pPr>
      <w:r>
        <w:rPr>
          <w:rFonts w:ascii="Arial" w:cs="Arial" w:eastAsia="Arial" w:hAnsi="Arial"/>
          <w:sz w:val="22"/>
          <w:szCs w:val="22"/>
        </w:rPr>
        <w:t xml:space="preserve">The simulation entirely omits: the role of the imperial state (no officials appear); the non-Han ethnic dimension of An Lushan's identity and its social implications; gendered power dynamics in commercial spaces; the acoustic and sensory dimensions of festival life (music, lanterns, crowds); and the legal context of foreign merchant activity in the West Market.</w:t>
      </w:r>
    </w:p>
    <w:p>
      <w:pPr>
        <w:spacing w:after="160" w:before="0" w:line="276" w:lineRule="auto"/>
      </w:pPr>
      <w:r>
        <w:t xml:space="preserve"/>
      </w:r>
    </w:p>
    <w:p>
      <w:r>
        <w:br w:type="page"/>
      </w:r>
    </w:p>
    <w:p>
      <w:pPr>
        <w:pStyle w:val="Heading1"/>
        <w:pBdr>
          <w:bottom w:val="single" w:color="8B6914" w:sz="8" w:space="4"/>
        </w:pBdr>
        <w:spacing w:after="160" w:before="360" w:line="276" w:lineRule="auto"/>
      </w:pPr>
      <w:r>
        <w:rPr>
          <w:rFonts w:ascii="Georgia" w:cs="Georgia" w:eastAsia="Georgia" w:hAnsi="Georgia"/>
          <w:b/>
          <w:bCs/>
          <w:color w:val="1A1A2E"/>
        </w:rPr>
        <w:t xml:space="preserve">6.  Simulation, Context, and Critique</w:t>
      </w:r>
    </w:p>
    <w:p>
      <w:pPr>
        <w:spacing w:after="140" w:before="0" w:line="276" w:lineRule="auto"/>
        <w:jc w:val="both"/>
      </w:pPr>
      <w:r>
        <w:rPr>
          <w:rFonts w:ascii="Arial" w:cs="Arial" w:eastAsia="Arial" w:hAnsi="Arial"/>
          <w:b/>
          <w:bCs/>
          <w:sz w:val="22"/>
          <w:szCs w:val="22"/>
        </w:rPr>
        <w:t xml:space="preserve">Core Position: </w:t>
      </w:r>
      <w:r>
        <w:rPr>
          <w:rFonts w:ascii="Arial" w:cs="Arial" w:eastAsia="Arial" w:hAnsi="Arial"/>
          <w:sz w:val="22"/>
          <w:szCs w:val="22"/>
        </w:rPr>
        <w:t xml:space="preserve">Agent-based simulations generate </w:t>
      </w:r>
      <w:r>
        <w:rPr>
          <w:rFonts w:ascii="Arial" w:cs="Arial" w:eastAsia="Arial" w:hAnsi="Arial"/>
          <w:i/>
          <w:iCs/>
          <w:sz w:val="22"/>
          <w:szCs w:val="22"/>
        </w:rPr>
        <w:t xml:space="preserve">possible behaviors</w:t>
      </w:r>
      <w:r>
        <w:rPr>
          <w:rFonts w:ascii="Arial" w:cs="Arial" w:eastAsia="Arial" w:hAnsi="Arial"/>
          <w:sz w:val="22"/>
          <w:szCs w:val="22"/>
        </w:rPr>
        <w:t xml:space="preserve">, not historical truth. They are generative models of plausibility, not reconstructions of the past. This simulation must be understood as a scaffold for inquiry, not a substitute for historical study.</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Prior Knowledge Students Would Need</w:t>
      </w:r>
    </w:p>
    <w:p>
      <w:pPr>
        <w:pStyle w:val="ListParagraph"/>
        <w:numPr>
          <w:ilvl w:val="0"/>
          <w:numId w:val="3"/>
        </w:numPr>
        <w:spacing w:after="80" w:before="0" w:line="276" w:lineRule="auto"/>
      </w:pPr>
      <w:r>
        <w:rPr>
          <w:rFonts w:ascii="Arial" w:cs="Arial" w:eastAsia="Arial" w:hAnsi="Arial"/>
          <w:sz w:val="22"/>
          <w:szCs w:val="22"/>
        </w:rPr>
        <w:t xml:space="preserve">Foundational knowledge of the Tang Dynasty's political structure, especially the imperial examination system (科举) and its social function as a meritocratic ideal with factional realities.</w:t>
      </w:r>
    </w:p>
    <w:p>
      <w:pPr>
        <w:pStyle w:val="ListParagraph"/>
        <w:numPr>
          <w:ilvl w:val="0"/>
          <w:numId w:val="3"/>
        </w:numPr>
        <w:spacing w:after="80" w:before="0" w:line="276" w:lineRule="auto"/>
      </w:pPr>
      <w:r>
        <w:rPr>
          <w:rFonts w:ascii="Arial" w:cs="Arial" w:eastAsia="Arial" w:hAnsi="Arial"/>
          <w:sz w:val="22"/>
          <w:szCs w:val="22"/>
        </w:rPr>
        <w:t xml:space="preserve">Understanding of Silk Road commerce and the role of Sogdian merchants in Tang economic and cultural life.</w:t>
      </w:r>
    </w:p>
    <w:p>
      <w:pPr>
        <w:pStyle w:val="ListParagraph"/>
        <w:numPr>
          <w:ilvl w:val="0"/>
          <w:numId w:val="3"/>
        </w:numPr>
        <w:spacing w:after="80" w:before="0" w:line="276" w:lineRule="auto"/>
      </w:pPr>
      <w:r>
        <w:rPr>
          <w:rFonts w:ascii="Arial" w:cs="Arial" w:eastAsia="Arial" w:hAnsi="Arial"/>
          <w:sz w:val="22"/>
          <w:szCs w:val="22"/>
        </w:rPr>
        <w:t xml:space="preserve">Awareness of gender roles in Tang commercial spaces, including the documented agency of female proprietresses in entertainment and food service.</w:t>
      </w:r>
    </w:p>
    <w:p>
      <w:pPr>
        <w:pStyle w:val="ListParagraph"/>
        <w:numPr>
          <w:ilvl w:val="0"/>
          <w:numId w:val="3"/>
        </w:numPr>
        <w:spacing w:after="80" w:before="0" w:line="276" w:lineRule="auto"/>
      </w:pPr>
      <w:r>
        <w:rPr>
          <w:rFonts w:ascii="Arial" w:cs="Arial" w:eastAsia="Arial" w:hAnsi="Arial"/>
          <w:sz w:val="22"/>
          <w:szCs w:val="22"/>
        </w:rPr>
        <w:t xml:space="preserve">Familiarity with the Lantern Festival's social and legal significance, including the nocturnal curfew suspension.</w:t>
      </w:r>
    </w:p>
    <w:p>
      <w:pPr>
        <w:pStyle w:val="ListParagraph"/>
        <w:numPr>
          <w:ilvl w:val="0"/>
          <w:numId w:val="3"/>
        </w:numPr>
        <w:spacing w:after="80" w:before="0" w:line="276" w:lineRule="auto"/>
      </w:pPr>
      <w:r>
        <w:rPr>
          <w:rFonts w:ascii="Arial" w:cs="Arial" w:eastAsia="Arial" w:hAnsi="Arial"/>
          <w:sz w:val="22"/>
          <w:szCs w:val="22"/>
        </w:rPr>
        <w:t xml:space="preserve">Critical AI literacy: understanding that LLMs generate statistically plausible text, not historically vetted content.</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Why This Simulation Cannot Stand Alone</w:t>
      </w:r>
    </w:p>
    <w:p>
      <w:pPr>
        <w:spacing w:after="140" w:before="0" w:line="276" w:lineRule="auto"/>
        <w:jc w:val="both"/>
      </w:pPr>
      <w:r>
        <w:rPr>
          <w:rFonts w:ascii="Arial" w:cs="Arial" w:eastAsia="Arial" w:hAnsi="Arial"/>
          <w:sz w:val="22"/>
          <w:szCs w:val="22"/>
        </w:rPr>
        <w:t xml:space="preserve">This simulation makes the </w:t>
      </w:r>
      <w:r>
        <w:rPr>
          <w:rFonts w:ascii="Arial" w:cs="Arial" w:eastAsia="Arial" w:hAnsi="Arial"/>
          <w:b/>
          <w:bCs/>
          <w:sz w:val="22"/>
          <w:szCs w:val="22"/>
        </w:rPr>
        <w:t xml:space="preserve">LLM's training corpus into the implicit historical source</w:t>
      </w:r>
      <w:r>
        <w:rPr>
          <w:rFonts w:ascii="Arial" w:cs="Arial" w:eastAsia="Arial" w:hAnsi="Arial"/>
          <w:sz w:val="22"/>
          <w:szCs w:val="22"/>
        </w:rPr>
        <w:t xml:space="preserve">. MiniMax-M2's knowledge of Tang Dynasty social dynamics is uneven, shaped by the relative presence of Tang history in its training data (likely dominated by modern Chinese historiography and popular fiction). Students who observe the conversation between Chen Zian and An Lushan without prior grounding may mistakenly interpret LLM-generated dialogue as historically attested behavior rather than as a statistically plausible confabulation.</w:t>
      </w:r>
    </w:p>
    <w:p>
      <w:pPr>
        <w:spacing w:after="80" w:before="0" w:line="276" w:lineRule="auto"/>
      </w:pPr>
      <w:r>
        <w:t xml:space="preserve"/>
      </w:r>
    </w:p>
    <w:p>
      <w:pPr>
        <w:spacing w:after="140" w:before="0" w:line="276" w:lineRule="auto"/>
        <w:jc w:val="both"/>
      </w:pPr>
      <w:r>
        <w:rPr>
          <w:rFonts w:ascii="Arial" w:cs="Arial" w:eastAsia="Arial" w:hAnsi="Arial"/>
          <w:sz w:val="22"/>
          <w:szCs w:val="22"/>
        </w:rPr>
        <w:t xml:space="preserve">The simulation also systematically erases the experience of the majority of historical actors: urban laborers, enslaved persons, women in non-proprietress roles, children, and the poor are structurally absent from the agent roster and from the spatial logic of the simulation map.</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Assumptions Embedded in the Simulation Design</w:t>
      </w:r>
    </w:p>
    <w:p>
      <w:pPr>
        <w:pStyle w:val="ListParagraph"/>
        <w:numPr>
          <w:ilvl w:val="0"/>
          <w:numId w:val="2"/>
        </w:numPr>
        <w:spacing w:after="80" w:before="0" w:line="276" w:lineRule="auto"/>
      </w:pPr>
      <w:r>
        <w:rPr>
          <w:rFonts w:ascii="Arial" w:cs="Arial" w:eastAsia="Arial" w:hAnsi="Arial"/>
          <w:sz w:val="22"/>
          <w:szCs w:val="22"/>
        </w:rPr>
        <w:t xml:space="preserve">That historical social interaction can be adequately modeled through goal-directed agents with memory nodes — a highly individualist, psychologized model of human behavior.</w:t>
      </w:r>
    </w:p>
    <w:p>
      <w:pPr>
        <w:pStyle w:val="ListParagraph"/>
        <w:numPr>
          <w:ilvl w:val="0"/>
          <w:numId w:val="2"/>
        </w:numPr>
        <w:spacing w:after="80" w:before="0" w:line="276" w:lineRule="auto"/>
      </w:pPr>
      <w:r>
        <w:rPr>
          <w:rFonts w:ascii="Arial" w:cs="Arial" w:eastAsia="Arial" w:hAnsi="Arial"/>
          <w:sz w:val="22"/>
          <w:szCs w:val="22"/>
        </w:rPr>
        <w:t xml:space="preserve">That text-based dialogue is the primary medium of historically significant social action (erasing embodied, material, and non-verbal dimensions).</w:t>
      </w:r>
    </w:p>
    <w:p>
      <w:pPr>
        <w:pStyle w:val="ListParagraph"/>
        <w:numPr>
          <w:ilvl w:val="0"/>
          <w:numId w:val="2"/>
        </w:numPr>
        <w:spacing w:after="80" w:before="0" w:line="276" w:lineRule="auto"/>
      </w:pPr>
      <w:r>
        <w:rPr>
          <w:rFonts w:ascii="Arial" w:cs="Arial" w:eastAsia="Arial" w:hAnsi="Arial"/>
          <w:sz w:val="22"/>
          <w:szCs w:val="22"/>
        </w:rPr>
        <w:t xml:space="preserve">That three agents are a representative sample of a city of one million.</w:t>
      </w:r>
    </w:p>
    <w:p>
      <w:pPr>
        <w:pStyle w:val="ListParagraph"/>
        <w:numPr>
          <w:ilvl w:val="0"/>
          <w:numId w:val="2"/>
        </w:numPr>
        <w:spacing w:after="80" w:before="0" w:line="276" w:lineRule="auto"/>
      </w:pPr>
      <w:r>
        <w:rPr>
          <w:rFonts w:ascii="Arial" w:cs="Arial" w:eastAsia="Arial" w:hAnsi="Arial"/>
          <w:sz w:val="22"/>
          <w:szCs w:val="22"/>
        </w:rPr>
        <w:t xml:space="preserve">That the spatial logic of a contemporary American college town is a neutral substrate for any historical context.</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What the Simulation Gets Wrong, Flattens, or Fails to Represent</w:t>
      </w:r>
    </w:p>
    <w:p>
      <w:pPr>
        <w:spacing w:after="140" w:before="0" w:line="276" w:lineRule="auto"/>
        <w:jc w:val="[object Object]"/>
      </w:pPr>
      <w:r>
        <w:rPr>
          <w:rFonts w:ascii="Arial" w:cs="Arial" w:eastAsia="Arial" w:hAnsi="Arial"/>
          <w:sz w:val="22"/>
          <w:szCs w:val="22"/>
        </w:rPr>
        <w:t xml:space="preserve">The most significant distortion is the complete absence of </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Surrounding Learning Activities</w:t>
      </w:r>
    </w:p>
    <w:p>
      <w:pPr>
        <w:pStyle w:val="Heading3"/>
        <w:spacing w:after="80" w:before="180" w:line="276" w:lineRule="auto"/>
      </w:pPr>
      <w:r>
        <w:rPr>
          <w:rFonts w:ascii="Arial" w:cs="Arial" w:eastAsia="Arial" w:hAnsi="Arial"/>
          <w:b/>
          <w:bCs/>
          <w:color w:val="1A1A2E"/>
        </w:rPr>
        <w:t xml:space="preserve">Before the Simulation</w:t>
      </w:r>
    </w:p>
    <w:p>
      <w:pPr>
        <w:pStyle w:val="ListParagraph"/>
        <w:numPr>
          <w:ilvl w:val="0"/>
          <w:numId w:val="2"/>
        </w:numPr>
        <w:spacing w:after="80" w:before="0" w:line="276" w:lineRule="auto"/>
      </w:pPr>
      <w:r>
        <w:rPr>
          <w:rFonts w:ascii="Arial" w:cs="Arial" w:eastAsia="Arial" w:hAnsi="Arial"/>
          <w:sz w:val="22"/>
          <w:szCs w:val="22"/>
        </w:rPr>
        <w:t xml:space="preserve">Assign primary sources: translated excerpts from Tang huiyao (会要) on the Lantern Festival regulations and market laws.</w:t>
      </w:r>
    </w:p>
    <w:p>
      <w:pPr>
        <w:pStyle w:val="ListParagraph"/>
        <w:numPr>
          <w:ilvl w:val="0"/>
          <w:numId w:val="2"/>
        </w:numPr>
        <w:spacing w:after="80" w:before="0" w:line="276" w:lineRule="auto"/>
      </w:pPr>
      <w:r>
        <w:rPr>
          <w:rFonts w:ascii="Arial" w:cs="Arial" w:eastAsia="Arial" w:hAnsi="Arial"/>
          <w:sz w:val="22"/>
          <w:szCs w:val="22"/>
        </w:rPr>
        <w:t xml:space="preserve">Read secondary scholarship on Sogdian merchant networks in Tang China (e.g., Valerie Hansen's work on Silk Road contracts).</w:t>
      </w:r>
    </w:p>
    <w:p>
      <w:pPr>
        <w:pStyle w:val="ListParagraph"/>
        <w:numPr>
          <w:ilvl w:val="0"/>
          <w:numId w:val="2"/>
        </w:numPr>
        <w:spacing w:after="80" w:before="0" w:line="276" w:lineRule="auto"/>
      </w:pPr>
      <w:r>
        <w:rPr>
          <w:rFonts w:ascii="Arial" w:cs="Arial" w:eastAsia="Arial" w:hAnsi="Arial"/>
          <w:sz w:val="22"/>
          <w:szCs w:val="22"/>
        </w:rPr>
        <w:t xml:space="preserve">Have students write a brief prediction: "What do you expect the agents to do? What would a historically accurate encounter look like?"</w:t>
      </w:r>
    </w:p>
    <w:p>
      <w:pPr>
        <w:spacing w:after="80" w:before="0" w:line="276" w:lineRule="auto"/>
      </w:pPr>
      <w:r>
        <w:t xml:space="preserve"/>
      </w:r>
    </w:p>
    <w:p>
      <w:pPr>
        <w:pStyle w:val="Heading3"/>
        <w:spacing w:after="80" w:before="180" w:line="276" w:lineRule="auto"/>
      </w:pPr>
      <w:r>
        <w:rPr>
          <w:rFonts w:ascii="Arial" w:cs="Arial" w:eastAsia="Arial" w:hAnsi="Arial"/>
          <w:b/>
          <w:bCs/>
          <w:color w:val="1A1A2E"/>
        </w:rPr>
        <w:t xml:space="preserve">During the Simulation</w:t>
      </w:r>
    </w:p>
    <w:p>
      <w:pPr>
        <w:pStyle w:val="ListParagraph"/>
        <w:numPr>
          <w:ilvl w:val="0"/>
          <w:numId w:val="2"/>
        </w:numPr>
        <w:spacing w:after="80" w:before="0" w:line="276" w:lineRule="auto"/>
      </w:pPr>
      <w:r>
        <w:rPr>
          <w:rFonts w:ascii="Arial" w:cs="Arial" w:eastAsia="Arial" w:hAnsi="Arial"/>
          <w:sz w:val="22"/>
          <w:szCs w:val="22"/>
        </w:rPr>
        <w:t xml:space="preserve">Ask students to annotate the conversation log: mark each utterance as (a) historically plausible, (b) historically implausible, or (c) uncertain, with brief justification.</w:t>
      </w:r>
    </w:p>
    <w:p>
      <w:pPr>
        <w:pStyle w:val="ListParagraph"/>
        <w:numPr>
          <w:ilvl w:val="0"/>
          <w:numId w:val="2"/>
        </w:numPr>
        <w:spacing w:after="80" w:before="0" w:line="276" w:lineRule="auto"/>
      </w:pPr>
      <w:r>
        <w:rPr>
          <w:rFonts w:ascii="Arial" w:cs="Arial" w:eastAsia="Arial" w:hAnsi="Arial"/>
          <w:sz w:val="22"/>
          <w:szCs w:val="22"/>
        </w:rPr>
        <w:t xml:space="preserve">Ask students to note what the simulation cannot show them.</w:t>
      </w:r>
    </w:p>
    <w:p>
      <w:pPr>
        <w:spacing w:after="80" w:before="0" w:line="276" w:lineRule="auto"/>
      </w:pPr>
      <w:r>
        <w:t xml:space="preserve"/>
      </w:r>
    </w:p>
    <w:p>
      <w:pPr>
        <w:pStyle w:val="Heading3"/>
        <w:spacing w:after="80" w:before="180" w:line="276" w:lineRule="auto"/>
      </w:pPr>
      <w:r>
        <w:rPr>
          <w:rFonts w:ascii="Arial" w:cs="Arial" w:eastAsia="Arial" w:hAnsi="Arial"/>
          <w:b/>
          <w:bCs/>
          <w:color w:val="1A1A2E"/>
        </w:rPr>
        <w:t xml:space="preserve">After the Simulation</w:t>
      </w:r>
    </w:p>
    <w:p>
      <w:pPr>
        <w:pStyle w:val="ListParagraph"/>
        <w:numPr>
          <w:ilvl w:val="0"/>
          <w:numId w:val="2"/>
        </w:numPr>
        <w:spacing w:after="80" w:before="0" w:line="276" w:lineRule="auto"/>
      </w:pPr>
      <w:r>
        <w:rPr>
          <w:rFonts w:ascii="Arial" w:cs="Arial" w:eastAsia="Arial" w:hAnsi="Arial"/>
          <w:sz w:val="22"/>
          <w:szCs w:val="22"/>
        </w:rPr>
        <w:t xml:space="preserve">Compare the simulated scholar-merchant conversation with a documented Tang period anecdote involving similar social types.</w:t>
      </w:r>
    </w:p>
    <w:p>
      <w:pPr>
        <w:pStyle w:val="ListParagraph"/>
        <w:numPr>
          <w:ilvl w:val="0"/>
          <w:numId w:val="2"/>
        </w:numPr>
        <w:spacing w:after="80" w:before="0" w:line="276" w:lineRule="auto"/>
      </w:pPr>
      <w:r>
        <w:rPr>
          <w:rFonts w:ascii="Arial" w:cs="Arial" w:eastAsia="Arial" w:hAnsi="Arial"/>
          <w:sz w:val="22"/>
          <w:szCs w:val="22"/>
        </w:rPr>
        <w:t xml:space="preserve">Discussion prompt: "What does the fact that Li Mingzhu never woke up tell us about whose history gets simulated and whose gets silenced?"</w:t>
      </w:r>
    </w:p>
    <w:p>
      <w:pPr>
        <w:pStyle w:val="ListParagraph"/>
        <w:numPr>
          <w:ilvl w:val="0"/>
          <w:numId w:val="2"/>
        </w:numPr>
        <w:spacing w:after="80" w:before="0" w:line="276" w:lineRule="auto"/>
      </w:pPr>
      <w:r>
        <w:rPr>
          <w:rFonts w:ascii="Arial" w:cs="Arial" w:eastAsia="Arial" w:hAnsi="Arial"/>
          <w:sz w:val="22"/>
          <w:szCs w:val="22"/>
        </w:rPr>
        <w:t xml:space="preserve">Have students write a critique: "In what ways is this simulation more like a historical novel than a historical source?"</w:t>
      </w:r>
    </w:p>
    <w:p>
      <w:pPr>
        <w:spacing w:after="160" w:before="0" w:line="276" w:lineRule="auto"/>
      </w:pPr>
      <w:r>
        <w:t xml:space="preserve"/>
      </w:r>
    </w:p>
    <w:p>
      <w:r>
        <w:br w:type="page"/>
      </w:r>
    </w:p>
    <w:p>
      <w:pPr>
        <w:pStyle w:val="Heading1"/>
        <w:pBdr>
          <w:bottom w:val="single" w:color="8B6914" w:sz="8" w:space="4"/>
        </w:pBdr>
        <w:spacing w:after="160" w:before="360" w:line="276" w:lineRule="auto"/>
      </w:pPr>
      <w:r>
        <w:rPr>
          <w:rFonts w:ascii="Georgia" w:cs="Georgia" w:eastAsia="Georgia" w:hAnsi="Georgia"/>
          <w:b/>
          <w:bCs/>
          <w:color w:val="1A1A2E"/>
        </w:rPr>
        <w:t xml:space="preserve">7.  Strengths and Limitations</w:t>
      </w:r>
    </w:p>
    <w:p>
      <w:pPr>
        <w:pStyle w:val="Heading2"/>
        <w:spacing w:after="100" w:before="240" w:line="276" w:lineRule="auto"/>
      </w:pPr>
      <w:r>
        <w:rPr>
          <w:rFonts w:ascii="Georgia" w:cs="Georgia" w:eastAsia="Georgia" w:hAnsi="Georgia"/>
          <w:b/>
          <w:bCs/>
          <w:color w:val="8B6914"/>
        </w:rPr>
        <w:t xml:space="preserve">What the Simulation Helps Reveal</w:t>
      </w:r>
    </w:p>
    <w:p>
      <w:pPr>
        <w:pStyle w:val="ListParagraph"/>
        <w:numPr>
          <w:ilvl w:val="0"/>
          <w:numId w:val="2"/>
        </w:numPr>
        <w:spacing w:after="80" w:before="0" w:line="276" w:lineRule="auto"/>
      </w:pPr>
      <w:r>
        <w:rPr>
          <w:rFonts w:ascii="Arial" w:cs="Arial" w:eastAsia="Arial" w:hAnsi="Arial"/>
          <w:sz w:val="22"/>
          <w:szCs w:val="22"/>
        </w:rPr>
        <w:t xml:space="preserve">The social function of the tea house as a cross-status meeting space — the simulation's one active interaction spontaneously converged on this historical institution.</w:t>
      </w:r>
    </w:p>
    <w:p>
      <w:pPr>
        <w:pStyle w:val="ListParagraph"/>
        <w:numPr>
          <w:ilvl w:val="0"/>
          <w:numId w:val="2"/>
        </w:numPr>
        <w:spacing w:after="80" w:before="0" w:line="276" w:lineRule="auto"/>
      </w:pPr>
      <w:r>
        <w:rPr>
          <w:rFonts w:ascii="Arial" w:cs="Arial" w:eastAsia="Arial" w:hAnsi="Arial"/>
          <w:sz w:val="22"/>
          <w:szCs w:val="22"/>
        </w:rPr>
        <w:t xml:space="preserve">The instrumental nature of cross-class relationships in Tang society — the scholar wants intelligence; the merchant wants customers — a pattern that emerges without explicit scripting.</w:t>
      </w:r>
    </w:p>
    <w:p>
      <w:pPr>
        <w:pStyle w:val="ListParagraph"/>
        <w:numPr>
          <w:ilvl w:val="0"/>
          <w:numId w:val="2"/>
        </w:numPr>
        <w:spacing w:after="80" w:before="0" w:line="276" w:lineRule="auto"/>
      </w:pPr>
      <w:r>
        <w:rPr>
          <w:rFonts w:ascii="Arial" w:cs="Arial" w:eastAsia="Arial" w:hAnsi="Arial"/>
          <w:sz w:val="22"/>
          <w:szCs w:val="22"/>
        </w:rPr>
        <w:t xml:space="preserve">The tension between individual agency (goals) and structural constraint (schedules) in historical actor modeling — made visible precisely because the simulation fails to resolve it.</w:t>
      </w:r>
    </w:p>
    <w:p>
      <w:pPr>
        <w:pStyle w:val="ListParagraph"/>
        <w:numPr>
          <w:ilvl w:val="0"/>
          <w:numId w:val="2"/>
        </w:numPr>
        <w:spacing w:after="80" w:before="0" w:line="276" w:lineRule="auto"/>
      </w:pPr>
      <w:r>
        <w:rPr>
          <w:rFonts w:ascii="Arial" w:cs="Arial" w:eastAsia="Arial" w:hAnsi="Arial"/>
          <w:sz w:val="22"/>
          <w:szCs w:val="22"/>
        </w:rPr>
        <w:t xml:space="preserve">The limits of LLM knowledge as a historical source — the occasional generation of plausible-but-unverifiable details (e.g., "White Jade Tea House") illustrates confabulation.</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What the Simulation Cannot Capture Well</w:t>
      </w:r>
    </w:p>
    <w:p>
      <w:pPr>
        <w:pStyle w:val="ListParagraph"/>
        <w:numPr>
          <w:ilvl w:val="0"/>
          <w:numId w:val="2"/>
        </w:numPr>
        <w:spacing w:after="80" w:before="0" w:line="276" w:lineRule="auto"/>
      </w:pPr>
      <w:r>
        <w:rPr>
          <w:rFonts w:ascii="Arial" w:cs="Arial" w:eastAsia="Arial" w:hAnsi="Arial"/>
          <w:sz w:val="22"/>
          <w:szCs w:val="22"/>
        </w:rPr>
        <w:t xml:space="preserve">Material culture: the smell of spices, the weight of silk, the light of lanterns — the sensory world of the festival is entirely absent.</w:t>
      </w:r>
    </w:p>
    <w:p>
      <w:pPr>
        <w:pStyle w:val="ListParagraph"/>
        <w:numPr>
          <w:ilvl w:val="0"/>
          <w:numId w:val="2"/>
        </w:numPr>
        <w:spacing w:after="80" w:before="0" w:line="276" w:lineRule="auto"/>
      </w:pPr>
      <w:r>
        <w:rPr>
          <w:rFonts w:ascii="Arial" w:cs="Arial" w:eastAsia="Arial" w:hAnsi="Arial"/>
          <w:sz w:val="22"/>
          <w:szCs w:val="22"/>
        </w:rPr>
        <w:t xml:space="preserve">Structural power: legal status, ethnic hierarchy, gendered access to commercial space.</w:t>
      </w:r>
    </w:p>
    <w:p>
      <w:pPr>
        <w:pStyle w:val="ListParagraph"/>
        <w:numPr>
          <w:ilvl w:val="0"/>
          <w:numId w:val="2"/>
        </w:numPr>
        <w:spacing w:after="80" w:before="0" w:line="276" w:lineRule="auto"/>
      </w:pPr>
      <w:r>
        <w:rPr>
          <w:rFonts w:ascii="Arial" w:cs="Arial" w:eastAsia="Arial" w:hAnsi="Arial"/>
          <w:sz w:val="22"/>
          <w:szCs w:val="22"/>
        </w:rPr>
        <w:t xml:space="preserve">The experience of the majority: non-elite actors, women outside the proprietress role, foreign workers.</w:t>
      </w:r>
    </w:p>
    <w:p>
      <w:pPr>
        <w:pStyle w:val="ListParagraph"/>
        <w:numPr>
          <w:ilvl w:val="0"/>
          <w:numId w:val="2"/>
        </w:numPr>
        <w:spacing w:after="80" w:before="0" w:line="276" w:lineRule="auto"/>
      </w:pPr>
      <w:r>
        <w:rPr>
          <w:rFonts w:ascii="Arial" w:cs="Arial" w:eastAsia="Arial" w:hAnsi="Arial"/>
          <w:sz w:val="22"/>
          <w:szCs w:val="22"/>
        </w:rPr>
        <w:t xml:space="preserve">Temporal depth: 200 steps covering 33 minutes of simulated time cannot represent the multi-day arc of Lantern Festival celebrations.</w:t>
      </w:r>
    </w:p>
    <w:p>
      <w:pPr>
        <w:pStyle w:val="ListParagraph"/>
        <w:numPr>
          <w:ilvl w:val="0"/>
          <w:numId w:val="2"/>
        </w:numPr>
        <w:spacing w:after="80" w:before="0" w:line="276" w:lineRule="auto"/>
      </w:pPr>
      <w:r>
        <w:rPr>
          <w:rFonts w:ascii="Arial" w:cs="Arial" w:eastAsia="Arial" w:hAnsi="Arial"/>
          <w:sz w:val="22"/>
          <w:szCs w:val="22"/>
        </w:rPr>
        <w:t xml:space="preserve">Non-linguistic action: bowing, gift-giving, the exchange of visiting cards (名帖) — social rituals that operate below the level of conversation.</w:t>
      </w:r>
    </w:p>
    <w:p>
      <w:pPr>
        <w:spacing w:after="80" w:before="0" w:line="276" w:lineRule="auto"/>
      </w:pPr>
      <w:r>
        <w:t xml:space="preserve"/>
      </w:r>
    </w:p>
    <w:p>
      <w:pPr>
        <w:pStyle w:val="Heading2"/>
        <w:spacing w:after="100" w:before="240" w:line="276" w:lineRule="auto"/>
      </w:pPr>
      <w:r>
        <w:rPr>
          <w:rFonts w:ascii="Georgia" w:cs="Georgia" w:eastAsia="Georgia" w:hAnsi="Georgia"/>
          <w:b/>
          <w:bCs/>
          <w:color w:val="8B6914"/>
        </w:rPr>
        <w:t xml:space="preserve">Utility Assessment</w:t>
      </w:r>
    </w:p>
    <w:p>
      <w:pPr>
        <w:spacing w:after="140" w:before="0" w:line="276" w:lineRule="auto"/>
        <w:jc w:val="[object Object]"/>
      </w:pPr>
      <w:r>
        <w:rPr>
          <w:rFonts w:ascii="Arial" w:cs="Arial" w:eastAsia="Arial" w:hAnsi="Arial"/>
          <w:sz w:val="22"/>
          <w:szCs w:val="22"/>
        </w:rPr>
        <w:t xml:space="preserve">This simulation is most useful as a tool for </w:t>
      </w:r>
    </w:p>
    <w:p>
      <w:pPr>
        <w:spacing w:after="160" w:before="0" w:line="276" w:lineRule="auto"/>
      </w:pPr>
      <w:r>
        <w:t xml:space="preserve"/>
      </w:r>
    </w:p>
    <w:p>
      <w:r>
        <w:br w:type="page"/>
      </w:r>
    </w:p>
    <w:p>
      <w:pPr>
        <w:pStyle w:val="Heading1"/>
        <w:pBdr>
          <w:bottom w:val="single" w:color="8B6914" w:sz="8" w:space="4"/>
        </w:pBdr>
        <w:spacing w:after="160" w:before="360" w:line="276" w:lineRule="auto"/>
      </w:pPr>
      <w:r>
        <w:rPr>
          <w:rFonts w:ascii="Georgia" w:cs="Georgia" w:eastAsia="Georgia" w:hAnsi="Georgia"/>
          <w:b/>
          <w:bCs/>
          <w:color w:val="1A1A2E"/>
        </w:rPr>
        <w:t xml:space="preserve">8.  Final Reflection</w:t>
      </w:r>
    </w:p>
    <w:p>
      <w:pPr>
        <w:spacing w:after="140" w:before="0" w:line="276" w:lineRule="auto"/>
        <w:jc w:val="both"/>
      </w:pPr>
      <w:r>
        <w:rPr>
          <w:rFonts w:ascii="Arial" w:cs="Arial" w:eastAsia="Arial" w:hAnsi="Arial"/>
          <w:sz w:val="22"/>
          <w:szCs w:val="22"/>
        </w:rPr>
        <w:t xml:space="preserve">Analyzing agent behavior in a historical world has clarified two things simultaneously: what generative AI systems do well, and what the discipline of history requires that they cannot provide.</w:t>
      </w:r>
    </w:p>
    <w:p>
      <w:pPr>
        <w:spacing w:after="80" w:before="0" w:line="276" w:lineRule="auto"/>
      </w:pPr>
      <w:r>
        <w:t xml:space="preserve"/>
      </w:r>
    </w:p>
    <w:p>
      <w:pPr>
        <w:spacing w:after="140" w:before="0" w:line="276" w:lineRule="auto"/>
        <w:jc w:val="both"/>
      </w:pPr>
      <w:r>
        <w:rPr>
          <w:rFonts w:ascii="Arial" w:cs="Arial" w:eastAsia="Arial" w:hAnsi="Arial"/>
          <w:sz w:val="22"/>
          <w:szCs w:val="22"/>
        </w:rPr>
        <w:t xml:space="preserve">The agents, when they functioned, produced dialogue that was genuinely surprising in its coherence. Chen Zian's anxiety about examiner preferences, An Lushan's social intelligence about scholar networks, the mutual gravitation toward Li Mingzhu's tea house as a neutral meeting point — none of this was explicitly scripted. It emerged from the interaction of memory nodes, goal architectures, and an LLM's probabilistic knowledge of a historical world. That emergence is genuinely interesting as a computational phenomenon.</w:t>
      </w:r>
    </w:p>
    <w:p>
      <w:pPr>
        <w:spacing w:after="80" w:before="0" w:line="276" w:lineRule="auto"/>
      </w:pPr>
      <w:r>
        <w:t xml:space="preserve"/>
      </w:r>
    </w:p>
    <w:p>
      <w:pPr>
        <w:spacing w:after="140" w:before="0" w:line="276" w:lineRule="auto"/>
        <w:jc w:val="[object Object]"/>
      </w:pPr>
      <w:r>
        <w:rPr>
          <w:rFonts w:ascii="Arial" w:cs="Arial" w:eastAsia="Arial" w:hAnsi="Arial"/>
          <w:sz w:val="22"/>
          <w:szCs w:val="22"/>
        </w:rPr>
        <w:t xml:space="preserve">But the simulation also made visible something that historical methodology takes seriously and that AI systems cannot: the </w:t>
      </w:r>
    </w:p>
    <w:p>
      <w:pPr>
        <w:spacing w:after="80" w:before="0" w:line="276" w:lineRule="auto"/>
      </w:pPr>
      <w:r>
        <w:t xml:space="preserve"/>
      </w:r>
    </w:p>
    <w:p>
      <w:pPr>
        <w:spacing w:after="140" w:before="0" w:line="276" w:lineRule="auto"/>
        <w:jc w:val="[object Object]"/>
      </w:pPr>
      <w:r>
        <w:rPr>
          <w:rFonts w:ascii="Arial" w:cs="Arial" w:eastAsia="Arial" w:hAnsi="Arial"/>
          <w:sz w:val="22"/>
          <w:szCs w:val="22"/>
        </w:rPr>
        <w:t xml:space="preserve">Ultimately, this exercise has clarified that agent-based historical simulation is best understood as a form of </w:t>
      </w:r>
    </w:p>
    <w:p>
      <w:pPr>
        <w:spacing w:after="160" w:before="0" w:line="276" w:lineRule="auto"/>
      </w:pPr>
      <w:r>
        <w:t xml:space="preserve"/>
      </w:r>
    </w:p>
    <w:p>
      <w:pPr>
        <w:pBdr>
          <w:top w:val="single" w:color="E8E0D0" w:sz="4" w:space="4"/>
        </w:pBdr>
        <w:spacing w:after="80" w:before="0" w:line="276" w:lineRule="auto"/>
      </w:pPr>
    </w:p>
    <w:p>
      <w:pPr>
        <w:pStyle w:val="Heading2"/>
        <w:spacing w:after="100" w:before="240" w:line="276" w:lineRule="auto"/>
      </w:pPr>
      <w:r>
        <w:rPr>
          <w:rFonts w:ascii="Georgia" w:cs="Georgia" w:eastAsia="Georgia" w:hAnsi="Georgia"/>
          <w:b/>
          <w:bCs/>
          <w:color w:val="8B6914"/>
        </w:rPr>
        <w:t xml:space="preserve">Grading Rubric (Self-Assessment)</w:t>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3600"/>
        <w:gridCol w:w="1200"/>
        <w:gridCol w:w="4560"/>
      </w:tblGrid>
      <w:tr>
        <w:tc>
          <w:tcPr>
            <w:tcW w:type="dxa" w:w="3600"/>
            <w:shd w:fill="1A1A2E" w:val="clear"/>
            <w:tcMar>
              <w:top w:type="dxa" w:w="80"/>
              <w:left w:type="dxa" w:w="140"/>
              <w:bottom w:type="dxa" w:w="80"/>
              <w:right w:type="dxa" w:w="100"/>
            </w:tcMar>
          </w:tcPr>
          <w:p>
            <w:r>
              <w:rPr>
                <w:rFonts w:ascii="Arial" w:cs="Arial" w:eastAsia="Arial" w:hAnsi="Arial"/>
                <w:b/>
                <w:bCs/>
                <w:color w:val="FFFFFF"/>
                <w:sz w:val="20"/>
                <w:szCs w:val="20"/>
              </w:rPr>
              <w:t xml:space="preserve">Criterion</w:t>
            </w:r>
          </w:p>
        </w:tc>
        <w:tc>
          <w:tcPr>
            <w:tcW w:type="dxa" w:w="1200"/>
            <w:shd w:fill="1A1A2E" w:val="clear"/>
            <w:tcMar>
              <w:top w:type="dxa" w:w="80"/>
              <w:left w:type="dxa" w:w="140"/>
              <w:bottom w:type="dxa" w:w="80"/>
              <w:right w:type="dxa" w:w="100"/>
            </w:tcMar>
          </w:tcPr>
          <w:p>
            <w:r>
              <w:rPr>
                <w:rFonts w:ascii="Arial" w:cs="Arial" w:eastAsia="Arial" w:hAnsi="Arial"/>
                <w:b/>
                <w:bCs/>
                <w:color w:val="FFFFFF"/>
                <w:sz w:val="20"/>
                <w:szCs w:val="20"/>
              </w:rPr>
              <w:t xml:space="preserve">Points</w:t>
            </w:r>
          </w:p>
        </w:tc>
        <w:tc>
          <w:tcPr>
            <w:tcW w:type="dxa" w:w="4560"/>
            <w:shd w:fill="1A1A2E" w:val="clear"/>
            <w:tcMar>
              <w:top w:type="dxa" w:w="80"/>
              <w:left w:type="dxa" w:w="140"/>
              <w:bottom w:type="dxa" w:w="80"/>
              <w:right w:type="dxa" w:w="100"/>
            </w:tcMar>
          </w:tcPr>
          <w:p>
            <w:r>
              <w:rPr>
                <w:rFonts w:ascii="Arial" w:cs="Arial" w:eastAsia="Arial" w:hAnsi="Arial"/>
                <w:b/>
                <w:bCs/>
                <w:color w:val="FFFFFF"/>
                <w:sz w:val="20"/>
                <w:szCs w:val="20"/>
              </w:rPr>
              <w:t xml:space="preserve">Self-Assessment</w:t>
            </w:r>
          </w:p>
        </w:tc>
      </w:tr>
      <w:tr>
        <w:tc>
          <w:tcPr>
            <w:tcW w:type="dxa" w:w="3600"/>
            <w:shd w:fill="E8E0D0" w:val="clear"/>
            <w:tcMar>
              <w:top w:type="dxa" w:w="60"/>
              <w:left w:type="dxa" w:w="140"/>
              <w:bottom w:type="dxa" w:w="60"/>
              <w:right w:type="dxa" w:w="100"/>
            </w:tcMar>
          </w:tcPr>
          <w:p>
            <w:r>
              <w:rPr>
                <w:rFonts w:ascii="Arial" w:cs="Arial" w:eastAsia="Arial" w:hAnsi="Arial"/>
                <w:b/>
                <w:bCs/>
                <w:sz w:val="20"/>
                <w:szCs w:val="20"/>
              </w:rPr>
              <w:t xml:space="preserve">Completion &amp; Clarity</w:t>
            </w:r>
          </w:p>
        </w:tc>
        <w:tc>
          <w:tcPr>
            <w:tcW w:type="dxa" w:w="1200"/>
            <w:shd w:fill="E8E0D0" w:val="clear"/>
            <w:tcMar>
              <w:top w:type="dxa" w:w="60"/>
              <w:left w:type="dxa" w:w="140"/>
              <w:bottom w:type="dxa" w:w="60"/>
              <w:right w:type="dxa" w:w="100"/>
            </w:tcMar>
          </w:tcPr>
          <w:p>
            <w:pPr>
              <w:jc w:val="center"/>
            </w:pPr>
            <w:r>
              <w:rPr>
                <w:rFonts w:ascii="Arial" w:cs="Arial" w:eastAsia="Arial" w:hAnsi="Arial"/>
                <w:b/>
                <w:bCs/>
                <w:color w:val="8B6914"/>
                <w:sz w:val="20"/>
                <w:szCs w:val="20"/>
              </w:rPr>
              <w:t xml:space="preserve">5</w:t>
            </w:r>
          </w:p>
        </w:tc>
        <w:tc>
          <w:tcPr>
            <w:tcW w:type="dxa" w:w="4560"/>
            <w:shd w:fill="E8E0D0" w:val="clear"/>
            <w:tcMar>
              <w:top w:type="dxa" w:w="60"/>
              <w:left w:type="dxa" w:w="140"/>
              <w:bottom w:type="dxa" w:w="60"/>
              <w:right w:type="dxa" w:w="100"/>
            </w:tcMar>
          </w:tcPr>
          <w:p>
            <w:r>
              <w:rPr>
                <w:rFonts w:ascii="Arial" w:cs="Arial" w:eastAsia="Arial" w:hAnsi="Arial"/>
                <w:sz w:val="19"/>
                <w:szCs w:val="19"/>
              </w:rPr>
              <w:t xml:space="preserve">All 8 required sections present with specific evidence from simulation logs.</w:t>
            </w:r>
          </w:p>
        </w:tc>
      </w:tr>
      <w:tr>
        <w:tc>
          <w:tcPr>
            <w:tcW w:type="dxa" w:w="3600"/>
            <w:shd w:fill="FFFFFF" w:val="clear"/>
            <w:tcMar>
              <w:top w:type="dxa" w:w="60"/>
              <w:left w:type="dxa" w:w="140"/>
              <w:bottom w:type="dxa" w:w="60"/>
              <w:right w:type="dxa" w:w="100"/>
            </w:tcMar>
          </w:tcPr>
          <w:p>
            <w:r>
              <w:rPr>
                <w:rFonts w:ascii="Arial" w:cs="Arial" w:eastAsia="Arial" w:hAnsi="Arial"/>
                <w:b/>
                <w:bCs/>
                <w:sz w:val="20"/>
                <w:szCs w:val="20"/>
              </w:rPr>
              <w:t xml:space="preserve">Behavior Analysis</w:t>
            </w:r>
          </w:p>
        </w:tc>
        <w:tc>
          <w:tcPr>
            <w:tcW w:type="dxa" w:w="1200"/>
            <w:shd w:fill="FFFFFF" w:val="clear"/>
            <w:tcMar>
              <w:top w:type="dxa" w:w="60"/>
              <w:left w:type="dxa" w:w="140"/>
              <w:bottom w:type="dxa" w:w="60"/>
              <w:right w:type="dxa" w:w="100"/>
            </w:tcMar>
          </w:tcPr>
          <w:p>
            <w:pPr>
              <w:jc w:val="center"/>
            </w:pPr>
            <w:r>
              <w:rPr>
                <w:rFonts w:ascii="Arial" w:cs="Arial" w:eastAsia="Arial" w:hAnsi="Arial"/>
                <w:b/>
                <w:bCs/>
                <w:color w:val="8B6914"/>
                <w:sz w:val="20"/>
                <w:szCs w:val="20"/>
              </w:rPr>
              <w:t xml:space="preserve">5</w:t>
            </w:r>
          </w:p>
        </w:tc>
        <w:tc>
          <w:tcPr>
            <w:tcW w:type="dxa" w:w="4560"/>
            <w:shd w:fill="FFFFFF" w:val="clear"/>
            <w:tcMar>
              <w:top w:type="dxa" w:w="60"/>
              <w:left w:type="dxa" w:w="140"/>
              <w:bottom w:type="dxa" w:w="60"/>
              <w:right w:type="dxa" w:w="100"/>
            </w:tcMar>
          </w:tcPr>
          <w:p>
            <w:r>
              <w:rPr>
                <w:rFonts w:ascii="Arial" w:cs="Arial" w:eastAsia="Arial" w:hAnsi="Arial"/>
                <w:sz w:val="19"/>
                <w:szCs w:val="19"/>
              </w:rPr>
              <w:t xml:space="preserve">Three documented observations with movement data, conversation transcript, and pattern analysis.</w:t>
            </w:r>
          </w:p>
        </w:tc>
      </w:tr>
      <w:tr>
        <w:tc>
          <w:tcPr>
            <w:tcW w:type="dxa" w:w="3600"/>
            <w:shd w:fill="E8E0D0" w:val="clear"/>
            <w:tcMar>
              <w:top w:type="dxa" w:w="60"/>
              <w:left w:type="dxa" w:w="140"/>
              <w:bottom w:type="dxa" w:w="60"/>
              <w:right w:type="dxa" w:w="100"/>
            </w:tcMar>
          </w:tcPr>
          <w:p>
            <w:r>
              <w:rPr>
                <w:rFonts w:ascii="Arial" w:cs="Arial" w:eastAsia="Arial" w:hAnsi="Arial"/>
                <w:b/>
                <w:bCs/>
                <w:sz w:val="20"/>
                <w:szCs w:val="20"/>
              </w:rPr>
              <w:t xml:space="preserve">Historical Critique &amp; Interpretation</w:t>
            </w:r>
          </w:p>
        </w:tc>
        <w:tc>
          <w:tcPr>
            <w:tcW w:type="dxa" w:w="1200"/>
            <w:shd w:fill="E8E0D0" w:val="clear"/>
            <w:tcMar>
              <w:top w:type="dxa" w:w="60"/>
              <w:left w:type="dxa" w:w="140"/>
              <w:bottom w:type="dxa" w:w="60"/>
              <w:right w:type="dxa" w:w="100"/>
            </w:tcMar>
          </w:tcPr>
          <w:p>
            <w:pPr>
              <w:jc w:val="center"/>
            </w:pPr>
            <w:r>
              <w:rPr>
                <w:rFonts w:ascii="Arial" w:cs="Arial" w:eastAsia="Arial" w:hAnsi="Arial"/>
                <w:b/>
                <w:bCs/>
                <w:color w:val="8B6914"/>
                <w:sz w:val="20"/>
                <w:szCs w:val="20"/>
              </w:rPr>
              <w:t xml:space="preserve">5</w:t>
            </w:r>
          </w:p>
        </w:tc>
        <w:tc>
          <w:tcPr>
            <w:tcW w:type="dxa" w:w="4560"/>
            <w:shd w:fill="E8E0D0" w:val="clear"/>
            <w:tcMar>
              <w:top w:type="dxa" w:w="60"/>
              <w:left w:type="dxa" w:w="140"/>
              <w:bottom w:type="dxa" w:w="60"/>
              <w:right w:type="dxa" w:w="100"/>
            </w:tcMar>
          </w:tcPr>
          <w:p>
            <w:r>
              <w:rPr>
                <w:rFonts w:ascii="Arial" w:cs="Arial" w:eastAsia="Arial" w:hAnsi="Arial"/>
                <w:sz w:val="19"/>
                <w:szCs w:val="19"/>
              </w:rPr>
              <w:t xml:space="preserve">Explicit critique of simulation as learning tool, anachronisms identified, pedagogical framing provided.</w:t>
            </w:r>
          </w:p>
        </w:tc>
      </w:tr>
    </w:tbl>
    <w:p>
      <w:pPr>
        <w:spacing w:after="160" w:before="0" w:line="276" w:lineRule="auto"/>
      </w:pPr>
      <w:r>
        <w:t xml:space="preserve"/>
      </w:r>
    </w:p>
    <w:p>
      <w:pPr>
        <w:pStyle w:val="Heading2"/>
        <w:spacing w:after="100" w:before="240" w:line="276" w:lineRule="auto"/>
      </w:pPr>
      <w:r>
        <w:rPr>
          <w:rFonts w:ascii="Georgia" w:cs="Georgia" w:eastAsia="Georgia" w:hAnsi="Georgia"/>
          <w:b/>
          <w:bCs/>
          <w:color w:val="8B6914"/>
        </w:rPr>
        <w:t xml:space="preserve">Simulation Metadata</w:t>
      </w:r>
    </w:p>
    <w:tbl>
      <w:tblPr>
        <w:tblW w:type="dxa" w:w="9360"/>
        <w:tblBorders>
          <w:top w:val="single" w:color="C9A96E" w:sz="1"/>
          <w:left w:val="single" w:color="C9A96E" w:sz="1"/>
          <w:bottom w:val="single" w:color="C9A96E" w:sz="1"/>
          <w:right w:val="single" w:color="C9A96E" w:sz="1"/>
          <w:insideH w:val="single" w:color="auto" w:sz="4"/>
          <w:insideV w:val="single" w:color="auto" w:sz="4"/>
        </w:tblBorders>
      </w:tblPr>
      <w:tblGrid>
        <w:gridCol w:w="2800"/>
        <w:gridCol w:w="6560"/>
      </w:tblGrid>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Simulation Code</w:t>
            </w:r>
          </w:p>
        </w:tc>
        <w:tc>
          <w:tcPr>
            <w:tcW w:type="dxa" w:w="6560"/>
            <w:tcMar>
              <w:top w:type="dxa" w:w="80"/>
              <w:left w:type="dxa" w:w="160"/>
              <w:bottom w:type="dxa" w:w="80"/>
              <w:right w:type="dxa" w:w="120"/>
            </w:tcMar>
          </w:tcPr>
          <w:p>
            <w:r>
              <w:rPr>
                <w:rFonts w:ascii="Arial" w:cs="Arial" w:eastAsia="Arial" w:hAnsi="Arial"/>
                <w:sz w:val="20"/>
                <w:szCs w:val="20"/>
              </w:rPr>
              <w:t xml:space="preserve">tang_lantern_minimal_20260426_121131</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Framework</w:t>
            </w:r>
          </w:p>
        </w:tc>
        <w:tc>
          <w:tcPr>
            <w:tcW w:type="dxa" w:w="6560"/>
            <w:tcMar>
              <w:top w:type="dxa" w:w="80"/>
              <w:left w:type="dxa" w:w="160"/>
              <w:bottom w:type="dxa" w:w="80"/>
              <w:right w:type="dxa" w:w="120"/>
            </w:tcMar>
          </w:tcPr>
          <w:p>
            <w:r>
              <w:rPr>
                <w:rFonts w:ascii="Arial" w:cs="Arial" w:eastAsia="Arial" w:hAnsi="Arial"/>
                <w:sz w:val="20"/>
                <w:szCs w:val="20"/>
              </w:rPr>
              <w:t xml:space="preserve">Stanford Smallville (Park et al., 2023) — headless adaptation</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LLM Backend</w:t>
            </w:r>
          </w:p>
        </w:tc>
        <w:tc>
          <w:tcPr>
            <w:tcW w:type="dxa" w:w="6560"/>
            <w:tcMar>
              <w:top w:type="dxa" w:w="80"/>
              <w:left w:type="dxa" w:w="160"/>
              <w:bottom w:type="dxa" w:w="80"/>
              <w:right w:type="dxa" w:w="120"/>
            </w:tcMar>
          </w:tcPr>
          <w:p>
            <w:r>
              <w:rPr>
                <w:rFonts w:ascii="Arial" w:cs="Arial" w:eastAsia="Arial" w:hAnsi="Arial"/>
                <w:sz w:val="20"/>
                <w:szCs w:val="20"/>
              </w:rPr>
              <w:t xml:space="preserve">MiniMax-M2 via https://api.minimaxi.com/v1</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Steps Completed</w:t>
            </w:r>
          </w:p>
        </w:tc>
        <w:tc>
          <w:tcPr>
            <w:tcW w:type="dxa" w:w="6560"/>
            <w:tcMar>
              <w:top w:type="dxa" w:w="80"/>
              <w:left w:type="dxa" w:w="160"/>
              <w:bottom w:type="dxa" w:w="80"/>
              <w:right w:type="dxa" w:w="120"/>
            </w:tcMar>
          </w:tcPr>
          <w:p>
            <w:r>
              <w:rPr>
                <w:rFonts w:ascii="Arial" w:cs="Arial" w:eastAsia="Arial" w:hAnsi="Arial"/>
                <w:sz w:val="20"/>
                <w:szCs w:val="20"/>
              </w:rPr>
              <w:t xml:space="preserve">200 / 200 (exit code 0)</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Simulated Time</w:t>
            </w:r>
          </w:p>
        </w:tc>
        <w:tc>
          <w:tcPr>
            <w:tcW w:type="dxa" w:w="6560"/>
            <w:tcMar>
              <w:top w:type="dxa" w:w="80"/>
              <w:left w:type="dxa" w:w="160"/>
              <w:bottom w:type="dxa" w:w="80"/>
              <w:right w:type="dxa" w:w="120"/>
            </w:tcMar>
          </w:tcPr>
          <w:p>
            <w:r>
              <w:rPr>
                <w:rFonts w:ascii="Arial" w:cs="Arial" w:eastAsia="Arial" w:hAnsi="Arial"/>
                <w:sz w:val="20"/>
                <w:szCs w:val="20"/>
              </w:rPr>
              <w:t xml:space="preserve">742-02-15 18:00:00 to 18:33:10 (33 min 10 sec)</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Conversations Logged</w:t>
            </w:r>
          </w:p>
        </w:tc>
        <w:tc>
          <w:tcPr>
            <w:tcW w:type="dxa" w:w="6560"/>
            <w:tcMar>
              <w:top w:type="dxa" w:w="80"/>
              <w:left w:type="dxa" w:w="160"/>
              <w:bottom w:type="dxa" w:w="80"/>
              <w:right w:type="dxa" w:w="120"/>
            </w:tcMar>
          </w:tcPr>
          <w:p>
            <w:r>
              <w:rPr>
                <w:rFonts w:ascii="Arial" w:cs="Arial" w:eastAsia="Arial" w:hAnsi="Arial"/>
                <w:sz w:val="20"/>
                <w:szCs w:val="20"/>
              </w:rPr>
              <w:t xml:space="preserve">1 (Chen Zian &amp; An Lushan, Step 45)</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Agents Active (&gt;0 steps)</w:t>
            </w:r>
          </w:p>
        </w:tc>
        <w:tc>
          <w:tcPr>
            <w:tcW w:type="dxa" w:w="6560"/>
            <w:tcMar>
              <w:top w:type="dxa" w:w="80"/>
              <w:left w:type="dxa" w:w="160"/>
              <w:bottom w:type="dxa" w:w="80"/>
              <w:right w:type="dxa" w:w="120"/>
            </w:tcMar>
          </w:tcPr>
          <w:p>
            <w:r>
              <w:rPr>
                <w:rFonts w:ascii="Arial" w:cs="Arial" w:eastAsia="Arial" w:hAnsi="Arial"/>
                <w:sz w:val="20"/>
                <w:szCs w:val="20"/>
              </w:rPr>
              <w:t xml:space="preserve">2 of 3 (Li Mingzhu: 0 active steps)</w:t>
            </w:r>
          </w:p>
        </w:tc>
      </w:tr>
      <w:tr>
        <w:tc>
          <w:tcPr>
            <w:tcW w:type="dxa" w:w="2800"/>
            <w:shd w:fill="E8E0D0" w:val="clear"/>
            <w:tcMar>
              <w:top w:type="dxa" w:w="80"/>
              <w:left w:type="dxa" w:w="160"/>
              <w:bottom w:type="dxa" w:w="80"/>
              <w:right w:type="dxa" w:w="120"/>
            </w:tcMar>
            <w:vAlign w:val="center"/>
          </w:tcPr>
          <w:p>
            <w:r>
              <w:rPr>
                <w:rFonts w:ascii="Arial" w:cs="Arial" w:eastAsia="Arial" w:hAnsi="Arial"/>
                <w:b/>
                <w:bCs/>
                <w:color w:val="1A1A2E"/>
                <w:sz w:val="20"/>
                <w:szCs w:val="20"/>
              </w:rPr>
              <w:t xml:space="preserve">Output Files</w:t>
            </w:r>
          </w:p>
        </w:tc>
        <w:tc>
          <w:tcPr>
            <w:tcW w:type="dxa" w:w="6560"/>
            <w:tcMar>
              <w:top w:type="dxa" w:w="80"/>
              <w:left w:type="dxa" w:w="160"/>
              <w:bottom w:type="dxa" w:w="80"/>
              <w:right w:type="dxa" w:w="120"/>
            </w:tcMar>
          </w:tcPr>
          <w:p>
            <w:r>
              <w:rPr>
                <w:rFonts w:ascii="Arial" w:cs="Arial" w:eastAsia="Arial" w:hAnsi="Arial"/>
                <w:sz w:val="20"/>
                <w:szCs w:val="20"/>
              </w:rPr>
              <w:t xml:space="preserve">environment.json, movement_logs.json, conversation_logs.json, simulation_log.txt</w:t>
            </w:r>
          </w:p>
        </w:tc>
      </w:tr>
    </w:tbl>
    <w:p>
      <w:pPr>
        <w:spacing w:after="160" w:before="0" w:line="276" w:lineRule="auto"/>
      </w:pPr>
      <w:r>
        <w:t xml:space="preserve"/>
      </w:r>
    </w:p>
    <w:sectPr>
      <w:head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0D0" w:sz="4" w:space="4"/>
      </w:pBdr>
      <w:jc w:val="right"/>
    </w:pPr>
    <w:r>
      <w:rPr>
        <w:rFonts w:ascii="Arial" w:cs="Arial" w:eastAsia="Arial" w:hAnsi="Arial"/>
        <w:color w:val="666666"/>
        <w:sz w:val="18"/>
        <w:szCs w:val="18"/>
      </w:rPr>
      <w:t xml:space="preserve">Generative Agent Simulation Report  |  Tang Dynasty Chang'an  |  </w:t>
    </w:r>
    <w:r>
      <w:rPr>
        <w:rFonts w:ascii="Arial" w:cs="Arial" w:eastAsia="Arial" w:hAnsi="Arial"/>
        <w:color w:val="666666"/>
        <w:sz w:val="18"/>
        <w:szCs w:val="18"/>
      </w:rPr>
      <w:t xml:space="preserve">p. </w:t>
    </w:r>
    <w:r>
      <w:rPr>
        <w:rFonts w:ascii="Arial" w:cs="Arial" w:eastAsia="Arial" w:hAnsi="Arial"/>
        <w:color w:val="66666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00" w:before="240"/>
      <w:outlineLvl w:val="1"/>
    </w:pPr>
    <w:rPr>
      <w:rFonts w:ascii="Georgia" w:cs="Georgia" w:eastAsia="Georgia" w:hAnsi="Georgia"/>
      <w:b/>
      <w:bCs/>
      <w:color w:val="8B691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2026-04-26T17:40:03.607Z</dcterms:created>
  <dcterms:modified xsi:type="dcterms:W3CDTF">2026-04-26T17:40:03.608Z</dcterms:modified>
</cp:coreProperties>
</file>

<file path=docProps/custom.xml><?xml version="1.0" encoding="utf-8"?>
<Properties xmlns="http://schemas.openxmlformats.org/officeDocument/2006/custom-properties" xmlns:vt="http://schemas.openxmlformats.org/officeDocument/2006/docPropsVTypes"/>
</file>