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Georgia" w:cs="Georgia" w:eastAsia="Georgia" w:hAnsi="Georgia"/>
          <w:b/>
          <w:bCs/>
          <w:color w:val="1A1A2E"/>
          <w:sz w:val="40"/>
          <w:szCs w:val="40"/>
        </w:rPr>
        <w:t xml:space="preserve">Generative Agent Simulation Report</w:t>
      </w:r>
    </w:p>
    <w:p>
      <w:pPr>
        <w:spacing w:after="60" w:before="0" w:line="276" w:lineRule="auto"/>
        <w:jc w:val="center"/>
      </w:pPr>
      <w:r>
        <w:rPr>
          <w:rFonts w:ascii="Georgia" w:cs="Georgia" w:eastAsia="Georgia" w:hAnsi="Georgia"/>
          <w:i/>
          <w:iCs/>
          <w:color w:val="8B6914"/>
          <w:sz w:val="24"/>
          <w:szCs w:val="24"/>
        </w:rPr>
        <w:t xml:space="preserve">Tang Dynasty Chang'an · Lantern Festival 742 AD · tang_run_5000</w:t>
      </w:r>
    </w:p>
    <w:p>
      <w:pPr>
        <w:pBdr>
          <w:bottom w:val="single" w:color="8B6914" w:sz="6" w:space="8"/>
        </w:pBdr>
        <w:spacing w:after="0" w:before="0" w:line="276" w:lineRule="auto"/>
        <w:jc w:val="center"/>
      </w:pPr>
      <w:r>
        <w:rPr>
          <w:rFonts w:ascii="Arial" w:cs="Arial" w:eastAsia="Arial" w:hAnsi="Arial"/>
          <w:color w:val="666666"/>
          <w:sz w:val="20"/>
          <w:szCs w:val="20"/>
        </w:rPr>
        <w:t xml:space="preserve">5,000 Steps  ·  3 Agents  ·  MiniMax-M2  ·  April 27, 2026</w:t>
      </w:r>
    </w:p>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1.  Historical World Overview</w:t>
      </w:r>
    </w:p>
    <w:p>
      <w:pPr>
        <w:spacing w:after="120" w:before="0" w:line="276" w:lineRule="auto"/>
        <w:jc w:val="both"/>
      </w:pPr>
      <w:r>
        <w:rPr>
          <w:rFonts w:ascii="Arial" w:cs="Arial" w:eastAsia="Arial" w:hAnsi="Arial"/>
          <w:sz w:val="22"/>
          <w:szCs w:val="22"/>
        </w:rPr>
        <w:t xml:space="preserve">This simulation sets three generative agents in the Chang'an West Market district (长安西市) on the evening of the Lantern Festival (元宵节), February 15, 742 AD — the thirtieth year of Emperor Xuanzong's Kaiyuan era. The Lantern Festival was the one night each year when Chang'an's strict nocturnal curfew was lifted, drawing all social strata — scholars, merchants, officials, and entertainers — into the streets simultaneously. Chang'an was the world's largest city in 742 AD (~1 million inhabitants), and the West Market was the eastern terminus of the Silk Road, where foreign merchants legally operated under Tang commercial law.</w:t>
      </w:r>
    </w:p>
    <w:p>
      <w:pPr>
        <w:spacing w:after="80" w:before="0" w:line="276" w:lineRule="auto"/>
      </w:pPr>
      <w:r>
        <w:t xml:space="preserve"/>
      </w:r>
    </w:p>
    <w:p>
      <w:pPr>
        <w:spacing w:after="120" w:before="0" w:line="276" w:lineRule="auto"/>
        <w:jc w:val="both"/>
      </w:pPr>
      <w:r>
        <w:rPr>
          <w:rFonts w:ascii="Arial" w:cs="Arial" w:eastAsia="Arial" w:hAnsi="Arial"/>
          <w:sz w:val="22"/>
          <w:szCs w:val="22"/>
        </w:rPr>
        <w:t xml:space="preserve">The simulation covers a full 14-hour arc from dusk (18:00, Feb 15) through the following morning (07:53, Feb 16), allowing observation of evening festival activity, nighttime routines, and early morning transitions across all three agent archetypes.</w:t>
      </w:r>
    </w:p>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2.  Agent Setup</w:t>
      </w:r>
    </w:p>
    <w:p>
      <w:pPr>
        <w:spacing w:after="120" w:before="0" w:line="276" w:lineRule="auto"/>
        <w:jc w:val="both"/>
      </w:pPr>
      <w:r>
        <w:rPr>
          <w:rFonts w:ascii="Arial" w:cs="Arial" w:eastAsia="Arial" w:hAnsi="Arial"/>
          <w:sz w:val="22"/>
          <w:szCs w:val="22"/>
        </w:rPr>
        <w:t xml:space="preserve">Three agents were built on the Stanford Smallville framework, reskinned with Tang Dynasty identities and hand-crafted bootstrap memory nodes grounding each agent in their historical role.</w:t>
      </w:r>
    </w:p>
    <w:p>
      <w:pPr>
        <w:spacing w:after="8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000"/>
        <w:gridCol w:w="7360"/>
      </w:tblGrid>
      <w:tr>
        <w:tc>
          <w:tcPr>
            <w:tcW w:type="dxa" w:w="9360"/>
            <w:gridSpan w:val="2"/>
            <w:shd w:fill="1A1A2E" w:val="clear"/>
            <w:tcMar>
              <w:top w:type="dxa" w:w="80"/>
              <w:left w:type="dxa" w:w="180"/>
              <w:bottom w:type="dxa" w:w="80"/>
              <w:right w:type="dxa" w:w="180"/>
            </w:tcMar>
          </w:tcPr>
          <w:p>
            <w:r>
              <w:rPr>
                <w:rFonts w:ascii="Georgia" w:cs="Georgia" w:eastAsia="Georgia" w:hAnsi="Georgia"/>
                <w:b/>
                <w:bCs/>
                <w:color w:val="FFFFFF"/>
                <w:sz w:val="22"/>
                <w:szCs w:val="22"/>
              </w:rPr>
              <w:t xml:space="preserve">Li Mingzhu  </w:t>
            </w:r>
            <w:r>
              <w:rPr>
                <w:rFonts w:ascii="Arial" w:cs="Arial" w:eastAsia="Arial" w:hAnsi="Arial"/>
                <w:color w:val="C9A96E"/>
                <w:sz w:val="20"/>
                <w:szCs w:val="20"/>
              </w:rPr>
              <w:t xml:space="preserve">(李明珠)  —  Tea House Owner, age 32</w:t>
            </w:r>
          </w:p>
        </w:tc>
      </w:tr>
      <w:tr>
        <w:tc>
          <w:tcPr>
            <w:shd w:fill="E8E0D0" w:val="clear"/>
            <w:tcMar>
              <w:top w:type="dxa" w:w="60"/>
              <w:left w:type="dxa" w:w="140"/>
              <w:bottom w:type="dxa" w:w="60"/>
              <w:right w:type="dxa" w:w="100"/>
            </w:tcMar>
          </w:tcPr>
          <w:p>
            <w:r>
              <w:rPr>
                <w:rFonts w:ascii="Arial" w:cs="Arial" w:eastAsia="Arial" w:hAnsi="Arial"/>
                <w:b/>
                <w:bCs/>
                <w:color w:val="1A1A2E"/>
                <w:sz w:val="20"/>
                <w:szCs w:val="20"/>
              </w:rPr>
              <w:t xml:space="preserve">Goal</w:t>
            </w:r>
          </w:p>
        </w:tc>
        <w:tc>
          <w:tcPr>
            <w:tcMar>
              <w:top w:type="dxa" w:w="60"/>
              <w:left w:type="dxa" w:w="140"/>
              <w:bottom w:type="dxa" w:w="60"/>
              <w:right w:type="dxa" w:w="100"/>
            </w:tcMar>
          </w:tcPr>
          <w:p>
            <w:r>
              <w:rPr>
                <w:rFonts w:ascii="Arial" w:cs="Arial" w:eastAsia="Arial" w:hAnsi="Arial"/>
                <w:sz w:val="20"/>
                <w:szCs w:val="20"/>
              </w:rPr>
              <w:t xml:space="preserve">Host a successful Lantern Festival gathering: arrange tea, cakes, and lamps; welcome regulars and new visitors from 6 pm.</w:t>
            </w:r>
          </w:p>
        </w:tc>
      </w:tr>
    </w:tbl>
    <w:p>
      <w:pPr>
        <w:spacing w:after="8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000"/>
        <w:gridCol w:w="7360"/>
      </w:tblGrid>
      <w:tr>
        <w:tc>
          <w:tcPr>
            <w:tcW w:type="dxa" w:w="9360"/>
            <w:gridSpan w:val="2"/>
            <w:shd w:fill="1A1A2E" w:val="clear"/>
            <w:tcMar>
              <w:top w:type="dxa" w:w="80"/>
              <w:left w:type="dxa" w:w="180"/>
              <w:bottom w:type="dxa" w:w="80"/>
              <w:right w:type="dxa" w:w="180"/>
            </w:tcMar>
          </w:tcPr>
          <w:p>
            <w:r>
              <w:rPr>
                <w:rFonts w:ascii="Georgia" w:cs="Georgia" w:eastAsia="Georgia" w:hAnsi="Georgia"/>
                <w:b/>
                <w:bCs/>
                <w:color w:val="FFFFFF"/>
                <w:sz w:val="22"/>
                <w:szCs w:val="22"/>
              </w:rPr>
              <w:t xml:space="preserve">Chen Zian  </w:t>
            </w:r>
            <w:r>
              <w:rPr>
                <w:rFonts w:ascii="Arial" w:cs="Arial" w:eastAsia="Arial" w:hAnsi="Arial"/>
                <w:color w:val="C9A96E"/>
                <w:sz w:val="20"/>
                <w:szCs w:val="20"/>
              </w:rPr>
              <w:t xml:space="preserve">(陈子安)  —  Imperial Examination Candidate, age 24</w:t>
            </w:r>
          </w:p>
        </w:tc>
      </w:tr>
      <w:tr>
        <w:tc>
          <w:tcPr>
            <w:shd w:fill="E8E0D0" w:val="clear"/>
            <w:tcMar>
              <w:top w:type="dxa" w:w="60"/>
              <w:left w:type="dxa" w:w="140"/>
              <w:bottom w:type="dxa" w:w="60"/>
              <w:right w:type="dxa" w:w="100"/>
            </w:tcMar>
          </w:tcPr>
          <w:p>
            <w:r>
              <w:rPr>
                <w:rFonts w:ascii="Arial" w:cs="Arial" w:eastAsia="Arial" w:hAnsi="Arial"/>
                <w:b/>
                <w:bCs/>
                <w:color w:val="1A1A2E"/>
                <w:sz w:val="20"/>
                <w:szCs w:val="20"/>
              </w:rPr>
              <w:t xml:space="preserve">Goal</w:t>
            </w:r>
          </w:p>
        </w:tc>
        <w:tc>
          <w:tcPr>
            <w:tcMar>
              <w:top w:type="dxa" w:w="60"/>
              <w:left w:type="dxa" w:w="140"/>
              <w:bottom w:type="dxa" w:w="60"/>
              <w:right w:type="dxa" w:w="100"/>
            </w:tcMar>
          </w:tcPr>
          <w:p>
            <w:r>
              <w:rPr>
                <w:rFonts w:ascii="Arial" w:cs="Arial" w:eastAsia="Arial" w:hAnsi="Arial"/>
                <w:sz w:val="20"/>
                <w:szCs w:val="20"/>
              </w:rPr>
              <w:t xml:space="preserve">Prepare for the imperial examination: review Confucian classics, practice regulated verse, seek intelligence on examiner preferences.</w:t>
            </w:r>
          </w:p>
        </w:tc>
      </w:tr>
    </w:tbl>
    <w:p>
      <w:pPr>
        <w:spacing w:after="8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000"/>
        <w:gridCol w:w="7360"/>
      </w:tblGrid>
      <w:tr>
        <w:tc>
          <w:tcPr>
            <w:tcW w:type="dxa" w:w="9360"/>
            <w:gridSpan w:val="2"/>
            <w:shd w:fill="1A1A2E" w:val="clear"/>
            <w:tcMar>
              <w:top w:type="dxa" w:w="80"/>
              <w:left w:type="dxa" w:w="180"/>
              <w:bottom w:type="dxa" w:w="80"/>
              <w:right w:type="dxa" w:w="180"/>
            </w:tcMar>
          </w:tcPr>
          <w:p>
            <w:r>
              <w:rPr>
                <w:rFonts w:ascii="Georgia" w:cs="Georgia" w:eastAsia="Georgia" w:hAnsi="Georgia"/>
                <w:b/>
                <w:bCs/>
                <w:color w:val="FFFFFF"/>
                <w:sz w:val="22"/>
                <w:szCs w:val="22"/>
              </w:rPr>
              <w:t xml:space="preserve">An Lushan  </w:t>
            </w:r>
            <w:r>
              <w:rPr>
                <w:rFonts w:ascii="Arial" w:cs="Arial" w:eastAsia="Arial" w:hAnsi="Arial"/>
                <w:color w:val="C9A96E"/>
                <w:sz w:val="20"/>
                <w:szCs w:val="20"/>
              </w:rPr>
              <w:t xml:space="preserve">(安禄山)  —  Sogdian Silk Road Merchant, age 38</w:t>
            </w:r>
          </w:p>
        </w:tc>
      </w:tr>
      <w:tr>
        <w:tc>
          <w:tcPr>
            <w:shd w:fill="E8E0D0" w:val="clear"/>
            <w:tcMar>
              <w:top w:type="dxa" w:w="60"/>
              <w:left w:type="dxa" w:w="140"/>
              <w:bottom w:type="dxa" w:w="60"/>
              <w:right w:type="dxa" w:w="100"/>
            </w:tcMar>
          </w:tcPr>
          <w:p>
            <w:r>
              <w:rPr>
                <w:rFonts w:ascii="Arial" w:cs="Arial" w:eastAsia="Arial" w:hAnsi="Arial"/>
                <w:b/>
                <w:bCs/>
                <w:color w:val="1A1A2E"/>
                <w:sz w:val="20"/>
                <w:szCs w:val="20"/>
              </w:rPr>
              <w:t xml:space="preserve">Goal</w:t>
            </w:r>
          </w:p>
        </w:tc>
        <w:tc>
          <w:tcPr>
            <w:tcMar>
              <w:top w:type="dxa" w:w="60"/>
              <w:left w:type="dxa" w:w="140"/>
              <w:bottom w:type="dxa" w:w="60"/>
              <w:right w:type="dxa" w:w="100"/>
            </w:tcMar>
          </w:tcPr>
          <w:p>
            <w:r>
              <w:rPr>
                <w:rFonts w:ascii="Arial" w:cs="Arial" w:eastAsia="Arial" w:hAnsi="Arial"/>
                <w:sz w:val="20"/>
                <w:szCs w:val="20"/>
              </w:rPr>
              <w:t xml:space="preserve">Sell glass cups and aromatic spices at West Market; secure local partners; host a trade feast before the caravan departs.</w:t>
            </w:r>
          </w:p>
        </w:tc>
      </w:tr>
    </w:tbl>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3.  Behavior Documentation</w:t>
      </w:r>
    </w:p>
    <w:p>
      <w:pPr>
        <w:spacing w:after="120" w:before="0" w:line="276" w:lineRule="auto"/>
        <w:jc w:val="both"/>
      </w:pPr>
      <w:r>
        <w:rPr>
          <w:rFonts w:ascii="Arial" w:cs="Arial" w:eastAsia="Arial" w:hAnsi="Arial"/>
          <w:sz w:val="22"/>
          <w:szCs w:val="22"/>
        </w:rPr>
        <w:t xml:space="preserve">The simulation ran </w:t>
      </w:r>
      <w:r>
        <w:rPr>
          <w:rFonts w:ascii="Arial" w:cs="Arial" w:eastAsia="Arial" w:hAnsi="Arial"/>
          <w:b/>
          <w:bCs/>
          <w:sz w:val="22"/>
          <w:szCs w:val="22"/>
        </w:rPr>
        <w:t xml:space="preserve">5,000 steps</w:t>
      </w:r>
      <w:r>
        <w:rPr>
          <w:rFonts w:ascii="Arial" w:cs="Arial" w:eastAsia="Arial" w:hAnsi="Arial"/>
          <w:sz w:val="22"/>
          <w:szCs w:val="22"/>
        </w:rPr>
        <w:t xml:space="preserve"> (10 seconds/step), covering </w:t>
      </w:r>
      <w:r>
        <w:rPr>
          <w:rFonts w:ascii="Arial" w:cs="Arial" w:eastAsia="Arial" w:hAnsi="Arial"/>
          <w:b/>
          <w:bCs/>
          <w:sz w:val="22"/>
          <w:szCs w:val="22"/>
        </w:rPr>
        <w:t xml:space="preserve">0742-02-15 18:00 → 0742-02-16 07:53</w:t>
      </w:r>
      <w:r>
        <w:rPr>
          <w:rFonts w:ascii="Arial" w:cs="Arial" w:eastAsia="Arial" w:hAnsi="Arial"/>
          <w:sz w:val="22"/>
          <w:szCs w:val="22"/>
        </w:rPr>
        <w:t xml:space="preserve">. Two conversations were recorded.</w:t>
      </w:r>
    </w:p>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Observation 1 — Li Mingzhu Opens the Tea House (Steps 0–359)</w:t>
      </w:r>
    </w:p>
    <w:p>
      <w:pPr>
        <w:spacing w:after="120" w:before="0" w:line="276" w:lineRule="auto"/>
        <w:jc w:val="both"/>
      </w:pPr>
      <w:r>
        <w:rPr>
          <w:rFonts w:ascii="Arial" w:cs="Arial" w:eastAsia="Arial" w:hAnsi="Arial"/>
          <w:sz w:val="22"/>
          <w:szCs w:val="22"/>
        </w:rPr>
        <w:t xml:space="preserve">Li Mingzhu was the only agent with an active goal-aligned action at simulation start. For 360 consecutive steps (18:00–19:00) she was logged as: "Li opens the doors to the tea house for the Lantern Festival evening gathering, warmly greeting arriving customers." She moved continuously across the tile map, consistent with a proprietress circulating among guests. After Step 359 her schedule transitioned to sleep states for the remainder of the run.</w:t>
      </w:r>
    </w:p>
    <w:p>
      <w:pPr>
        <w:pBdr>
          <w:left w:val="single" w:color="8B6914" w:sz="10" w:space="8"/>
        </w:pBdr>
        <w:spacing w:after="60" w:before="60" w:line="276" w:lineRule="auto"/>
        <w:ind w:left="640" w:right="640"/>
        <w:jc w:val="left"/>
      </w:pPr>
      <w:r>
        <w:rPr>
          <w:rFonts w:ascii="Courier New" w:cs="Courier New" w:eastAsia="Courier New" w:hAnsi="Courier New"/>
          <w:i/>
          <w:iCs/>
          <w:color w:val="444444"/>
          <w:sz w:val="18"/>
          <w:szCs w:val="18"/>
        </w:rPr>
        <w:t xml:space="preserve">[0742-02-15 18:00:00]  Li Mingzhu → Li opens the doors to the tea house for the Lantern Festival evening gathering, warmly greeting arriving customers @ [73, 14]</w:t>
      </w:r>
    </w:p>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Observation 2 — Scholar-Merchant Conversation (Step 8, 18:01:20)</w:t>
      </w:r>
    </w:p>
    <w:p>
      <w:pPr>
        <w:spacing w:after="120" w:before="0" w:line="276" w:lineRule="auto"/>
        <w:jc w:val="both"/>
      </w:pPr>
      <w:r>
        <w:rPr>
          <w:rFonts w:ascii="Arial" w:cs="Arial" w:eastAsia="Arial" w:hAnsi="Arial"/>
          <w:sz w:val="22"/>
          <w:szCs w:val="22"/>
        </w:rPr>
        <w:t xml:space="preserve">At Step 8, Chen Zian and An Lushan — both in the Scholar's Inn common room — engaged in a 16-turn conversation. Chen Zian sought intelligence on examiner preferences; An Lushan consistently deflected while attempting to identify Chen Zian as a potential customer. Both agents spontaneously referenced Li Mingzhu's tea house as a meeting point. A second, much shorter conversation (1 turn) occurred at Step 4,818 (06:03, Feb 16) — An Lushan briefly acknowledging he must return to work.</w:t>
      </w:r>
    </w:p>
    <w:p>
      <w:pPr>
        <w:spacing w:after="80" w:before="0" w:line="276" w:lineRule="auto"/>
      </w:pPr>
      <w:r>
        <w:t xml:space="preserve"/>
      </w:r>
    </w:p>
    <w:p>
      <w:pPr>
        <w:spacing w:after="120" w:before="0" w:line="276" w:lineRule="auto"/>
        <w:jc w:val="both"/>
      </w:pPr>
      <w:r>
        <w:rPr>
          <w:rFonts w:ascii="Arial" w:cs="Arial" w:eastAsia="Arial" w:hAnsi="Arial"/>
          <w:sz w:val="22"/>
          <w:szCs w:val="22"/>
        </w:rPr>
        <w:t xml:space="preserve">Selected exchange:</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2200"/>
            <w:shd w:fill="1A1A2E" w:val="clear"/>
            <w:tcMar>
              <w:top w:type="dxa" w:w="80"/>
              <w:left w:type="dxa" w:w="140"/>
              <w:bottom w:type="dxa" w:w="80"/>
              <w:right w:type="dxa" w:w="100"/>
            </w:tcMar>
          </w:tcPr>
          <w:p>
            <w:r>
              <w:rPr>
                <w:rFonts w:ascii="Arial" w:cs="Arial" w:eastAsia="Arial" w:hAnsi="Arial"/>
                <w:b/>
                <w:bCs/>
                <w:color w:val="FFFFFF"/>
                <w:sz w:val="20"/>
                <w:szCs w:val="20"/>
              </w:rPr>
              <w:t xml:space="preserve">Speaker</w:t>
            </w:r>
          </w:p>
        </w:tc>
        <w:tc>
          <w:tcPr>
            <w:tcW w:type="dxa" w:w="7160"/>
            <w:shd w:fill="1A1A2E" w:val="clear"/>
            <w:tcMar>
              <w:top w:type="dxa" w:w="80"/>
              <w:left w:type="dxa" w:w="140"/>
              <w:bottom w:type="dxa" w:w="80"/>
              <w:right w:type="dxa" w:w="100"/>
            </w:tcMar>
          </w:tcPr>
          <w:p>
            <w:r>
              <w:rPr>
                <w:rFonts w:ascii="Arial" w:cs="Arial" w:eastAsia="Arial" w:hAnsi="Arial"/>
                <w:b/>
                <w:bCs/>
                <w:color w:val="FFFFFF"/>
                <w:sz w:val="20"/>
                <w:szCs w:val="20"/>
              </w:rPr>
              <w:t xml:space="preserve">Utterance</w:t>
            </w:r>
          </w:p>
        </w:tc>
      </w:tr>
      <w:tr>
        <w:tc>
          <w:tcPr>
            <w:tcW w:type="dxa" w:w="2200"/>
            <w:shd w:fill="E8E0D0" w:val="clear"/>
            <w:tcMar>
              <w:top w:type="dxa" w:w="60"/>
              <w:left w:type="dxa" w:w="140"/>
              <w:bottom w:type="dxa" w:w="60"/>
              <w:right w:type="dxa" w:w="100"/>
            </w:tcMar>
          </w:tcPr>
          <w:p>
            <w:r>
              <w:rPr>
                <w:rFonts w:ascii="Arial" w:cs="Arial" w:eastAsia="Arial" w:hAnsi="Arial"/>
                <w:sz w:val="20"/>
                <w:szCs w:val="20"/>
              </w:rPr>
              <w:t xml:space="preserve">Chen Zian</w:t>
            </w:r>
          </w:p>
        </w:tc>
        <w:tc>
          <w:tcPr>
            <w:tcW w:type="dxa" w:w="7160"/>
            <w:shd w:fill="E8E0D0" w:val="clear"/>
            <w:tcMar>
              <w:top w:type="dxa" w:w="60"/>
              <w:left w:type="dxa" w:w="140"/>
              <w:bottom w:type="dxa" w:w="60"/>
              <w:right w:type="dxa" w:w="100"/>
            </w:tcMar>
          </w:tcPr>
          <w:p>
            <w:r>
              <w:rPr>
                <w:rFonts w:ascii="Arial" w:cs="Arial" w:eastAsia="Arial" w:hAnsi="Arial"/>
                <w:sz w:val="20"/>
                <w:szCs w:val="20"/>
              </w:rPr>
              <w:t xml:space="preserve">As a merchant who travels throughout the realm, you must have many observations about the capital and its scholarly circles — do you know what qualities the current examiners favor?</w:t>
            </w:r>
          </w:p>
        </w:tc>
      </w:tr>
      <w:tr>
        <w:tc>
          <w:tcPr>
            <w:tcW w:type="dxa" w:w="2200"/>
            <w:shd w:fill="FFFFFF" w:val="clear"/>
            <w:tcMar>
              <w:top w:type="dxa" w:w="60"/>
              <w:left w:type="dxa" w:w="140"/>
              <w:bottom w:type="dxa" w:w="60"/>
              <w:right w:type="dxa" w:w="100"/>
            </w:tcMar>
          </w:tcPr>
          <w:p>
            <w:r>
              <w:rPr>
                <w:rFonts w:ascii="Arial" w:cs="Arial" w:eastAsia="Arial" w:hAnsi="Arial"/>
                <w:sz w:val="20"/>
                <w:szCs w:val="20"/>
              </w:rPr>
              <w:t xml:space="preserve">An Lushan</w:t>
            </w:r>
          </w:p>
        </w:tc>
        <w:tc>
          <w:tcPr>
            <w:tcW w:type="dxa" w:w="7160"/>
            <w:shd w:fill="FFFFFF" w:val="clear"/>
            <w:tcMar>
              <w:top w:type="dxa" w:w="60"/>
              <w:left w:type="dxa" w:w="140"/>
              <w:bottom w:type="dxa" w:w="60"/>
              <w:right w:type="dxa" w:w="100"/>
            </w:tcMar>
          </w:tcPr>
          <w:p>
            <w:r>
              <w:rPr>
                <w:rFonts w:ascii="Arial" w:cs="Arial" w:eastAsia="Arial" w:hAnsi="Arial"/>
                <w:sz w:val="20"/>
                <w:szCs w:val="20"/>
              </w:rPr>
              <w:t xml:space="preserve">The imperial examination halls are somewhat beyond my expertise. However, the families of successful candidates often become my best customers — newly appointed officials seeking foreign goods to furnish their new residences...</w:t>
            </w:r>
          </w:p>
        </w:tc>
      </w:tr>
      <w:tr>
        <w:tc>
          <w:tcPr>
            <w:tcW w:type="dxa" w:w="2200"/>
            <w:shd w:fill="E8E0D0" w:val="clear"/>
            <w:tcMar>
              <w:top w:type="dxa" w:w="60"/>
              <w:left w:type="dxa" w:w="140"/>
              <w:bottom w:type="dxa" w:w="60"/>
              <w:right w:type="dxa" w:w="100"/>
            </w:tcMar>
          </w:tcPr>
          <w:p>
            <w:r>
              <w:rPr>
                <w:rFonts w:ascii="Arial" w:cs="Arial" w:eastAsia="Arial" w:hAnsi="Arial"/>
                <w:sz w:val="20"/>
                <w:szCs w:val="20"/>
              </w:rPr>
              <w:t xml:space="preserve">Chen Zian</w:t>
            </w:r>
          </w:p>
        </w:tc>
        <w:tc>
          <w:tcPr>
            <w:tcW w:type="dxa" w:w="7160"/>
            <w:shd w:fill="E8E0D0" w:val="clear"/>
            <w:tcMar>
              <w:top w:type="dxa" w:w="60"/>
              <w:left w:type="dxa" w:w="140"/>
              <w:bottom w:type="dxa" w:w="60"/>
              <w:right w:type="dxa" w:w="100"/>
            </w:tcMar>
          </w:tcPr>
          <w:p>
            <w:r>
              <w:rPr>
                <w:rFonts w:ascii="Arial" w:cs="Arial" w:eastAsia="Arial" w:hAnsi="Arial"/>
                <w:sz w:val="20"/>
                <w:szCs w:val="20"/>
              </w:rPr>
              <w:t xml:space="preserve">Those who succeed often have families with means to support their studies for years, and connections to influential households. Perhaps we could speak further at the tea house nearby?</w:t>
            </w:r>
          </w:p>
        </w:tc>
      </w:tr>
      <w:tr>
        <w:tc>
          <w:tcPr>
            <w:tcW w:type="dxa" w:w="2200"/>
            <w:shd w:fill="FFFFFF" w:val="clear"/>
            <w:tcMar>
              <w:top w:type="dxa" w:w="60"/>
              <w:left w:type="dxa" w:w="140"/>
              <w:bottom w:type="dxa" w:w="60"/>
              <w:right w:type="dxa" w:w="100"/>
            </w:tcMar>
          </w:tcPr>
          <w:p>
            <w:r>
              <w:rPr>
                <w:rFonts w:ascii="Arial" w:cs="Arial" w:eastAsia="Arial" w:hAnsi="Arial"/>
                <w:sz w:val="20"/>
                <w:szCs w:val="20"/>
              </w:rPr>
              <w:t xml:space="preserve">An Lushan</w:t>
            </w:r>
          </w:p>
        </w:tc>
        <w:tc>
          <w:tcPr>
            <w:tcW w:type="dxa" w:w="7160"/>
            <w:shd w:fill="FFFFFF" w:val="clear"/>
            <w:tcMar>
              <w:top w:type="dxa" w:w="60"/>
              <w:left w:type="dxa" w:w="140"/>
              <w:bottom w:type="dxa" w:w="60"/>
              <w:right w:type="dxa" w:w="100"/>
            </w:tcMar>
          </w:tcPr>
          <w:p>
            <w:r>
              <w:rPr>
                <w:rFonts w:ascii="Arial" w:cs="Arial" w:eastAsia="Arial" w:hAnsi="Arial"/>
                <w:sz w:val="20"/>
                <w:szCs w:val="20"/>
              </w:rPr>
              <w:t xml:space="preserve">I must be candid with you — while I know much about the goods that wealthy households desire, the inner workings of the examination halls are beyond me. But scholars like yourself have needs I might help with.</w:t>
            </w:r>
          </w:p>
        </w:tc>
      </w:tr>
    </w:tbl>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Observation 3 — Activity Distribution Across 14 Hours</w:t>
      </w:r>
    </w:p>
    <w:p>
      <w:pPr>
        <w:spacing w:after="120" w:before="0" w:line="276" w:lineRule="auto"/>
        <w:jc w:val="both"/>
      </w:pPr>
      <w:r>
        <w:rPr>
          <w:rFonts w:ascii="Arial" w:cs="Arial" w:eastAsia="Arial" w:hAnsi="Arial"/>
          <w:sz w:val="22"/>
          <w:szCs w:val="22"/>
        </w:rPr>
        <w:t xml:space="preserve">The full 5,000-step run (15,000 total agent-steps) broke down as follows:</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3200"/>
        <w:gridCol w:w="1800"/>
        <w:gridCol w:w="2000"/>
        <w:gridCol w:w="2360"/>
      </w:tblGrid>
      <w:tr>
        <w:tc>
          <w:tcPr>
            <w:tcW w:type="dxa" w:w="3200"/>
            <w:shd w:fill="1A1A2E" w:val="clear"/>
            <w:tcMar>
              <w:top w:type="dxa" w:w="80"/>
              <w:left w:type="dxa" w:w="140"/>
              <w:bottom w:type="dxa" w:w="80"/>
              <w:right w:type="dxa" w:w="100"/>
            </w:tcMar>
          </w:tcPr>
          <w:p>
            <w:r>
              <w:rPr>
                <w:rFonts w:ascii="Arial" w:cs="Arial" w:eastAsia="Arial" w:hAnsi="Arial"/>
                <w:b/>
                <w:bCs/>
                <w:color w:val="FFFFFF"/>
                <w:sz w:val="20"/>
                <w:szCs w:val="20"/>
              </w:rPr>
              <w:t xml:space="preserve">Activity</w:t>
            </w:r>
          </w:p>
        </w:tc>
        <w:tc>
          <w:tcPr>
            <w:tcW w:type="dxa" w:w="1800"/>
            <w:shd w:fill="1A1A2E" w:val="clear"/>
            <w:tcMar>
              <w:top w:type="dxa" w:w="80"/>
              <w:left w:type="dxa" w:w="140"/>
              <w:bottom w:type="dxa" w:w="80"/>
              <w:right w:type="dxa" w:w="100"/>
            </w:tcMar>
          </w:tcPr>
          <w:p>
            <w:r>
              <w:rPr>
                <w:rFonts w:ascii="Arial" w:cs="Arial" w:eastAsia="Arial" w:hAnsi="Arial"/>
                <w:b/>
                <w:bCs/>
                <w:color w:val="FFFFFF"/>
                <w:sz w:val="20"/>
                <w:szCs w:val="20"/>
              </w:rPr>
              <w:t xml:space="preserve">Agent</w:t>
            </w:r>
          </w:p>
        </w:tc>
        <w:tc>
          <w:tcPr>
            <w:tcW w:type="dxa" w:w="2000"/>
            <w:shd w:fill="1A1A2E" w:val="clear"/>
            <w:tcMar>
              <w:top w:type="dxa" w:w="80"/>
              <w:left w:type="dxa" w:w="140"/>
              <w:bottom w:type="dxa" w:w="80"/>
              <w:right w:type="dxa" w:w="100"/>
            </w:tcMar>
          </w:tcPr>
          <w:p>
            <w:r>
              <w:rPr>
                <w:rFonts w:ascii="Arial" w:cs="Arial" w:eastAsia="Arial" w:hAnsi="Arial"/>
                <w:b/>
                <w:bCs/>
                <w:color w:val="FFFFFF"/>
                <w:sz w:val="20"/>
                <w:szCs w:val="20"/>
              </w:rPr>
              <w:t xml:space="preserve">Approx. Steps</w:t>
            </w:r>
          </w:p>
        </w:tc>
        <w:tc>
          <w:tcPr>
            <w:tcW w:type="dxa" w:w="2360"/>
            <w:shd w:fill="1A1A2E" w:val="clear"/>
            <w:tcMar>
              <w:top w:type="dxa" w:w="80"/>
              <w:left w:type="dxa" w:w="140"/>
              <w:bottom w:type="dxa" w:w="80"/>
              <w:right w:type="dxa" w:w="100"/>
            </w:tcMar>
          </w:tcPr>
          <w:p>
            <w:r>
              <w:rPr>
                <w:rFonts w:ascii="Arial" w:cs="Arial" w:eastAsia="Arial" w:hAnsi="Arial"/>
                <w:b/>
                <w:bCs/>
                <w:color w:val="FFFFFF"/>
                <w:sz w:val="20"/>
                <w:szCs w:val="20"/>
              </w:rPr>
              <w:t xml:space="preserve">% of Total</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sleeping / asleep / transitional</w:t>
            </w:r>
          </w:p>
        </w:tc>
        <w:tc>
          <w:tcPr>
            <w:tcW w:type="dxa" w:w="1800"/>
            <w:shd w:fill="E8E0D0" w:val="clear"/>
            <w:tcMar>
              <w:top w:type="dxa" w:w="60"/>
              <w:left w:type="dxa" w:w="140"/>
              <w:bottom w:type="dxa" w:w="60"/>
              <w:right w:type="dxa" w:w="100"/>
            </w:tcMar>
          </w:tcPr>
          <w:p>
            <w:r>
              <w:rPr>
                <w:rFonts w:ascii="Arial" w:cs="Arial" w:eastAsia="Arial" w:hAnsi="Arial"/>
                <w:sz w:val="20"/>
                <w:szCs w:val="20"/>
              </w:rPr>
              <w:t xml:space="preserve">All</w:t>
            </w:r>
          </w:p>
        </w:tc>
        <w:tc>
          <w:tcPr>
            <w:tcW w:type="dxa" w:w="2000"/>
            <w:shd w:fill="E8E0D0" w:val="clear"/>
            <w:tcMar>
              <w:top w:type="dxa" w:w="60"/>
              <w:left w:type="dxa" w:w="140"/>
              <w:bottom w:type="dxa" w:w="60"/>
              <w:right w:type="dxa" w:w="100"/>
            </w:tcMar>
          </w:tcPr>
          <w:p>
            <w:r>
              <w:rPr>
                <w:rFonts w:ascii="Arial" w:cs="Arial" w:eastAsia="Arial" w:hAnsi="Arial"/>
                <w:sz w:val="20"/>
                <w:szCs w:val="20"/>
              </w:rPr>
              <w:t xml:space="preserve">~13,700</w:t>
            </w:r>
          </w:p>
        </w:tc>
        <w:tc>
          <w:tcPr>
            <w:tcW w:type="dxa" w:w="2360"/>
            <w:shd w:fill="E8E0D0" w:val="clear"/>
            <w:tcMar>
              <w:top w:type="dxa" w:w="60"/>
              <w:left w:type="dxa" w:w="140"/>
              <w:bottom w:type="dxa" w:w="60"/>
              <w:right w:type="dxa" w:w="100"/>
            </w:tcMar>
          </w:tcPr>
          <w:p>
            <w:r>
              <w:rPr>
                <w:rFonts w:ascii="Arial" w:cs="Arial" w:eastAsia="Arial" w:hAnsi="Arial"/>
                <w:sz w:val="20"/>
                <w:szCs w:val="20"/>
              </w:rPr>
              <w:t xml:space="preserve">~91%</w:t>
            </w:r>
          </w:p>
        </w:tc>
      </w:tr>
      <w:tr>
        <w:tc>
          <w:tcPr>
            <w:tcW w:type="dxa" w:w="3200"/>
            <w:shd w:fill="FFFFFF" w:val="clear"/>
            <w:tcMar>
              <w:top w:type="dxa" w:w="60"/>
              <w:left w:type="dxa" w:w="140"/>
              <w:bottom w:type="dxa" w:w="60"/>
              <w:right w:type="dxa" w:w="100"/>
            </w:tcMar>
          </w:tcPr>
          <w:p>
            <w:r>
              <w:rPr>
                <w:rFonts w:ascii="Arial" w:cs="Arial" w:eastAsia="Arial" w:hAnsi="Arial"/>
                <w:sz w:val="20"/>
                <w:szCs w:val="20"/>
              </w:rPr>
              <w:t xml:space="preserve">Hosting Lantern Festival gathering</w:t>
            </w:r>
          </w:p>
        </w:tc>
        <w:tc>
          <w:tcPr>
            <w:tcW w:type="dxa" w:w="1800"/>
            <w:shd w:fill="FFFFFF" w:val="clear"/>
            <w:tcMar>
              <w:top w:type="dxa" w:w="60"/>
              <w:left w:type="dxa" w:w="140"/>
              <w:bottom w:type="dxa" w:w="60"/>
              <w:right w:type="dxa" w:w="100"/>
            </w:tcMar>
          </w:tcPr>
          <w:p>
            <w:r>
              <w:rPr>
                <w:rFonts w:ascii="Arial" w:cs="Arial" w:eastAsia="Arial" w:hAnsi="Arial"/>
                <w:sz w:val="20"/>
                <w:szCs w:val="20"/>
              </w:rPr>
              <w:t xml:space="preserve">Li Mingzhu</w:t>
            </w:r>
          </w:p>
        </w:tc>
        <w:tc>
          <w:tcPr>
            <w:tcW w:type="dxa" w:w="2000"/>
            <w:shd w:fill="FFFFFF" w:val="clear"/>
            <w:tcMar>
              <w:top w:type="dxa" w:w="60"/>
              <w:left w:type="dxa" w:w="140"/>
              <w:bottom w:type="dxa" w:w="60"/>
              <w:right w:type="dxa" w:w="100"/>
            </w:tcMar>
          </w:tcPr>
          <w:p>
            <w:r>
              <w:rPr>
                <w:rFonts w:ascii="Arial" w:cs="Arial" w:eastAsia="Arial" w:hAnsi="Arial"/>
                <w:sz w:val="20"/>
                <w:szCs w:val="20"/>
              </w:rPr>
              <w:t xml:space="preserve">360</w:t>
            </w:r>
          </w:p>
        </w:tc>
        <w:tc>
          <w:tcPr>
            <w:tcW w:type="dxa" w:w="2360"/>
            <w:shd w:fill="FFFFFF" w:val="clear"/>
            <w:tcMar>
              <w:top w:type="dxa" w:w="60"/>
              <w:left w:type="dxa" w:w="140"/>
              <w:bottom w:type="dxa" w:w="60"/>
              <w:right w:type="dxa" w:w="100"/>
            </w:tcMar>
          </w:tcPr>
          <w:p>
            <w:r>
              <w:rPr>
                <w:rFonts w:ascii="Arial" w:cs="Arial" w:eastAsia="Arial" w:hAnsi="Arial"/>
                <w:sz w:val="20"/>
                <w:szCs w:val="20"/>
              </w:rPr>
              <w:t xml:space="preserve">2.4%</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Scholar-merchant conversation (conv 1)</w:t>
            </w:r>
          </w:p>
        </w:tc>
        <w:tc>
          <w:tcPr>
            <w:tcW w:type="dxa" w:w="1800"/>
            <w:shd w:fill="E8E0D0" w:val="clear"/>
            <w:tcMar>
              <w:top w:type="dxa" w:w="60"/>
              <w:left w:type="dxa" w:w="140"/>
              <w:bottom w:type="dxa" w:w="60"/>
              <w:right w:type="dxa" w:w="100"/>
            </w:tcMar>
          </w:tcPr>
          <w:p>
            <w:r>
              <w:rPr>
                <w:rFonts w:ascii="Arial" w:cs="Arial" w:eastAsia="Arial" w:hAnsi="Arial"/>
                <w:sz w:val="20"/>
                <w:szCs w:val="20"/>
              </w:rPr>
              <w:t xml:space="preserve">Chen Zian + An Lushan</w:t>
            </w:r>
          </w:p>
        </w:tc>
        <w:tc>
          <w:tcPr>
            <w:tcW w:type="dxa" w:w="2000"/>
            <w:shd w:fill="E8E0D0" w:val="clear"/>
            <w:tcMar>
              <w:top w:type="dxa" w:w="60"/>
              <w:left w:type="dxa" w:w="140"/>
              <w:bottom w:type="dxa" w:w="60"/>
              <w:right w:type="dxa" w:w="100"/>
            </w:tcMar>
          </w:tcPr>
          <w:p>
            <w:r>
              <w:rPr>
                <w:rFonts w:ascii="Arial" w:cs="Arial" w:eastAsia="Arial" w:hAnsi="Arial"/>
                <w:sz w:val="20"/>
                <w:szCs w:val="20"/>
              </w:rPr>
              <w:t xml:space="preserve">~200</w:t>
            </w:r>
          </w:p>
        </w:tc>
        <w:tc>
          <w:tcPr>
            <w:tcW w:type="dxa" w:w="2360"/>
            <w:shd w:fill="E8E0D0" w:val="clear"/>
            <w:tcMar>
              <w:top w:type="dxa" w:w="60"/>
              <w:left w:type="dxa" w:w="140"/>
              <w:bottom w:type="dxa" w:w="60"/>
              <w:right w:type="dxa" w:w="100"/>
            </w:tcMar>
          </w:tcPr>
          <w:p>
            <w:r>
              <w:rPr>
                <w:rFonts w:ascii="Arial" w:cs="Arial" w:eastAsia="Arial" w:hAnsi="Arial"/>
                <w:sz w:val="20"/>
                <w:szCs w:val="20"/>
              </w:rPr>
              <w:t xml:space="preserve">1.3%</w:t>
            </w:r>
          </w:p>
        </w:tc>
      </w:tr>
      <w:tr>
        <w:tc>
          <w:tcPr>
            <w:tcW w:type="dxa" w:w="3200"/>
            <w:shd w:fill="FFFFFF" w:val="clear"/>
            <w:tcMar>
              <w:top w:type="dxa" w:w="60"/>
              <w:left w:type="dxa" w:w="140"/>
              <w:bottom w:type="dxa" w:w="60"/>
              <w:right w:type="dxa" w:w="100"/>
            </w:tcMar>
          </w:tcPr>
          <w:p>
            <w:r>
              <w:rPr>
                <w:rFonts w:ascii="Arial" w:cs="Arial" w:eastAsia="Arial" w:hAnsi="Arial"/>
                <w:sz w:val="20"/>
                <w:szCs w:val="20"/>
              </w:rPr>
              <w:t xml:space="preserve">Returning to inn / reviewing transactions</w:t>
            </w:r>
          </w:p>
        </w:tc>
        <w:tc>
          <w:tcPr>
            <w:tcW w:type="dxa" w:w="1800"/>
            <w:shd w:fill="FFFFFF" w:val="clear"/>
            <w:tcMar>
              <w:top w:type="dxa" w:w="60"/>
              <w:left w:type="dxa" w:w="140"/>
              <w:bottom w:type="dxa" w:w="60"/>
              <w:right w:type="dxa" w:w="100"/>
            </w:tcMar>
          </w:tcPr>
          <w:p>
            <w:r>
              <w:rPr>
                <w:rFonts w:ascii="Arial" w:cs="Arial" w:eastAsia="Arial" w:hAnsi="Arial"/>
                <w:sz w:val="20"/>
                <w:szCs w:val="20"/>
              </w:rPr>
              <w:t xml:space="preserve">An Lushan</w:t>
            </w:r>
          </w:p>
        </w:tc>
        <w:tc>
          <w:tcPr>
            <w:tcW w:type="dxa" w:w="2000"/>
            <w:shd w:fill="FFFFFF" w:val="clear"/>
            <w:tcMar>
              <w:top w:type="dxa" w:w="60"/>
              <w:left w:type="dxa" w:w="140"/>
              <w:bottom w:type="dxa" w:w="60"/>
              <w:right w:type="dxa" w:w="100"/>
            </w:tcMar>
          </w:tcPr>
          <w:p>
            <w:r>
              <w:rPr>
                <w:rFonts w:ascii="Arial" w:cs="Arial" w:eastAsia="Arial" w:hAnsi="Arial"/>
                <w:sz w:val="20"/>
                <w:szCs w:val="20"/>
              </w:rPr>
              <w:t xml:space="preserve">~620</w:t>
            </w:r>
          </w:p>
        </w:tc>
        <w:tc>
          <w:tcPr>
            <w:tcW w:type="dxa" w:w="2360"/>
            <w:shd w:fill="FFFFFF" w:val="clear"/>
            <w:tcMar>
              <w:top w:type="dxa" w:w="60"/>
              <w:left w:type="dxa" w:w="140"/>
              <w:bottom w:type="dxa" w:w="60"/>
              <w:right w:type="dxa" w:w="100"/>
            </w:tcMar>
          </w:tcPr>
          <w:p>
            <w:r>
              <w:rPr>
                <w:rFonts w:ascii="Arial" w:cs="Arial" w:eastAsia="Arial" w:hAnsi="Arial"/>
                <w:sz w:val="20"/>
                <w:szCs w:val="20"/>
              </w:rPr>
              <w:t xml:space="preserve">4.1%</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Other goal-directed activities</w:t>
            </w:r>
          </w:p>
        </w:tc>
        <w:tc>
          <w:tcPr>
            <w:tcW w:type="dxa" w:w="1800"/>
            <w:shd w:fill="E8E0D0" w:val="clear"/>
            <w:tcMar>
              <w:top w:type="dxa" w:w="60"/>
              <w:left w:type="dxa" w:w="140"/>
              <w:bottom w:type="dxa" w:w="60"/>
              <w:right w:type="dxa" w:w="100"/>
            </w:tcMar>
          </w:tcPr>
          <w:p>
            <w:r>
              <w:rPr>
                <w:rFonts w:ascii="Arial" w:cs="Arial" w:eastAsia="Arial" w:hAnsi="Arial"/>
                <w:sz w:val="20"/>
                <w:szCs w:val="20"/>
              </w:rPr>
              <w:t xml:space="preserve">Mixed</w:t>
            </w:r>
          </w:p>
        </w:tc>
        <w:tc>
          <w:tcPr>
            <w:tcW w:type="dxa" w:w="2000"/>
            <w:shd w:fill="E8E0D0" w:val="clear"/>
            <w:tcMar>
              <w:top w:type="dxa" w:w="60"/>
              <w:left w:type="dxa" w:w="140"/>
              <w:bottom w:type="dxa" w:w="60"/>
              <w:right w:type="dxa" w:w="100"/>
            </w:tcMar>
          </w:tcPr>
          <w:p>
            <w:r>
              <w:rPr>
                <w:rFonts w:ascii="Arial" w:cs="Arial" w:eastAsia="Arial" w:hAnsi="Arial"/>
                <w:sz w:val="20"/>
                <w:szCs w:val="20"/>
              </w:rPr>
              <w:t xml:space="preserve">~120</w:t>
            </w:r>
          </w:p>
        </w:tc>
        <w:tc>
          <w:tcPr>
            <w:tcW w:type="dxa" w:w="2360"/>
            <w:shd w:fill="E8E0D0" w:val="clear"/>
            <w:tcMar>
              <w:top w:type="dxa" w:w="60"/>
              <w:left w:type="dxa" w:w="140"/>
              <w:bottom w:type="dxa" w:w="60"/>
              <w:right w:type="dxa" w:w="100"/>
            </w:tcMar>
          </w:tcPr>
          <w:p>
            <w:r>
              <w:rPr>
                <w:rFonts w:ascii="Arial" w:cs="Arial" w:eastAsia="Arial" w:hAnsi="Arial"/>
                <w:sz w:val="20"/>
                <w:szCs w:val="20"/>
              </w:rPr>
              <w:t xml:space="preserve">0.8%</w:t>
            </w:r>
          </w:p>
        </w:tc>
      </w:tr>
    </w:tbl>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4.  Behavior Analysis</w:t>
      </w:r>
    </w:p>
    <w:p>
      <w:pPr>
        <w:spacing w:after="120" w:before="0" w:line="276" w:lineRule="auto"/>
        <w:jc w:val="both"/>
      </w:pPr>
      <w:r>
        <w:rPr>
          <w:rFonts w:ascii="Arial" w:cs="Arial" w:eastAsia="Arial" w:hAnsi="Arial"/>
          <w:b/>
          <w:bCs/>
          <w:sz w:val="22"/>
          <w:szCs w:val="22"/>
        </w:rPr>
        <w:t xml:space="preserve">Role consistency: </w:t>
      </w:r>
      <w:r>
        <w:rPr>
          <w:rFonts w:ascii="Arial" w:cs="Arial" w:eastAsia="Arial" w:hAnsi="Arial"/>
          <w:sz w:val="22"/>
          <w:szCs w:val="22"/>
        </w:rPr>
        <w:t xml:space="preserve">Every agent acted within their seeded role when active. Li Mingzhu fulfilled her hostess function at dusk. Chen Zian pursued examination intelligence. An Lushan converted every social encounter into a commercial opportunity. The seeded goal system worked directionally — the problem was coverage, not coherence.</w:t>
      </w:r>
    </w:p>
    <w:p>
      <w:pPr>
        <w:spacing w:after="80" w:before="0" w:line="276" w:lineRule="auto"/>
      </w:pPr>
      <w:r>
        <w:t xml:space="preserve"/>
      </w:r>
    </w:p>
    <w:p>
      <w:pPr>
        <w:spacing w:after="120" w:before="0" w:line="276" w:lineRule="auto"/>
        <w:jc w:val="both"/>
      </w:pPr>
      <w:r>
        <w:rPr>
          <w:rFonts w:ascii="Arial" w:cs="Arial" w:eastAsia="Arial" w:hAnsi="Arial"/>
          <w:b/>
          <w:bCs/>
          <w:sz w:val="22"/>
          <w:szCs w:val="22"/>
        </w:rPr>
        <w:t xml:space="preserve">Sleep dominance (~91%): </w:t>
      </w:r>
      <w:r>
        <w:rPr>
          <w:rFonts w:ascii="Arial" w:cs="Arial" w:eastAsia="Arial" w:hAnsi="Arial"/>
          <w:sz w:val="22"/>
          <w:szCs w:val="22"/>
        </w:rPr>
        <w:t xml:space="preserve">The Smallville scheduling system, inherited from a contemporary American college-town simulation, generates daily schedules that default to long sleep blocks. Despite the Lantern Festival context, agents spent the vast majority of simulated time in sleep states. This is an architectural constraint, not a historical claim.</w:t>
      </w:r>
    </w:p>
    <w:p>
      <w:pPr>
        <w:spacing w:after="80" w:before="0" w:line="276" w:lineRule="auto"/>
      </w:pPr>
      <w:r>
        <w:t xml:space="preserve"/>
      </w:r>
    </w:p>
    <w:p>
      <w:pPr>
        <w:spacing w:after="120" w:before="0" w:line="276" w:lineRule="auto"/>
        <w:jc w:val="both"/>
      </w:pPr>
      <w:r>
        <w:rPr>
          <w:rFonts w:ascii="Arial" w:cs="Arial" w:eastAsia="Arial" w:hAnsi="Arial"/>
          <w:b/>
          <w:bCs/>
          <w:sz w:val="22"/>
          <w:szCs w:val="22"/>
        </w:rPr>
        <w:t xml:space="preserve">Emergent social convergence: </w:t>
      </w:r>
      <w:r>
        <w:rPr>
          <w:rFonts w:ascii="Arial" w:cs="Arial" w:eastAsia="Arial" w:hAnsi="Arial"/>
          <w:sz w:val="22"/>
          <w:szCs w:val="22"/>
        </w:rPr>
        <w:t xml:space="preserve">Chen Zian and An Lushan both independently named Li Mingzhu's tea house as a meeting venue — without scripted coordination. This demonstrates that memory-seeded social knowledge can produce historically plausible emergent behavior even in a framework not designed for historical simulation.</w:t>
      </w:r>
    </w:p>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5.  Historical Plausibility Evaluation</w:t>
      </w:r>
    </w:p>
    <w:p>
      <w:pPr>
        <w:pStyle w:val="Heading2"/>
        <w:spacing w:after="80" w:before="200" w:line="276" w:lineRule="auto"/>
      </w:pPr>
      <w:r>
        <w:rPr>
          <w:rFonts w:ascii="Georgia" w:cs="Georgia" w:eastAsia="Georgia" w:hAnsi="Georgia"/>
          <w:b/>
          <w:bCs/>
          <w:color w:val="8B6914"/>
        </w:rPr>
        <w:t xml:space="preserve">Fits the historical context</w:t>
      </w:r>
    </w:p>
    <w:p>
      <w:pPr>
        <w:pStyle w:val="ListParagraph"/>
        <w:numPr>
          <w:ilvl w:val="0"/>
          <w:numId w:val="2"/>
        </w:numPr>
        <w:spacing w:after="60" w:before="0" w:line="276" w:lineRule="auto"/>
      </w:pPr>
      <w:r>
        <w:rPr>
          <w:rFonts w:ascii="Arial" w:cs="Arial" w:eastAsia="Arial" w:hAnsi="Arial"/>
          <w:sz w:val="22"/>
          <w:szCs w:val="22"/>
        </w:rPr>
        <w:t xml:space="preserve">The scholar seeking intelligence about examiner preferences from a well-traveled merchant reflects documented Tang examination culture — candidates actively gathered factional intelligence.</w:t>
      </w:r>
    </w:p>
    <w:p>
      <w:pPr>
        <w:pStyle w:val="ListParagraph"/>
        <w:numPr>
          <w:ilvl w:val="0"/>
          <w:numId w:val="2"/>
        </w:numPr>
        <w:spacing w:after="60" w:before="0" w:line="276" w:lineRule="auto"/>
      </w:pPr>
      <w:r>
        <w:rPr>
          <w:rFonts w:ascii="Arial" w:cs="Arial" w:eastAsia="Arial" w:hAnsi="Arial"/>
          <w:sz w:val="22"/>
          <w:szCs w:val="22"/>
        </w:rPr>
        <w:t xml:space="preserve">An Lushan's strategy of identifying scholars as future customers (successful candidates become officials who buy luxury goods) reflects Sogdian merchant social positioning in Tang elite networks.</w:t>
      </w:r>
    </w:p>
    <w:p>
      <w:pPr>
        <w:pStyle w:val="ListParagraph"/>
        <w:numPr>
          <w:ilvl w:val="0"/>
          <w:numId w:val="2"/>
        </w:numPr>
        <w:spacing w:after="60" w:before="0" w:line="276" w:lineRule="auto"/>
      </w:pPr>
      <w:r>
        <w:rPr>
          <w:rFonts w:ascii="Arial" w:cs="Arial" w:eastAsia="Arial" w:hAnsi="Arial"/>
          <w:sz w:val="22"/>
          <w:szCs w:val="22"/>
        </w:rPr>
        <w:t xml:space="preserve">Li Mingzhu's active festival-hosting role at dusk is consistent with documented agency of female proprietresses in Tang commercial entertainment spaces.</w:t>
      </w:r>
    </w:p>
    <w:p>
      <w:pPr>
        <w:pStyle w:val="ListParagraph"/>
        <w:numPr>
          <w:ilvl w:val="0"/>
          <w:numId w:val="2"/>
        </w:numPr>
        <w:spacing w:after="60" w:before="0" w:line="276" w:lineRule="auto"/>
      </w:pPr>
      <w:r>
        <w:rPr>
          <w:rFonts w:ascii="Arial" w:cs="Arial" w:eastAsia="Arial" w:hAnsi="Arial"/>
          <w:sz w:val="22"/>
          <w:szCs w:val="22"/>
        </w:rPr>
        <w:t xml:space="preserve">The spontaneous convergence on the tea house as a neutral social meeting point reflects its documented function as an informal information market in Tang urban life.</w:t>
      </w:r>
    </w:p>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Anachronisms and distortions</w:t>
      </w:r>
    </w:p>
    <w:p>
      <w:pPr>
        <w:pStyle w:val="ListParagraph"/>
        <w:numPr>
          <w:ilvl w:val="0"/>
          <w:numId w:val="2"/>
        </w:numPr>
        <w:spacing w:after="60" w:before="0" w:line="276" w:lineRule="auto"/>
      </w:pPr>
      <w:r>
        <w:rPr>
          <w:rFonts w:ascii="Arial" w:cs="Arial" w:eastAsia="Arial" w:hAnsi="Arial"/>
          <w:b/>
          <w:bCs/>
          <w:sz w:val="22"/>
          <w:szCs w:val="22"/>
        </w:rPr>
        <w:t xml:space="preserve">Map: </w:t>
      </w:r>
      <w:r>
        <w:rPr>
          <w:rFonts w:ascii="Arial" w:cs="Arial" w:eastAsia="Arial" w:hAnsi="Arial"/>
          <w:sz w:val="22"/>
          <w:szCs w:val="22"/>
        </w:rPr>
        <w:t xml:space="preserve">The tile map is a contemporary American college town. Movement logs cite "Isabella Rodriguez's apartment" and "Oak Hill College Dorm" — structurally incompatible with Tang Chang'an's walled ward (坊) system.</w:t>
      </w:r>
    </w:p>
    <w:p>
      <w:pPr>
        <w:pStyle w:val="ListParagraph"/>
        <w:numPr>
          <w:ilvl w:val="0"/>
          <w:numId w:val="2"/>
        </w:numPr>
        <w:spacing w:after="60" w:before="0" w:line="276" w:lineRule="auto"/>
      </w:pPr>
      <w:r>
        <w:rPr>
          <w:rFonts w:ascii="Arial" w:cs="Arial" w:eastAsia="Arial" w:hAnsi="Arial"/>
          <w:b/>
          <w:bCs/>
          <w:sz w:val="22"/>
          <w:szCs w:val="22"/>
        </w:rPr>
        <w:t xml:space="preserve">Language: </w:t>
      </w:r>
      <w:r>
        <w:rPr>
          <w:rFonts w:ascii="Arial" w:cs="Arial" w:eastAsia="Arial" w:hAnsi="Arial"/>
          <w:sz w:val="22"/>
          <w:szCs w:val="22"/>
        </w:rPr>
        <w:t xml:space="preserve">The conversation is in modern English without honorifics (先生, 足下) or the indirect rhetorical conventions of classical Chinese social discourse.</w:t>
      </w:r>
    </w:p>
    <w:p>
      <w:pPr>
        <w:pStyle w:val="ListParagraph"/>
        <w:numPr>
          <w:ilvl w:val="0"/>
          <w:numId w:val="2"/>
        </w:numPr>
        <w:spacing w:after="60" w:before="0" w:line="276" w:lineRule="auto"/>
      </w:pPr>
      <w:r>
        <w:rPr>
          <w:rFonts w:ascii="Arial" w:cs="Arial" w:eastAsia="Arial" w:hAnsi="Arial"/>
          <w:b/>
          <w:bCs/>
          <w:sz w:val="22"/>
          <w:szCs w:val="22"/>
        </w:rPr>
        <w:t xml:space="preserve">Social hierarchy: </w:t>
      </w:r>
      <w:r>
        <w:rPr>
          <w:rFonts w:ascii="Arial" w:cs="Arial" w:eastAsia="Arial" w:hAnsi="Arial"/>
          <w:sz w:val="22"/>
          <w:szCs w:val="22"/>
        </w:rPr>
        <w:t xml:space="preserve">Chen Zian addresses An Lushan (a foreign merchant, legally subordinate under Tang law) as a social equal. Tang legal codes placed foreign merchants below examination candidates in status.</w:t>
      </w:r>
    </w:p>
    <w:p>
      <w:pPr>
        <w:pStyle w:val="ListParagraph"/>
        <w:numPr>
          <w:ilvl w:val="0"/>
          <w:numId w:val="2"/>
        </w:numPr>
        <w:spacing w:after="60" w:before="0" w:line="276" w:lineRule="auto"/>
      </w:pPr>
      <w:r>
        <w:rPr>
          <w:rFonts w:ascii="Arial" w:cs="Arial" w:eastAsia="Arial" w:hAnsi="Arial"/>
          <w:b/>
          <w:bCs/>
          <w:sz w:val="22"/>
          <w:szCs w:val="22"/>
        </w:rPr>
        <w:t xml:space="preserve">Sleep at festival time: </w:t>
      </w:r>
      <w:r>
        <w:rPr>
          <w:rFonts w:ascii="Arial" w:cs="Arial" w:eastAsia="Arial" w:hAnsi="Arial"/>
          <w:sz w:val="22"/>
          <w:szCs w:val="22"/>
        </w:rPr>
        <w:t xml:space="preserve">91% sleep states during the Lantern Festival — the one night of the year when Chang'an's entire population was documented as publicly celebrating — is historically implausible.</w:t>
      </w:r>
    </w:p>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6.  Simulation, Context, and Critique</w:t>
      </w:r>
    </w:p>
    <w:p>
      <w:pPr>
        <w:spacing w:after="120" w:before="0" w:line="276" w:lineRule="auto"/>
        <w:jc w:val="both"/>
      </w:pPr>
      <w:r>
        <w:rPr>
          <w:rFonts w:ascii="Arial" w:cs="Arial" w:eastAsia="Arial" w:hAnsi="Arial"/>
          <w:sz w:val="22"/>
          <w:szCs w:val="22"/>
        </w:rPr>
        <w:t xml:space="preserve">Agent-based simulations generate plausible behaviors, not historical truth. This simulation's outputs are shaped more by the Smallville framework's inherited assumptions (American college-town scheduling, individualist goal architectures, English-language dialogue conventions) than by Tang historical reality. Students need prior grounding in Tang social structure, the examination system, Silk Road commerce, and critical AI literacy before engaging with this simulation — otherwise, fluent LLM dialogue may be mistaken for historically attested behavior.</w:t>
      </w:r>
    </w:p>
    <w:p>
      <w:pPr>
        <w:spacing w:after="80" w:before="0" w:line="276" w:lineRule="auto"/>
      </w:pPr>
      <w:r>
        <w:t xml:space="preserve"/>
      </w:r>
    </w:p>
    <w:p>
      <w:pPr>
        <w:spacing w:after="120" w:before="0" w:line="276" w:lineRule="auto"/>
        <w:jc w:val="both"/>
      </w:pPr>
      <w:r>
        <w:rPr>
          <w:rFonts w:ascii="Arial" w:cs="Arial" w:eastAsia="Arial" w:hAnsi="Arial"/>
          <w:sz w:val="22"/>
          <w:szCs w:val="22"/>
        </w:rPr>
        <w:t xml:space="preserve">The simulation also embeds structural assumptions: that history is made by three named individuals with explicit goals; that text dialogue is the primary form of social action; that a contemporary spatial map is a neutral container for any historical context. These assumptions erase structural power (legal hierarchy, ethnic status, gender constraints) and the experience of the majority of historical actors — laborers, servants, the poor — who are absent from both the agent roster and the spatial logic.</w:t>
      </w:r>
    </w:p>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What students need before using this simulation</w:t>
      </w:r>
    </w:p>
    <w:p>
      <w:pPr>
        <w:pStyle w:val="ListParagraph"/>
        <w:numPr>
          <w:ilvl w:val="0"/>
          <w:numId w:val="3"/>
        </w:numPr>
        <w:spacing w:after="60" w:before="0" w:line="276" w:lineRule="auto"/>
      </w:pPr>
      <w:r>
        <w:rPr>
          <w:rFonts w:ascii="Arial" w:cs="Arial" w:eastAsia="Arial" w:hAnsi="Arial"/>
          <w:sz w:val="22"/>
          <w:szCs w:val="22"/>
        </w:rPr>
        <w:t xml:space="preserve">Foundational knowledge of the Tang imperial examination system (科举) and its social function.</w:t>
      </w:r>
    </w:p>
    <w:p>
      <w:pPr>
        <w:pStyle w:val="ListParagraph"/>
        <w:numPr>
          <w:ilvl w:val="0"/>
          <w:numId w:val="3"/>
        </w:numPr>
        <w:spacing w:after="60" w:before="0" w:line="276" w:lineRule="auto"/>
      </w:pPr>
      <w:r>
        <w:rPr>
          <w:rFonts w:ascii="Arial" w:cs="Arial" w:eastAsia="Arial" w:hAnsi="Arial"/>
          <w:sz w:val="22"/>
          <w:szCs w:val="22"/>
        </w:rPr>
        <w:t xml:space="preserve">Understanding of Silk Road commerce and the role of Sogdian merchants in Tang cultural and economic life.</w:t>
      </w:r>
    </w:p>
    <w:p>
      <w:pPr>
        <w:pStyle w:val="ListParagraph"/>
        <w:numPr>
          <w:ilvl w:val="0"/>
          <w:numId w:val="3"/>
        </w:numPr>
        <w:spacing w:after="60" w:before="0" w:line="276" w:lineRule="auto"/>
      </w:pPr>
      <w:r>
        <w:rPr>
          <w:rFonts w:ascii="Arial" w:cs="Arial" w:eastAsia="Arial" w:hAnsi="Arial"/>
          <w:sz w:val="22"/>
          <w:szCs w:val="22"/>
        </w:rPr>
        <w:t xml:space="preserve">Familiarity with the Lantern Festival's legal significance (nocturnal curfew suspension).</w:t>
      </w:r>
    </w:p>
    <w:p>
      <w:pPr>
        <w:pStyle w:val="ListParagraph"/>
        <w:numPr>
          <w:ilvl w:val="0"/>
          <w:numId w:val="3"/>
        </w:numPr>
        <w:spacing w:after="60" w:before="0" w:line="276" w:lineRule="auto"/>
      </w:pPr>
      <w:r>
        <w:rPr>
          <w:rFonts w:ascii="Arial" w:cs="Arial" w:eastAsia="Arial" w:hAnsi="Arial"/>
          <w:sz w:val="22"/>
          <w:szCs w:val="22"/>
        </w:rPr>
        <w:t xml:space="preserve">Critical AI literacy: LLMs generate statistically plausible text, not historically vetted content.</w:t>
      </w:r>
    </w:p>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7.  Strengths and Limitations</w:t>
      </w:r>
    </w:p>
    <w:p>
      <w:pPr>
        <w:pStyle w:val="Heading2"/>
        <w:spacing w:after="80" w:before="200" w:line="276" w:lineRule="auto"/>
      </w:pPr>
      <w:r>
        <w:rPr>
          <w:rFonts w:ascii="Georgia" w:cs="Georgia" w:eastAsia="Georgia" w:hAnsi="Georgia"/>
          <w:b/>
          <w:bCs/>
          <w:color w:val="8B6914"/>
        </w:rPr>
        <w:t xml:space="preserve">Strengths</w:t>
      </w:r>
    </w:p>
    <w:p>
      <w:pPr>
        <w:pStyle w:val="ListParagraph"/>
        <w:numPr>
          <w:ilvl w:val="0"/>
          <w:numId w:val="2"/>
        </w:numPr>
        <w:spacing w:after="60" w:before="0" w:line="276" w:lineRule="auto"/>
      </w:pPr>
      <w:r>
        <w:rPr>
          <w:rFonts w:ascii="Arial" w:cs="Arial" w:eastAsia="Arial" w:hAnsi="Arial"/>
          <w:sz w:val="22"/>
          <w:szCs w:val="22"/>
        </w:rPr>
        <w:t xml:space="preserve">The scholar-merchant conversation produced historically coherent instrumental social logic (intelligence-for-customers exchange) without explicit scripting.</w:t>
      </w:r>
    </w:p>
    <w:p>
      <w:pPr>
        <w:pStyle w:val="ListParagraph"/>
        <w:numPr>
          <w:ilvl w:val="0"/>
          <w:numId w:val="2"/>
        </w:numPr>
        <w:spacing w:after="60" w:before="0" w:line="276" w:lineRule="auto"/>
      </w:pPr>
      <w:r>
        <w:rPr>
          <w:rFonts w:ascii="Arial" w:cs="Arial" w:eastAsia="Arial" w:hAnsi="Arial"/>
          <w:sz w:val="22"/>
          <w:szCs w:val="22"/>
        </w:rPr>
        <w:t xml:space="preserve">Li Mingzhu's active festival-hosting at dusk demonstrated successful goal-schedule alignment when the scheduling system worked correctly.</w:t>
      </w:r>
    </w:p>
    <w:p>
      <w:pPr>
        <w:pStyle w:val="ListParagraph"/>
        <w:numPr>
          <w:ilvl w:val="0"/>
          <w:numId w:val="2"/>
        </w:numPr>
        <w:spacing w:after="60" w:before="0" w:line="276" w:lineRule="auto"/>
      </w:pPr>
      <w:r>
        <w:rPr>
          <w:rFonts w:ascii="Arial" w:cs="Arial" w:eastAsia="Arial" w:hAnsi="Arial"/>
          <w:sz w:val="22"/>
          <w:szCs w:val="22"/>
        </w:rPr>
        <w:t xml:space="preserve">The spontaneous naming of the tea house by both agents shows that seeded social memory can generate emergent, contextually appropriate behavior.</w:t>
      </w:r>
    </w:p>
    <w:p>
      <w:pPr>
        <w:pStyle w:val="ListParagraph"/>
        <w:numPr>
          <w:ilvl w:val="0"/>
          <w:numId w:val="2"/>
        </w:numPr>
        <w:spacing w:after="60" w:before="0" w:line="276" w:lineRule="auto"/>
      </w:pPr>
      <w:r>
        <w:rPr>
          <w:rFonts w:ascii="Arial" w:cs="Arial" w:eastAsia="Arial" w:hAnsi="Arial"/>
          <w:sz w:val="22"/>
          <w:szCs w:val="22"/>
        </w:rPr>
        <w:t xml:space="preserve">The 5,000-step / 14-hour arc provides enough temporal coverage to observe transitions across evening, night, and morning routines.</w:t>
      </w:r>
    </w:p>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Limitations</w:t>
      </w:r>
    </w:p>
    <w:p>
      <w:pPr>
        <w:pStyle w:val="ListParagraph"/>
        <w:numPr>
          <w:ilvl w:val="0"/>
          <w:numId w:val="2"/>
        </w:numPr>
        <w:spacing w:after="60" w:before="0" w:line="276" w:lineRule="auto"/>
      </w:pPr>
      <w:r>
        <w:rPr>
          <w:rFonts w:ascii="Arial" w:cs="Arial" w:eastAsia="Arial" w:hAnsi="Arial"/>
          <w:sz w:val="22"/>
          <w:szCs w:val="22"/>
        </w:rPr>
        <w:t xml:space="preserve">~91% sleep states during the Lantern Festival is the simulation's most significant failure — the scheduling architecture is incompatible with the historical scenario.</w:t>
      </w:r>
    </w:p>
    <w:p>
      <w:pPr>
        <w:pStyle w:val="ListParagraph"/>
        <w:numPr>
          <w:ilvl w:val="0"/>
          <w:numId w:val="2"/>
        </w:numPr>
        <w:spacing w:after="60" w:before="0" w:line="276" w:lineRule="auto"/>
      </w:pPr>
      <w:r>
        <w:rPr>
          <w:rFonts w:ascii="Arial" w:cs="Arial" w:eastAsia="Arial" w:hAnsi="Arial"/>
          <w:sz w:val="22"/>
          <w:szCs w:val="22"/>
        </w:rPr>
        <w:t xml:space="preserve">The tile map (contemporary American college town) creates a structural mismatch with Tang Chang'an's spatial logic that cannot be resolved through prompt engineering alone.</w:t>
      </w:r>
    </w:p>
    <w:p>
      <w:pPr>
        <w:pStyle w:val="ListParagraph"/>
        <w:numPr>
          <w:ilvl w:val="0"/>
          <w:numId w:val="2"/>
        </w:numPr>
        <w:spacing w:after="60" w:before="0" w:line="276" w:lineRule="auto"/>
      </w:pPr>
      <w:r>
        <w:rPr>
          <w:rFonts w:ascii="Arial" w:cs="Arial" w:eastAsia="Arial" w:hAnsi="Arial"/>
          <w:sz w:val="22"/>
          <w:szCs w:val="22"/>
        </w:rPr>
        <w:t xml:space="preserve">One meaningful conversation across 5,000 steps is a low yield; the conversation state lock-in (agents coded as "conversing" for ~100 steps while physically diverging) is an architectural artifact.</w:t>
      </w:r>
    </w:p>
    <w:p>
      <w:pPr>
        <w:pStyle w:val="ListParagraph"/>
        <w:numPr>
          <w:ilvl w:val="0"/>
          <w:numId w:val="2"/>
        </w:numPr>
        <w:spacing w:after="60" w:before="0" w:line="276" w:lineRule="auto"/>
      </w:pPr>
      <w:r>
        <w:rPr>
          <w:rFonts w:ascii="Arial" w:cs="Arial" w:eastAsia="Arial" w:hAnsi="Arial"/>
          <w:sz w:val="22"/>
          <w:szCs w:val="22"/>
        </w:rPr>
        <w:t xml:space="preserve">Structural power, collective behavior, material culture, and non-linguistic social action are entirely absent.</w:t>
      </w:r>
    </w:p>
    <w:p>
      <w:pPr>
        <w:spacing w:after="80" w:before="0" w:line="276" w:lineRule="auto"/>
      </w:pPr>
      <w:r>
        <w:t xml:space="preserve"/>
      </w:r>
    </w:p>
    <w:p>
      <w:pPr>
        <w:pStyle w:val="Heading1"/>
        <w:pBdr>
          <w:bottom w:val="single" w:color="8B6914" w:sz="6" w:space="4"/>
        </w:pBdr>
        <w:spacing w:after="140" w:before="320" w:line="276" w:lineRule="auto"/>
      </w:pPr>
      <w:r>
        <w:rPr>
          <w:rFonts w:ascii="Georgia" w:cs="Georgia" w:eastAsia="Georgia" w:hAnsi="Georgia"/>
          <w:b/>
          <w:bCs/>
          <w:color w:val="1A1A2E"/>
        </w:rPr>
        <w:t xml:space="preserve">8.  Final Reflection</w:t>
      </w:r>
    </w:p>
    <w:p>
      <w:pPr>
        <w:spacing w:after="120" w:before="0" w:line="276" w:lineRule="auto"/>
        <w:jc w:val="both"/>
      </w:pPr>
      <w:r>
        <w:rPr>
          <w:rFonts w:ascii="Arial" w:cs="Arial" w:eastAsia="Arial" w:hAnsi="Arial"/>
          <w:sz w:val="22"/>
          <w:szCs w:val="22"/>
        </w:rPr>
        <w:t xml:space="preserve">This simulation produces its most historically interesting output precisely where it fails. Li Mingzhu sleeping through most of the Lantern Festival she was designed to host, Chen Zian and An Lushan remaining in a conversation state while their avatars physically diverge, 91% of a festival evening spent in sleep states — these are not historical claims. They are evidence of what the framework cannot do, and why that matters.</w:t>
      </w:r>
    </w:p>
    <w:p>
      <w:pPr>
        <w:spacing w:after="80" w:before="0" w:line="276" w:lineRule="auto"/>
      </w:pPr>
      <w:r>
        <w:t xml:space="preserve"/>
      </w:r>
    </w:p>
    <w:p>
      <w:pPr>
        <w:spacing w:after="120" w:before="0" w:line="276" w:lineRule="auto"/>
        <w:jc w:val="both"/>
      </w:pPr>
      <w:r>
        <w:rPr>
          <w:rFonts w:ascii="Arial" w:cs="Arial" w:eastAsia="Arial" w:hAnsi="Arial"/>
          <w:sz w:val="22"/>
          <w:szCs w:val="22"/>
        </w:rPr>
        <w:t xml:space="preserve">When the simulation did function — the opening hour of festival hosting, the instrumental scholar-merchant exchange, the mutual naming of the tea house as a meeting point — it demonstrated something genuinely interesting: that LLM-generated agents with seeded historical memories can produce </w:t>
      </w:r>
      <w:r>
        <w:rPr>
          <w:rFonts w:ascii="Arial" w:cs="Arial" w:eastAsia="Arial" w:hAnsi="Arial"/>
          <w:i/>
          <w:iCs/>
          <w:sz w:val="22"/>
          <w:szCs w:val="22"/>
        </w:rPr>
        <w:t xml:space="preserve">directionally plausible</w:t>
      </w:r>
      <w:r>
        <w:rPr>
          <w:rFonts w:ascii="Arial" w:cs="Arial" w:eastAsia="Arial" w:hAnsi="Arial"/>
          <w:sz w:val="22"/>
          <w:szCs w:val="22"/>
        </w:rPr>
        <w:t xml:space="preserve"> social behavior without explicit scripting. That is the simulation's real value — not as a reconstruction of the past, but as a generative prompt for asking what historically plausible behavior looks like, and why the simulation so often fails to produce it.</w:t>
      </w:r>
    </w:p>
    <w:p>
      <w:pPr>
        <w:spacing w:after="80" w:before="0" w:line="276" w:lineRule="auto"/>
      </w:pPr>
      <w:r>
        <w:t xml:space="preserve"/>
      </w:r>
    </w:p>
    <w:p>
      <w:pPr>
        <w:pBdr>
          <w:top w:val="single" w:color="E8E0D0" w:sz="4" w:space="4"/>
        </w:pBdr>
        <w:spacing w:after="80" w:before="0" w:line="276" w:lineRule="auto"/>
      </w:pPr>
    </w:p>
    <w:p>
      <w:pPr>
        <w:spacing w:after="80" w:before="0" w:line="276" w:lineRule="auto"/>
      </w:pPr>
      <w:r>
        <w:t xml:space="preserve"/>
      </w:r>
    </w:p>
    <w:p>
      <w:pPr>
        <w:pStyle w:val="Heading2"/>
        <w:spacing w:after="80" w:before="200" w:line="276" w:lineRule="auto"/>
      </w:pPr>
      <w:r>
        <w:rPr>
          <w:rFonts w:ascii="Georgia" w:cs="Georgia" w:eastAsia="Georgia" w:hAnsi="Georgia"/>
          <w:b/>
          <w:bCs/>
          <w:color w:val="8B6914"/>
        </w:rPr>
        <w:t xml:space="preserve">Simulation Metadata</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3200"/>
        <w:gridCol w:w="6160"/>
      </w:tblGrid>
      <w:tr>
        <w:tc>
          <w:tcPr>
            <w:tcW w:type="dxa" w:w="3200"/>
            <w:shd w:fill="1A1A2E" w:val="clear"/>
            <w:tcMar>
              <w:top w:type="dxa" w:w="80"/>
              <w:left w:type="dxa" w:w="140"/>
              <w:bottom w:type="dxa" w:w="80"/>
              <w:right w:type="dxa" w:w="100"/>
            </w:tcMar>
          </w:tcPr>
          <w:p>
            <w:r>
              <w:rPr>
                <w:rFonts w:ascii="Arial" w:cs="Arial" w:eastAsia="Arial" w:hAnsi="Arial"/>
                <w:b/>
                <w:bCs/>
                <w:color w:val="FFFFFF"/>
                <w:sz w:val="20"/>
                <w:szCs w:val="20"/>
              </w:rPr>
              <w:t xml:space="preserve">Field</w:t>
            </w:r>
          </w:p>
        </w:tc>
        <w:tc>
          <w:tcPr>
            <w:tcW w:type="dxa" w:w="6160"/>
            <w:shd w:fill="1A1A2E" w:val="clear"/>
            <w:tcMar>
              <w:top w:type="dxa" w:w="80"/>
              <w:left w:type="dxa" w:w="140"/>
              <w:bottom w:type="dxa" w:w="80"/>
              <w:right w:type="dxa" w:w="100"/>
            </w:tcMar>
          </w:tcPr>
          <w:p>
            <w:r>
              <w:rPr>
                <w:rFonts w:ascii="Arial" w:cs="Arial" w:eastAsia="Arial" w:hAnsi="Arial"/>
                <w:b/>
                <w:bCs/>
                <w:color w:val="FFFFFF"/>
                <w:sz w:val="20"/>
                <w:szCs w:val="20"/>
              </w:rPr>
              <w:t xml:space="preserve">Value</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Simulation Code</w:t>
            </w:r>
          </w:p>
        </w:tc>
        <w:tc>
          <w:tcPr>
            <w:tcW w:type="dxa" w:w="6160"/>
            <w:shd w:fill="E8E0D0" w:val="clear"/>
            <w:tcMar>
              <w:top w:type="dxa" w:w="60"/>
              <w:left w:type="dxa" w:w="140"/>
              <w:bottom w:type="dxa" w:w="60"/>
              <w:right w:type="dxa" w:w="100"/>
            </w:tcMar>
          </w:tcPr>
          <w:p>
            <w:r>
              <w:rPr>
                <w:rFonts w:ascii="Arial" w:cs="Arial" w:eastAsia="Arial" w:hAnsi="Arial"/>
                <w:sz w:val="20"/>
                <w:szCs w:val="20"/>
              </w:rPr>
              <w:t xml:space="preserve">tang_run_5000</w:t>
            </w:r>
          </w:p>
        </w:tc>
      </w:tr>
      <w:tr>
        <w:tc>
          <w:tcPr>
            <w:tcW w:type="dxa" w:w="3200"/>
            <w:shd w:fill="FFFFFF" w:val="clear"/>
            <w:tcMar>
              <w:top w:type="dxa" w:w="60"/>
              <w:left w:type="dxa" w:w="140"/>
              <w:bottom w:type="dxa" w:w="60"/>
              <w:right w:type="dxa" w:w="100"/>
            </w:tcMar>
          </w:tcPr>
          <w:p>
            <w:r>
              <w:rPr>
                <w:rFonts w:ascii="Arial" w:cs="Arial" w:eastAsia="Arial" w:hAnsi="Arial"/>
                <w:sz w:val="20"/>
                <w:szCs w:val="20"/>
              </w:rPr>
              <w:t xml:space="preserve">Framework</w:t>
            </w:r>
          </w:p>
        </w:tc>
        <w:tc>
          <w:tcPr>
            <w:tcW w:type="dxa" w:w="6160"/>
            <w:shd w:fill="FFFFFF" w:val="clear"/>
            <w:tcMar>
              <w:top w:type="dxa" w:w="60"/>
              <w:left w:type="dxa" w:w="140"/>
              <w:bottom w:type="dxa" w:w="60"/>
              <w:right w:type="dxa" w:w="100"/>
            </w:tcMar>
          </w:tcPr>
          <w:p>
            <w:r>
              <w:rPr>
                <w:rFonts w:ascii="Arial" w:cs="Arial" w:eastAsia="Arial" w:hAnsi="Arial"/>
                <w:sz w:val="20"/>
                <w:szCs w:val="20"/>
              </w:rPr>
              <w:t xml:space="preserve">Stanford Smallville (Park et al., 2023) — headless adaptation</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LLM Backend</w:t>
            </w:r>
          </w:p>
        </w:tc>
        <w:tc>
          <w:tcPr>
            <w:tcW w:type="dxa" w:w="6160"/>
            <w:shd w:fill="E8E0D0" w:val="clear"/>
            <w:tcMar>
              <w:top w:type="dxa" w:w="60"/>
              <w:left w:type="dxa" w:w="140"/>
              <w:bottom w:type="dxa" w:w="60"/>
              <w:right w:type="dxa" w:w="100"/>
            </w:tcMar>
          </w:tcPr>
          <w:p>
            <w:r>
              <w:rPr>
                <w:rFonts w:ascii="Arial" w:cs="Arial" w:eastAsia="Arial" w:hAnsi="Arial"/>
                <w:sz w:val="20"/>
                <w:szCs w:val="20"/>
              </w:rPr>
              <w:t xml:space="preserve">MiniMax-M2</w:t>
            </w:r>
          </w:p>
        </w:tc>
      </w:tr>
      <w:tr>
        <w:tc>
          <w:tcPr>
            <w:tcW w:type="dxa" w:w="3200"/>
            <w:shd w:fill="FFFFFF" w:val="clear"/>
            <w:tcMar>
              <w:top w:type="dxa" w:w="60"/>
              <w:left w:type="dxa" w:w="140"/>
              <w:bottom w:type="dxa" w:w="60"/>
              <w:right w:type="dxa" w:w="100"/>
            </w:tcMar>
          </w:tcPr>
          <w:p>
            <w:r>
              <w:rPr>
                <w:rFonts w:ascii="Arial" w:cs="Arial" w:eastAsia="Arial" w:hAnsi="Arial"/>
                <w:sz w:val="20"/>
                <w:szCs w:val="20"/>
              </w:rPr>
              <w:t xml:space="preserve">Steps / Time Covered</w:t>
            </w:r>
          </w:p>
        </w:tc>
        <w:tc>
          <w:tcPr>
            <w:tcW w:type="dxa" w:w="6160"/>
            <w:shd w:fill="FFFFFF" w:val="clear"/>
            <w:tcMar>
              <w:top w:type="dxa" w:w="60"/>
              <w:left w:type="dxa" w:w="140"/>
              <w:bottom w:type="dxa" w:w="60"/>
              <w:right w:type="dxa" w:w="100"/>
            </w:tcMar>
          </w:tcPr>
          <w:p>
            <w:r>
              <w:rPr>
                <w:rFonts w:ascii="Arial" w:cs="Arial" w:eastAsia="Arial" w:hAnsi="Arial"/>
                <w:sz w:val="20"/>
                <w:szCs w:val="20"/>
              </w:rPr>
              <w:t xml:space="preserve">5,000 steps · 0742-02-15 18:00 → 0742-02-16 07:53 (~14 hours)</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Conversations</w:t>
            </w:r>
          </w:p>
        </w:tc>
        <w:tc>
          <w:tcPr>
            <w:tcW w:type="dxa" w:w="6160"/>
            <w:shd w:fill="E8E0D0" w:val="clear"/>
            <w:tcMar>
              <w:top w:type="dxa" w:w="60"/>
              <w:left w:type="dxa" w:w="140"/>
              <w:bottom w:type="dxa" w:w="60"/>
              <w:right w:type="dxa" w:w="100"/>
            </w:tcMar>
          </w:tcPr>
          <w:p>
            <w:r>
              <w:rPr>
                <w:rFonts w:ascii="Arial" w:cs="Arial" w:eastAsia="Arial" w:hAnsi="Arial"/>
                <w:sz w:val="20"/>
                <w:szCs w:val="20"/>
              </w:rPr>
              <w:t xml:space="preserve">2 (An Lushan &amp; Chen Zian: Step 8 × 16 turns; Step 4,818 × 1 turn)</w:t>
            </w:r>
          </w:p>
        </w:tc>
      </w:tr>
      <w:tr>
        <w:tc>
          <w:tcPr>
            <w:tcW w:type="dxa" w:w="3200"/>
            <w:shd w:fill="FFFFFF" w:val="clear"/>
            <w:tcMar>
              <w:top w:type="dxa" w:w="60"/>
              <w:left w:type="dxa" w:w="140"/>
              <w:bottom w:type="dxa" w:w="60"/>
              <w:right w:type="dxa" w:w="100"/>
            </w:tcMar>
          </w:tcPr>
          <w:p>
            <w:r>
              <w:rPr>
                <w:rFonts w:ascii="Arial" w:cs="Arial" w:eastAsia="Arial" w:hAnsi="Arial"/>
                <w:sz w:val="20"/>
                <w:szCs w:val="20"/>
              </w:rPr>
              <w:t xml:space="preserve">Active Agent-Steps</w:t>
            </w:r>
          </w:p>
        </w:tc>
        <w:tc>
          <w:tcPr>
            <w:tcW w:type="dxa" w:w="6160"/>
            <w:shd w:fill="FFFFFF" w:val="clear"/>
            <w:tcMar>
              <w:top w:type="dxa" w:w="60"/>
              <w:left w:type="dxa" w:w="140"/>
              <w:bottom w:type="dxa" w:w="60"/>
              <w:right w:type="dxa" w:w="100"/>
            </w:tcMar>
          </w:tcPr>
          <w:p>
            <w:r>
              <w:rPr>
                <w:rFonts w:ascii="Arial" w:cs="Arial" w:eastAsia="Arial" w:hAnsi="Arial"/>
                <w:sz w:val="20"/>
                <w:szCs w:val="20"/>
              </w:rPr>
              <w:t xml:space="preserve">~1,300 of 15,000 (~9%)</w:t>
            </w:r>
          </w:p>
        </w:tc>
      </w:tr>
      <w:tr>
        <w:tc>
          <w:tcPr>
            <w:tcW w:type="dxa" w:w="3200"/>
            <w:shd w:fill="E8E0D0" w:val="clear"/>
            <w:tcMar>
              <w:top w:type="dxa" w:w="60"/>
              <w:left w:type="dxa" w:w="140"/>
              <w:bottom w:type="dxa" w:w="60"/>
              <w:right w:type="dxa" w:w="100"/>
            </w:tcMar>
          </w:tcPr>
          <w:p>
            <w:r>
              <w:rPr>
                <w:rFonts w:ascii="Arial" w:cs="Arial" w:eastAsia="Arial" w:hAnsi="Arial"/>
                <w:sz w:val="20"/>
                <w:szCs w:val="20"/>
              </w:rPr>
              <w:t xml:space="preserve">Sleep Agent-Steps</w:t>
            </w:r>
          </w:p>
        </w:tc>
        <w:tc>
          <w:tcPr>
            <w:tcW w:type="dxa" w:w="6160"/>
            <w:shd w:fill="E8E0D0" w:val="clear"/>
            <w:tcMar>
              <w:top w:type="dxa" w:w="60"/>
              <w:left w:type="dxa" w:w="140"/>
              <w:bottom w:type="dxa" w:w="60"/>
              <w:right w:type="dxa" w:w="100"/>
            </w:tcMar>
          </w:tcPr>
          <w:p>
            <w:r>
              <w:rPr>
                <w:rFonts w:ascii="Arial" w:cs="Arial" w:eastAsia="Arial" w:hAnsi="Arial"/>
                <w:sz w:val="20"/>
                <w:szCs w:val="20"/>
              </w:rPr>
              <w:t xml:space="preserve">~13,700 of 15,000 (~91%)</w:t>
            </w:r>
          </w:p>
        </w:tc>
      </w:tr>
    </w:tbl>
    <w:p>
      <w:pPr>
        <w:spacing w:after="80" w:before="0" w:line="276" w:lineRule="auto"/>
      </w:pPr>
      <w:r>
        <w:t xml:space="preserve"/>
      </w:r>
    </w:p>
    <w:sectPr>
      <w:head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0" w:sz="4" w:space="4"/>
      </w:pBdr>
      <w:jc w:val="right"/>
    </w:pPr>
    <w:r>
      <w:rPr>
        <w:rFonts w:ascii="Arial" w:cs="Arial" w:eastAsia="Arial" w:hAnsi="Arial"/>
        <w:color w:val="666666"/>
        <w:sz w:val="18"/>
        <w:szCs w:val="18"/>
      </w:rPr>
      <w:t xml:space="preserve">Tang Dynasty Simulation Report  |  tang_run_5000  |  p.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80" w:before="200"/>
      <w:outlineLvl w:val="1"/>
    </w:pPr>
    <w:rPr>
      <w:rFonts w:ascii="Georgia" w:cs="Georgia" w:eastAsia="Georgia" w:hAnsi="Georgia"/>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2026-04-27T14:37:41.103Z</dcterms:created>
  <dcterms:modified xsi:type="dcterms:W3CDTF">2026-04-27T14:37:41.104Z</dcterms:modified>
</cp:coreProperties>
</file>

<file path=docProps/custom.xml><?xml version="1.0" encoding="utf-8"?>
<Properties xmlns="http://schemas.openxmlformats.org/officeDocument/2006/custom-properties" xmlns:vt="http://schemas.openxmlformats.org/officeDocument/2006/docPropsVTypes"/>
</file>