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b/>
          <w:bCs/>
          <w:caps/>
          <w:color w:val="1B2A4A"/>
          <w:sz w:val="48"/>
          <w:szCs w:val="48"/>
        </w:rPr>
        <w:t xml:space="preserve">THE DOUBLE UNRAVELING</w:t>
      </w:r>
    </w:p>
    <w:p>
      <w:pPr>
        <w:pBdr>
          <w:bottom w:val="single" w:color="2E5FA3" w:sz="8" w:space="1"/>
        </w:pBdr>
        <w:spacing w:after="0" w:before="0"/>
      </w:pPr>
      <w:r>
        <w:t xml:space="preserve"/>
      </w:r>
    </w:p>
    <w:p>
      <w:pPr>
        <w:spacing w:after="80" w:before="100"/>
      </w:pPr>
      <w:r>
        <w:rPr>
          <w:rFonts w:ascii="Arial" w:cs="Arial" w:eastAsia="Arial" w:hAnsi="Arial"/>
          <w:color w:val="2E5FA3"/>
          <w:sz w:val="28"/>
          <w:szCs w:val="28"/>
        </w:rPr>
        <w:t xml:space="preserve">Regulatory Rollout Model and Revised Outcome Projections</w:t>
      </w:r>
    </w:p>
    <w:p>
      <w:pPr>
        <w:spacing w:after="300" w:before="0"/>
      </w:pPr>
      <w:r>
        <w:rPr>
          <w:rFonts w:ascii="Georgia" w:cs="Georgia" w:eastAsia="Georgia" w:hAnsi="Georgia"/>
          <w:i/>
          <w:iCs/>
          <w:color w:val="9CA3AF"/>
          <w:sz w:val="22"/>
          <w:szCs w:val="22"/>
        </w:rPr>
        <w:t xml:space="preserve">Year-by-year implementation timeline, emission reductions by sector, and updated cost-benefit analysis</w:t>
      </w:r>
    </w:p>
    <w:p>
      <w:pPr>
        <w:spacing w:after="100" w:before="60"/>
        <w:ind/>
      </w:pPr>
      <w:r>
        <w:rPr>
          <w:rFonts w:ascii="Georgia" w:cs="Georgia" w:eastAsia="Georgia" w:hAnsi="Georgia"/>
          <w:b w:val="false"/>
          <w:bCs w:val="false"/>
          <w:i w:val="false"/>
          <w:iCs w:val="false"/>
          <w:color w:val="374151"/>
          <w:sz w:val="21"/>
          <w:szCs w:val="21"/>
        </w:rPr>
        <w:t xml:space="preserve">This document models the dual-track regulatory rollout — Track A executive authority rules beginning January 2029, Track B CACBA-authorized rules following by summer 2031 — and folds their projected effects into the overall framework outcomes developed in the preceding analyses. All emission reduction figures are incremental reductions above the 2028 current-policy baseline, which already incorporates surviving IRA tax credit effects post-OBBBA. Ranges reflect legal uncertainty (particularly Track A stay risk), implementation pace variation, and demand-side response uncertainty. The document concludes with a revised version of the overall cost-benefit table from the earlier prescriptions analysis.</w:t>
      </w:r>
    </w:p>
    <w:p>
      <w:pPr>
        <w:spacing w:after="0" w:before="0"/>
      </w:pPr>
      <w:r>
        <w:rPr>
          <w:sz w:val="12"/>
          <w:szCs w:val="12"/>
        </w:rPr>
        <w:t xml:space="preserve"/>
      </w:r>
    </w:p>
    <w:p>
      <w:pPr>
        <w:pBdr>
          <w:bottom w:val="single" w:color="D1D5DB" w:sz="2" w:space="1"/>
        </w:pBdr>
        <w:spacing w:after="0" w:before="0"/>
      </w:pPr>
      <w:r>
        <w:t xml:space="preserve"/>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2"/>
              <w:left w:val="single" w:color="2E5FA3" w:sz="2"/>
              <w:bottom w:val="single" w:color="2E5FA3" w:sz="2"/>
              <w:right w:val="single" w:color="2E5FA3" w:sz="2"/>
            </w:tcBorders>
            <w:shd w:fill="D6E4F7" w:val="clear"/>
            <w:tcMar>
              <w:top w:type="dxa" w:w="120"/>
              <w:left w:type="dxa" w:w="200"/>
              <w:bottom w:type="dxa" w:w="120"/>
              <w:right w:type="dxa" w:w="200"/>
            </w:tcMar>
          </w:tcPr>
          <w:p>
            <w:pPr>
              <w:spacing w:after="80" w:before="0"/>
            </w:pPr>
            <w:r>
              <w:rPr>
                <w:rFonts w:ascii="Arial" w:cs="Arial" w:eastAsia="Arial" w:hAnsi="Arial"/>
                <w:b/>
                <w:bCs/>
                <w:color w:val="2E5FA3"/>
                <w:sz w:val="21"/>
                <w:szCs w:val="21"/>
              </w:rPr>
              <w:t xml:space="preserve">Methodology and data sources — revised baseline</w:t>
            </w:r>
          </w:p>
          <w:p>
            <w:pPr>
              <w:spacing w:after="0" w:before="0"/>
            </w:pPr>
            <w:r>
              <w:rPr>
                <w:rFonts w:ascii="Georgia" w:cs="Georgia" w:eastAsia="Georgia" w:hAnsi="Georgia"/>
                <w:color w:val="374151"/>
                <w:sz w:val="20"/>
                <w:szCs w:val="20"/>
              </w:rPr>
              <w:t xml:space="preserve">Emission reduction estimates draw on RFF-REPEAT (2023–2025), Rhodium Group U.S. Climate Policy Outlook, Princeton Net-Zero America, and EPA regulatory impact analyses for the Biden-era rules used as templates. The no-new-policy baseline has been revised downward from the initial rollout model to reflect the weaker post-OBBBA IRA: EV credit (30D) elimination slows transportation decarbonization; accelerated wind/solar incentive phase-outs contract the clean energy project pipeline beyond 2027; GGRF termination reduces building sector and community deployment. The revised 2030 baseline is approximately 4.55–4.90 GtCO2e (34–38% below 2005), compared to the earlier version's 4.35–4.60 (38–41%). U.S. 2005 emissions: 7.4 GtCO2e. Paris NDC: 50–52% below 2005 by 2030 (3.56–3.70 GtCO2e). Hard-to-abate sector floor identified in long-run analysis: ~0.60–0.90 GtCO2e/yr by 2040.</w:t>
            </w:r>
          </w:p>
        </w:tc>
      </w:tr>
    </w:tbl>
    <w:p>
      <w:pPr>
        <w:spacing w:after="0" w:before="0"/>
      </w:pPr>
      <w:r>
        <w:rPr>
          <w:sz w:val="12"/>
          <w:szCs w:val="12"/>
        </w:rPr>
        <w:t xml:space="preserve"/>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1: Dual-Track Regulatory Timeline</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Two regulatory tracks run simultaneously. Track A uses existing executive and statutory authority from Day 1 of the new administration. Track B relies on CACBA authorization and produces legally durable rules insulated from West Virginia and Loper Bright challenges. The tracks are complementary: Track A builds the administrative record and creates early compliance pressure; Track B provides the constitutional foundation that makes rules enforceable across political cycles.</w:t>
      </w:r>
    </w:p>
    <w:p>
      <w:pPr>
        <w:spacing w:after="100" w:before="60"/>
        <w:ind/>
      </w:pPr>
      <w:r>
        <w:rPr>
          <w:rFonts w:ascii="Georgia" w:cs="Georgia" w:eastAsia="Georgia" w:hAnsi="Georgia"/>
          <w:b w:val="false"/>
          <w:bCs w:val="false"/>
          <w:i w:val="false"/>
          <w:iCs w:val="false"/>
          <w:color w:val="374151"/>
          <w:sz w:val="21"/>
          <w:szCs w:val="21"/>
        </w:rPr>
        <w:t xml:space="preserve">A critical prerequisite for Track A power-sector rulemaking — the Endangerment Finding restoration — requires its own notice-and-comment rulemaking process and takes approximately six months from Day 1. This is the binding constraint on the Track A power sector timeline and explains why vehicle and methane rules move faster than electricity rules.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900"/>
        <w:gridCol w:w="900"/>
        <w:gridCol w:w="1000"/>
        <w:gridCol w:w="1100"/>
        <w:gridCol w:w="1300"/>
        <w:gridCol w:w="660"/>
      </w:tblGrid>
      <w:tr>
        <w:trPr>
          <w:tblHeader/>
        </w:trPr>
        <w:tc>
          <w:tcPr>
            <w:tcW w:type="dxa" w:w="18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Rule / Program</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Track</w:t>
            </w:r>
          </w:p>
        </w:tc>
        <w:tc>
          <w:tcPr>
            <w:tcW w:type="dxa" w:w="9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Proposed Rule</w:t>
            </w:r>
          </w:p>
        </w:tc>
        <w:tc>
          <w:tcPr>
            <w:tcW w:type="dxa" w:w="9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Final Rule</w:t>
            </w:r>
          </w:p>
        </w:tc>
        <w:tc>
          <w:tcPr>
            <w:tcW w:type="dxa" w:w="10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CRA Risk Window</w:t>
            </w:r>
          </w:p>
        </w:tc>
        <w:tc>
          <w:tcPr>
            <w:tcW w:type="dxa" w:w="11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Stay Risk</w:t>
            </w:r>
          </w:p>
        </w:tc>
        <w:tc>
          <w:tcPr>
            <w:tcW w:type="dxa" w:w="13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First Enforceable</w:t>
            </w:r>
          </w:p>
        </w:tc>
        <w:tc>
          <w:tcPr>
            <w:tcW w:type="dxa" w:w="66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Sector</w:t>
            </w:r>
          </w:p>
        </w:tc>
      </w:tr>
      <w:tr>
        <w:tc>
          <w:tcPr>
            <w:tcW w:type="dxa" w:w="18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Endangerment Finding Restoration</w:t>
            </w:r>
          </w:p>
        </w:tc>
        <w:tc>
          <w:tcPr>
            <w:tcW w:type="dxa" w:w="700"/>
            <w:tcBorders>
              <w:top w:val="single" w:color="D1D5DB" w:sz="1"/>
              <w:left w:val="single" w:color="D1D5DB" w:sz="1"/>
              <w:bottom w:val="single" w:color="D1D5DB" w:sz="1"/>
              <w:right w:val="single" w:color="D1D5DB" w:sz="1"/>
            </w:tcBorders>
            <w:shd w:fill="EDE9FE" w:val="clear"/>
            <w:tcMar>
              <w:top w:type="dxa" w:w="70"/>
              <w:left w:type="dxa" w:w="80"/>
              <w:bottom w:type="dxa" w:w="70"/>
              <w:right w:type="dxa" w:w="60"/>
            </w:tcMar>
            <w:vAlign w:val="center"/>
          </w:tcPr>
          <w:p>
            <w:pPr>
              <w:jc w:val="center"/>
            </w:pPr>
            <w:r>
              <w:rPr>
                <w:rFonts w:ascii="Arial" w:cs="Arial" w:eastAsia="Arial" w:hAnsi="Arial"/>
                <w:b/>
                <w:bCs/>
                <w:color w:val="7C3AED"/>
                <w:sz w:val="18"/>
                <w:szCs w:val="18"/>
              </w:rPr>
              <w:t xml:space="preserve">A</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2029</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2029</w:t>
            </w:r>
          </w:p>
        </w:tc>
        <w:tc>
          <w:tcPr>
            <w:tcW w:type="dxa" w:w="10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left"/>
            </w:pPr>
            <w:r>
              <w:rPr>
                <w:rFonts w:ascii="Arial" w:cs="Arial" w:eastAsia="Arial" w:hAnsi="Arial"/>
                <w:b w:val="false"/>
                <w:bCs w:val="false"/>
                <w:color w:val="374151"/>
                <w:sz w:val="18"/>
                <w:szCs w:val="18"/>
              </w:rPr>
              <w:t xml:space="preserve">None — EF is not a rule</w:t>
            </w:r>
          </w:p>
        </w:tc>
        <w:tc>
          <w:tcPr>
            <w:tcW w:type="dxa" w:w="11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Moderate</w:t>
            </w:r>
          </w:p>
        </w:tc>
        <w:tc>
          <w:tcPr>
            <w:tcW w:type="dxa" w:w="13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left"/>
            </w:pPr>
            <w:r>
              <w:rPr>
                <w:rFonts w:ascii="Arial" w:cs="Arial" w:eastAsia="Arial" w:hAnsi="Arial"/>
                <w:b w:val="false"/>
                <w:bCs w:val="false"/>
                <w:color w:val="374151"/>
                <w:sz w:val="18"/>
                <w:szCs w:val="18"/>
              </w:rPr>
              <w:t xml:space="preserve">Q3 2029 (prereq for EPA rules)</w:t>
            </w:r>
          </w:p>
        </w:tc>
        <w:tc>
          <w:tcPr>
            <w:tcW w:type="dxa" w:w="66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All</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Methane — Oil &amp; Gas Operations (CAA §111)</w:t>
            </w:r>
          </w:p>
        </w:tc>
        <w:tc>
          <w:tcPr>
            <w:tcW w:type="dxa" w:w="700"/>
            <w:tcBorders>
              <w:top w:val="single" w:color="D1D5DB" w:sz="1"/>
              <w:left w:val="single" w:color="D1D5DB" w:sz="1"/>
              <w:bottom w:val="single" w:color="D1D5DB" w:sz="1"/>
              <w:right w:val="single" w:color="D1D5DB" w:sz="1"/>
            </w:tcBorders>
            <w:shd w:fill="EDE9FE" w:val="clear"/>
            <w:tcMar>
              <w:top w:type="dxa" w:w="70"/>
              <w:left w:type="dxa" w:w="80"/>
              <w:bottom w:type="dxa" w:w="70"/>
              <w:right w:type="dxa" w:w="60"/>
            </w:tcMar>
            <w:vAlign w:val="center"/>
          </w:tcPr>
          <w:p>
            <w:pPr>
              <w:jc w:val="center"/>
            </w:pPr>
            <w:r>
              <w:rPr>
                <w:rFonts w:ascii="Arial" w:cs="Arial" w:eastAsia="Arial" w:hAnsi="Arial"/>
                <w:b/>
                <w:bCs/>
                <w:color w:val="7C3AED"/>
                <w:sz w:val="18"/>
                <w:szCs w:val="18"/>
              </w:rPr>
              <w:t xml:space="preserve">A</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Q2 2029</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2029</w:t>
            </w:r>
          </w:p>
        </w:tc>
        <w:tc>
          <w:tcPr>
            <w:tcW w:type="dxa" w:w="1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Safe (final Q4 2029)</w:t>
            </w:r>
          </w:p>
        </w:tc>
        <w:tc>
          <w:tcPr>
            <w:tcW w:type="dxa" w:w="11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Low–Mod</w:t>
            </w:r>
          </w:p>
        </w:tc>
        <w:tc>
          <w:tcPr>
            <w:tcW w:type="dxa" w:w="1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2030</w:t>
            </w:r>
          </w:p>
        </w:tc>
        <w:tc>
          <w:tcPr>
            <w:tcW w:type="dxa" w:w="6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Energy</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Vehicle GHG &amp; Fuel Economy Standards (CAA §202 / CAFE)</w:t>
            </w:r>
          </w:p>
        </w:tc>
        <w:tc>
          <w:tcPr>
            <w:tcW w:type="dxa" w:w="700"/>
            <w:tcBorders>
              <w:top w:val="single" w:color="D1D5DB" w:sz="1"/>
              <w:left w:val="single" w:color="D1D5DB" w:sz="1"/>
              <w:bottom w:val="single" w:color="D1D5DB" w:sz="1"/>
              <w:right w:val="single" w:color="D1D5DB" w:sz="1"/>
            </w:tcBorders>
            <w:shd w:fill="EDE9FE" w:val="clear"/>
            <w:tcMar>
              <w:top w:type="dxa" w:w="70"/>
              <w:left w:type="dxa" w:w="80"/>
              <w:bottom w:type="dxa" w:w="70"/>
              <w:right w:type="dxa" w:w="60"/>
            </w:tcMar>
            <w:vAlign w:val="center"/>
          </w:tcPr>
          <w:p>
            <w:pPr>
              <w:jc w:val="center"/>
            </w:pPr>
            <w:r>
              <w:rPr>
                <w:rFonts w:ascii="Arial" w:cs="Arial" w:eastAsia="Arial" w:hAnsi="Arial"/>
                <w:b/>
                <w:bCs/>
                <w:color w:val="7C3AED"/>
                <w:sz w:val="18"/>
                <w:szCs w:val="18"/>
              </w:rPr>
              <w:t xml:space="preserve">A</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2029</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2030</w:t>
            </w:r>
          </w:p>
        </w:tc>
        <w:tc>
          <w:tcPr>
            <w:tcW w:type="dxa" w:w="1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Safe (final Q1 2030)</w:t>
            </w:r>
          </w:p>
        </w:tc>
        <w:tc>
          <w:tcPr>
            <w:tcW w:type="dxa" w:w="11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Moderate</w:t>
            </w:r>
          </w:p>
        </w:tc>
        <w:tc>
          <w:tcPr>
            <w:tcW w:type="dxa" w:w="1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Q2 2030 (if no stay)
Q3 2031 via CACBA</w:t>
            </w:r>
          </w:p>
        </w:tc>
        <w:tc>
          <w:tcPr>
            <w:tcW w:type="dxa" w:w="6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Transport</w:t>
            </w:r>
          </w:p>
        </w:tc>
      </w:tr>
      <w:tr>
        <w:tc>
          <w:tcPr>
            <w:tcW w:type="dxa" w:w="180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Power Sector GHG Standards — Track A (CAA §111)</w:t>
            </w:r>
          </w:p>
        </w:tc>
        <w:tc>
          <w:tcPr>
            <w:tcW w:type="dxa" w:w="700"/>
            <w:tcBorders>
              <w:top w:val="single" w:color="D1D5DB" w:sz="1"/>
              <w:left w:val="single" w:color="D1D5DB" w:sz="1"/>
              <w:bottom w:val="single" w:color="D1D5DB" w:sz="1"/>
              <w:right w:val="single" w:color="D1D5DB" w:sz="1"/>
            </w:tcBorders>
            <w:shd w:fill="EDE9FE" w:val="clear"/>
            <w:tcMar>
              <w:top w:type="dxa" w:w="70"/>
              <w:left w:type="dxa" w:w="80"/>
              <w:bottom w:type="dxa" w:w="70"/>
              <w:right w:type="dxa" w:w="60"/>
            </w:tcMar>
            <w:vAlign w:val="center"/>
          </w:tcPr>
          <w:p>
            <w:pPr>
              <w:jc w:val="center"/>
            </w:pPr>
            <w:r>
              <w:rPr>
                <w:rFonts w:ascii="Arial" w:cs="Arial" w:eastAsia="Arial" w:hAnsi="Arial"/>
                <w:b/>
                <w:bCs/>
                <w:color w:val="7C3AED"/>
                <w:sz w:val="18"/>
                <w:szCs w:val="18"/>
              </w:rPr>
              <w:t xml:space="preserve">A</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2030</w:t>
            </w:r>
          </w:p>
        </w:tc>
        <w:tc>
          <w:tcPr>
            <w:tcW w:type="dxa" w:w="9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2031</w:t>
            </w:r>
          </w:p>
        </w:tc>
        <w:tc>
          <w:tcPr>
            <w:tcW w:type="dxa" w:w="10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left"/>
            </w:pPr>
            <w:r>
              <w:rPr>
                <w:rFonts w:ascii="Arial" w:cs="Arial" w:eastAsia="Arial" w:hAnsi="Arial"/>
                <w:b w:val="false"/>
                <w:bCs w:val="false"/>
                <w:color w:val="B45309"/>
                <w:sz w:val="18"/>
                <w:szCs w:val="18"/>
              </w:rPr>
              <w:t xml:space="preserve">Caution (final Q1 2031)</w:t>
            </w:r>
          </w:p>
        </w:tc>
        <w:tc>
          <w:tcPr>
            <w:tcW w:type="dxa" w:w="11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High</w:t>
            </w:r>
          </w:p>
        </w:tc>
        <w:tc>
          <w:tcPr>
            <w:tcW w:type="dxa" w:w="13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left"/>
            </w:pPr>
            <w:r>
              <w:rPr>
                <w:rFonts w:ascii="Arial" w:cs="Arial" w:eastAsia="Arial" w:hAnsi="Arial"/>
                <w:b w:val="false"/>
                <w:bCs w:val="false"/>
                <w:color w:val="991B1B"/>
                <w:sz w:val="18"/>
                <w:szCs w:val="18"/>
              </w:rPr>
              <w:t xml:space="preserve">Likely stayed — superseded by Track B Q3 2031</w:t>
            </w:r>
          </w:p>
        </w:tc>
        <w:tc>
          <w:tcPr>
            <w:tcW w:type="dxa" w:w="66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Power</w:t>
            </w:r>
          </w:p>
        </w:tc>
      </w:tr>
      <w:tr>
        <w:tc>
          <w:tcPr>
            <w:tcW w:type="dxa" w:w="18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CAC Carbon Budget Published (executive order basis)</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Draft Q1 2030</w:t>
            </w:r>
          </w:p>
        </w:tc>
        <w:tc>
          <w:tcPr>
            <w:tcW w:type="dxa" w:w="9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Final Q3 2030</w:t>
            </w:r>
          </w:p>
        </w:tc>
        <w:tc>
          <w:tcPr>
            <w:tcW w:type="dxa" w:w="10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N/A — not a rule</w:t>
            </w:r>
          </w:p>
        </w:tc>
        <w:tc>
          <w:tcPr>
            <w:tcW w:type="dxa" w:w="11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N/A</w:t>
            </w:r>
          </w:p>
        </w:tc>
        <w:tc>
          <w:tcPr>
            <w:tcW w:type="dxa" w:w="13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left"/>
            </w:pPr>
            <w:r>
              <w:rPr>
                <w:rFonts w:ascii="Arial" w:cs="Arial" w:eastAsia="Arial" w:hAnsi="Arial"/>
                <w:b w:val="false"/>
                <w:bCs w:val="false"/>
                <w:color w:val="374151"/>
                <w:sz w:val="18"/>
                <w:szCs w:val="18"/>
              </w:rPr>
              <w:t xml:space="preserve">Carbon budget triggers agency deadlines</w:t>
            </w:r>
          </w:p>
        </w:tc>
        <w:tc>
          <w:tcPr>
            <w:tcW w:type="dxa" w:w="66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All</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Power Sector Standards — Track B (CACBA §111 restoration)</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2030
(45 days post-budget)</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2031
(90 days post-comment)</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Safe if final by Jul 2031</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 (explicit §auth)</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Q3 2031</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Power</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Vehicle Standards — Track B (CACBA transport allocation)</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2030</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2031</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Safe if final by Jul 2031</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2031 (supersedes Track A)</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Transport</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Industrial Sector Standards — Cement, Steel, Chemicals (CACBA)</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2031</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Q3 2031</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Safe if final by Jul 2031</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Low–Mod</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2031</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Industry</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Building Energy Efficiency Standards (DOE/HUD — CACBA)</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2031</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2031</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Safe</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2032 (real-world lag 5+ years)</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Buildings</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Agriculture / Land Use Conservation Requirements (USDA — CACBA)</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Q2 2031</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Q1 2032</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Safe</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Q2 2032</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Ag/Land</w:t>
            </w:r>
          </w:p>
        </w:tc>
      </w:tr>
      <w:tr>
        <w:tc>
          <w:tcPr>
            <w:tcW w:type="dxa" w:w="18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CAC Compliance Market — Facility Performance Standards &amp; Instruments</w:t>
            </w:r>
          </w:p>
        </w:tc>
        <w:tc>
          <w:tcPr>
            <w:tcW w:type="dxa" w:w="700"/>
            <w:tcBorders>
              <w:top w:val="single" w:color="D1D5DB" w:sz="1"/>
              <w:left w:val="single" w:color="D1D5DB" w:sz="1"/>
              <w:bottom w:val="single" w:color="D1D5DB" w:sz="1"/>
              <w:right w:val="single" w:color="D1D5DB" w:sz="1"/>
            </w:tcBorders>
            <w:shd w:fill="E0F2FE" w:val="clear"/>
            <w:tcMar>
              <w:top w:type="dxa" w:w="70"/>
              <w:left w:type="dxa" w:w="80"/>
              <w:bottom w:type="dxa" w:w="70"/>
              <w:right w:type="dxa" w:w="60"/>
            </w:tcMar>
            <w:vAlign w:val="center"/>
          </w:tcPr>
          <w:p>
            <w:pPr>
              <w:jc w:val="center"/>
            </w:pPr>
            <w:r>
              <w:rPr>
                <w:rFonts w:ascii="Arial" w:cs="Arial" w:eastAsia="Arial" w:hAnsi="Arial"/>
                <w:b/>
                <w:bCs/>
                <w:color w:val="0369A1"/>
                <w:sz w:val="18"/>
                <w:szCs w:val="18"/>
              </w:rPr>
              <w:t xml:space="preserve">B</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Q4 2030
(design rules)</w:t>
            </w:r>
          </w:p>
        </w:tc>
        <w:tc>
          <w:tcPr>
            <w:tcW w:type="dxa" w:w="9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Q2 2031
(market opens Q4 2031)</w:t>
            </w:r>
          </w:p>
        </w:tc>
        <w:tc>
          <w:tcPr>
            <w:tcW w:type="dxa" w:w="10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Safe</w:t>
            </w:r>
          </w:p>
        </w:tc>
        <w:tc>
          <w:tcPr>
            <w:tcW w:type="dxa" w:w="11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Low</w:t>
            </w:r>
          </w:p>
        </w:tc>
        <w:tc>
          <w:tcPr>
            <w:tcW w:type="dxa" w:w="13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Market open Q4 2031 (compliance year 2032)</w:t>
            </w:r>
          </w:p>
        </w:tc>
        <w:tc>
          <w:tcPr>
            <w:tcW w:type="dxa" w:w="66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Cross-sector</w:t>
            </w:r>
          </w:p>
        </w:tc>
      </w:tr>
    </w:tbl>
    <w:p>
      <w:pPr>
        <w:spacing w:after="0" w:before="0"/>
      </w:pPr>
      <w:r>
        <w:rPr>
          <w:sz w:val="8"/>
          <w:szCs w:val="8"/>
        </w:rPr>
        <w:t xml:space="preserve"/>
      </w:r>
    </w:p>
    <w:p>
      <w:pPr>
        <w:spacing w:after="80" w:before="40"/>
        <w:ind w:left="400"/>
      </w:pPr>
      <w:r>
        <w:rPr>
          <w:rFonts w:ascii="Georgia" w:cs="Georgia" w:eastAsia="Georgia" w:hAnsi="Georgia"/>
          <w:i/>
          <w:iCs/>
          <w:color w:val="9CA3AF"/>
          <w:sz w:val="19"/>
          <w:szCs w:val="19"/>
        </w:rPr>
        <w:t xml:space="preserve">CRA vulnerability: rules finalized before approximately May 2032 are outside the 60-legislative-day CRA window for a Congress seated January 2033. All Track B rules finalized Q3 2031 are safely outside this window by ~18 calendar months.</w:t>
      </w:r>
    </w:p>
    <w:p>
      <w:pPr>
        <w:spacing w:after="80" w:before="40"/>
        <w:ind w:left="400"/>
      </w:pPr>
      <w:r>
        <w:rPr>
          <w:rFonts w:ascii="Georgia" w:cs="Georgia" w:eastAsia="Georgia" w:hAnsi="Georgia"/>
          <w:i/>
          <w:iCs/>
          <w:color w:val="9CA3AF"/>
          <w:sz w:val="19"/>
          <w:szCs w:val="19"/>
        </w:rPr>
        <w:t xml:space="preserve">Track A power sector rules are modeled as building administrative record only; real-world compliance reductions are attributed to Track B supersession at Q3 2031 given high stay probability under West Virginia doctrine.</w:t>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2: Sector-by-Sector Emission Reductions</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All reductions are expressed as GtCO2e/year below the 2028 current-policy baseline. The baseline already incorporates surviving IRA tax credit effects, continued natural gas displacement of coal, and EV market penetration under existing policies. Framework reductions are additional to this baseline. Ranges reflect legal and implementation uncertainty; the lower bound assumes Track A vehicle and methane rules are stayed and only Track B rules produce enforceable reductions; the upper bound assumes Track A vehicle and methane rules survive legal challenge and produce real-world effects on the earlier timeline.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700"/>
        <w:gridCol w:w="720"/>
        <w:gridCol w:w="720"/>
        <w:gridCol w:w="720"/>
        <w:gridCol w:w="720"/>
        <w:gridCol w:w="720"/>
        <w:gridCol w:w="13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Sector / Rule</w:t>
            </w:r>
          </w:p>
        </w:tc>
        <w:tc>
          <w:tcPr>
            <w:tcW w:type="dxa" w:w="6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2029</w:t>
            </w:r>
          </w:p>
        </w:tc>
        <w:tc>
          <w:tcPr>
            <w:tcW w:type="dxa" w:w="7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2030</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2031</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2032</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2033</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2035</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2040</w:t>
            </w:r>
          </w:p>
        </w:tc>
        <w:tc>
          <w:tcPr>
            <w:tcW w:type="dxa" w:w="136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Primary driver / constraint</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bCs/>
                <w:color w:val="7C3AED"/>
                <w:sz w:val="18"/>
                <w:szCs w:val="18"/>
              </w:rPr>
              <w:t xml:space="preserve">Methane — oil &amp; gas (Track A)</w:t>
            </w:r>
          </w:p>
        </w:tc>
        <w:tc>
          <w:tcPr>
            <w:tcW w:type="dxa" w:w="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0.05–0.08</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0.10–0.13</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0.12–0.14</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0.12–0.15</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0.12–0.15</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9CA3AF"/>
                <w:sz w:val="18"/>
                <w:szCs w:val="18"/>
              </w:rPr>
              <w:t xml:space="preserve">0.10–0.13</w:t>
            </w:r>
          </w:p>
        </w:tc>
        <w:tc>
          <w:tcPr>
            <w:tcW w:type="dxa" w:w="136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Fastest Track A rule; low stay risk. Lower bound if stayed, recovers via CACBA Q3 2031.</w:t>
            </w:r>
          </w:p>
        </w:tc>
      </w:tr>
      <w:tr>
        <w:tc>
          <w:tcPr>
            <w:tcW w:type="dxa" w:w="150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bCs/>
                <w:color w:val="7C3AED"/>
                <w:sz w:val="18"/>
                <w:szCs w:val="18"/>
              </w:rPr>
              <w:t xml:space="preserve">Vehicle GHG / fuel economy (Track A→B)</w:t>
            </w:r>
          </w:p>
        </w:tc>
        <w:tc>
          <w:tcPr>
            <w:tcW w:type="dxa" w:w="6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0.04–0.10</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0.08–0.18</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0.17–0.27</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0.22–0.34</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0.35–0.50</w:t>
            </w:r>
          </w:p>
        </w:tc>
        <w:tc>
          <w:tcPr>
            <w:tcW w:type="dxa" w:w="720"/>
            <w:tcBorders>
              <w:top w:val="single" w:color="D1D5DB" w:sz="1"/>
              <w:left w:val="single" w:color="D1D5DB" w:sz="1"/>
              <w:bottom w:val="single" w:color="D1D5DB" w:sz="1"/>
              <w:right w:val="single" w:color="D1D5DB" w:sz="1"/>
            </w:tcBorders>
            <w:shd w:fill="EDE9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0.55–0.72</w:t>
            </w:r>
          </w:p>
        </w:tc>
        <w:tc>
          <w:tcPr>
            <w:tcW w:type="dxa" w:w="1360"/>
            <w:tcBorders>
              <w:top w:val="single" w:color="D1D5DB" w:sz="1"/>
              <w:left w:val="single" w:color="D1D5DB" w:sz="1"/>
              <w:bottom w:val="single" w:color="D1D5DB" w:sz="1"/>
              <w:right w:val="single" w:color="D1D5DB" w:sz="1"/>
            </w:tcBorders>
            <w:shd w:fill="EDE9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Real-world reductions lag 4–6 years (fleet turnover). Without 30D EV credit, fleet entering regulatory period has more newer ICE vehicles, slowing transition. Upper bound assumes no stay on Track A rule Q2 2030; lower bound assumes stay and Track B supersession Q3 2031.</w:t>
            </w:r>
          </w:p>
        </w:tc>
      </w:tr>
      <w:tr>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bCs/>
                <w:color w:val="0369A1"/>
                <w:sz w:val="18"/>
                <w:szCs w:val="18"/>
              </w:rPr>
              <w:t xml:space="preserve">Power sector (Track B — CACBA; Track A record only)</w:t>
            </w:r>
          </w:p>
        </w:tc>
        <w:tc>
          <w:tcPr>
            <w:tcW w:type="dxa" w:w="6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9CA3AF"/>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0.10–0.20</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0.35–0.55</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0.50–0.70</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0.70–0.90</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0.90–1.10</w:t>
            </w:r>
          </w:p>
        </w:tc>
        <w:tc>
          <w:tcPr>
            <w:tcW w:type="dxa" w:w="136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Largest single regulatory lever. Track A rule stays likely; Track B enforceable Q3 2031. Ramp-up reflects plant dispatch changes, retirements, gas standard compliance. Full effect by 2034–35.</w:t>
            </w:r>
          </w:p>
        </w:tc>
      </w:tr>
      <w:tr>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bCs/>
                <w:color w:val="0369A1"/>
                <w:sz w:val="18"/>
                <w:szCs w:val="18"/>
              </w:rPr>
              <w:t xml:space="preserve">Industrial sector — cement, steel, aluminum, chemicals (Track B)</w:t>
            </w:r>
          </w:p>
        </w:tc>
        <w:tc>
          <w:tcPr>
            <w:tcW w:type="dxa" w:w="6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0.03–0.06</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0.10–0.18</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0.18–0.28</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0.28–0.40</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0.35–0.50</w:t>
            </w:r>
          </w:p>
        </w:tc>
        <w:tc>
          <w:tcPr>
            <w:tcW w:type="dxa" w:w="136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Complex multi-facility standards; first enforceable Q4 2031. Ramp reflects capital investment lead times. CBAM creates additional incentive layered on top.</w:t>
            </w:r>
          </w:p>
        </w:tc>
      </w:tr>
      <w:tr>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bCs/>
                <w:color w:val="0369A1"/>
                <w:sz w:val="18"/>
                <w:szCs w:val="18"/>
              </w:rPr>
              <w:t xml:space="preserve">Buildings energy efficiency (Track B — DOE/HUD)</w:t>
            </w:r>
          </w:p>
        </w:tc>
        <w:tc>
          <w:tcPr>
            <w:tcW w:type="dxa" w:w="6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9CA3AF"/>
                <w:sz w:val="18"/>
                <w:szCs w:val="18"/>
              </w:rPr>
              <w:t xml:space="preserve">0.02–0.04</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9CA3AF"/>
                <w:sz w:val="18"/>
                <w:szCs w:val="18"/>
              </w:rPr>
              <w:t xml:space="preserve">0.03–0.06</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0.07–0.13</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0.18–0.28</w:t>
            </w:r>
          </w:p>
        </w:tc>
        <w:tc>
          <w:tcPr>
            <w:tcW w:type="dxa" w:w="136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Very long real-world lag — new construction standards affect stock at ~2% per year. Major reductions concentrated 2035–2045. Heat pump incentives from IRA accelerate adoption.</w:t>
            </w:r>
          </w:p>
        </w:tc>
      </w:tr>
      <w:tr>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bCs/>
                <w:color w:val="0369A1"/>
                <w:sz w:val="18"/>
                <w:szCs w:val="18"/>
              </w:rPr>
              <w:t xml:space="preserve">Agriculture / land use (USDA conservation programs — CACBA)</w:t>
            </w:r>
          </w:p>
        </w:tc>
        <w:tc>
          <w:tcPr>
            <w:tcW w:type="dxa" w:w="6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0.01–0.03</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0.03–0.06</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0.06–0.12</w:t>
            </w:r>
          </w:p>
        </w:tc>
        <w:tc>
          <w:tcPr>
            <w:tcW w:type="dxa" w:w="720"/>
            <w:tcBorders>
              <w:top w:val="single" w:color="D1D5DB" w:sz="1"/>
              <w:left w:val="single" w:color="D1D5DB" w:sz="1"/>
              <w:bottom w:val="single" w:color="D1D5DB" w:sz="1"/>
              <w:right w:val="single" w:color="D1D5DB" w:sz="1"/>
            </w:tcBorders>
            <w:shd w:fill="E0F2FE"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0.12–0.20</w:t>
            </w:r>
          </w:p>
        </w:tc>
        <w:tc>
          <w:tcPr>
            <w:tcW w:type="dxa" w:w="136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Slowest sector; conservation program enrollment voluntary within compliance framework. Methane capture, soil carbon sequestration. Interacts with Farm Bill REAP expansion.</w:t>
            </w:r>
          </w:p>
        </w:tc>
      </w:tr>
      <w:tr>
        <w:tc>
          <w:tcPr>
            <w:tcW w:type="dxa" w:w="7760"/>
            <w:gridSpan w:val="9"/>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NON-REGULATORY PRESCRIPTIONS</w:t>
            </w:r>
          </w:p>
        </w:tc>
      </w:tr>
      <w:tr>
        <w:tc>
          <w:tcPr>
            <w:tcW w:type="dxa" w:w="15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State Climate Acts + CIP programs (8–12 states by 2033)</w:t>
            </w:r>
          </w:p>
        </w:tc>
        <w:tc>
          <w:tcPr>
            <w:tcW w:type="dxa" w:w="6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0.20–0.25</w:t>
            </w:r>
          </w:p>
        </w:tc>
        <w:tc>
          <w:tcPr>
            <w:tcW w:type="dxa" w:w="7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0.28–0.38</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0.38–0.50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0.45–0.60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0.50–0.65</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0.60–0.72</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0.75–0.90</w:t>
            </w:r>
          </w:p>
        </w:tc>
        <w:tc>
          <w:tcPr>
            <w:tcW w:type="dxa" w:w="136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California already ~0.15 GtCO2e/yr; WA, NY, CO, MN, NJ, MA add ~0.10–0.15 by 2031. CIP approvals by CAC add 4–6 states by 2033. RGGI expansion ~0.05–0.10.</w:t>
            </w:r>
          </w:p>
        </w:tc>
      </w:tr>
      <w:tr>
        <w:tc>
          <w:tcPr>
            <w:tcW w:type="dxa" w:w="15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Reconciliation carbon pricing (if enacted 2030–31, $40/t rising)</w:t>
            </w:r>
          </w:p>
        </w:tc>
        <w:tc>
          <w:tcPr>
            <w:tcW w:type="dxa" w:w="6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9CA3AF"/>
                <w:sz w:val="18"/>
                <w:szCs w:val="18"/>
              </w:rPr>
              <w:t xml:space="preserve">0.05–0.10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0.15–0.25</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0.20–0.35</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0.30–0.50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0.50–0.80</w:t>
            </w:r>
          </w:p>
        </w:tc>
        <w:tc>
          <w:tcPr>
            <w:tcW w:type="dxa" w:w="136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Incremental to regulatory reductions; not fully additive (overlapping price signal). Achievable via reconciliation without filibuster reform. Conditional on trifecta + political will.</w:t>
            </w:r>
          </w:p>
        </w:tc>
      </w:tr>
      <w:tr>
        <w:tc>
          <w:tcPr>
            <w:tcW w:type="dxa" w:w="15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80"/>
            </w:tcMar>
            <w:vAlign w:val="center"/>
          </w:tcPr>
          <w:p>
            <w:pPr>
              <w:jc w:val="left"/>
            </w:pPr>
            <w:r>
              <w:rPr>
                <w:rFonts w:ascii="Arial" w:cs="Arial" w:eastAsia="Arial" w:hAnsi="Arial"/>
                <w:b/>
                <w:bCs/>
                <w:color w:val="374151"/>
                <w:sz w:val="18"/>
                <w:szCs w:val="18"/>
              </w:rPr>
              <w:t xml:space="preserve">Surviving IRA tax credits (baseline — already counted in baseline)</w:t>
            </w:r>
          </w:p>
        </w:tc>
        <w:tc>
          <w:tcPr>
            <w:tcW w:type="dxa" w:w="4900"/>
            <w:gridSpan w:val="7"/>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i/>
                <w:iCs/>
                <w:color w:val="9CA3AF"/>
                <w:sz w:val="18"/>
                <w:szCs w:val="18"/>
              </w:rPr>
              <w:t xml:space="preserve">Already in baseline — not additive to framework reductions above</w:t>
            </w:r>
          </w:p>
        </w:tc>
        <w:tc>
          <w:tcPr>
            <w:tcW w:type="dxa" w:w="136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IRA reductions are in the no-new-policy baseline; shown here for transparency. IRA generating ~0.3–0.5 GtCO2e/yr additional reductions vs. pre-IRA trajectory by 2029.</w:t>
            </w:r>
          </w:p>
        </w:tc>
      </w:tr>
      <w:tr>
        <w:tc>
          <w:tcPr>
            <w:tcW w:type="dxa" w:w="150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bCs/>
                <w:color w:val="FFFFFF"/>
                <w:sz w:val="18"/>
                <w:szCs w:val="18"/>
              </w:rPr>
              <w:t xml:space="preserve">TOTAL FRAMEWORK REDUCTIONS (above revised 2028 baseline)</w:t>
            </w:r>
          </w:p>
        </w:tc>
        <w:tc>
          <w:tcPr>
            <w:tcW w:type="dxa" w:w="60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0.18–0.23</w:t>
            </w:r>
          </w:p>
        </w:tc>
        <w:tc>
          <w:tcPr>
            <w:tcW w:type="dxa" w:w="70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0.33–0.52</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0.68–1.10</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1.25–1.90</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1.58–2.35</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2.30–3.10</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bCs/>
                <w:color w:val="FFFFFF"/>
                <w:sz w:val="18"/>
                <w:szCs w:val="18"/>
              </w:rPr>
              <w:t xml:space="preserve">2.90–4.05</w:t>
            </w:r>
          </w:p>
        </w:tc>
        <w:tc>
          <w:tcPr>
            <w:tcW w:type="dxa" w:w="136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val="false"/>
                <w:bCs w:val="false"/>
                <w:color w:val="FFFFFF"/>
                <w:sz w:val="18"/>
                <w:szCs w:val="18"/>
              </w:rPr>
              <w:t xml:space="preserve">Revised downward to reflect weaker IRA baseline (EV credit elimination, wind/solar pipeline contraction). Vehicle row revised for slower fleet transition from higher-ICE starting fleet. 2040 lower bound assumes central-case political cycling; worst-case CRA rollback is ~2.80–3.50 GtCO2e in 2040.</w:t>
            </w:r>
          </w:p>
        </w:tc>
      </w:tr>
    </w:tbl>
    <w:p>
      <w:pPr>
        <w:spacing w:after="0" w:before="0"/>
      </w:pPr>
      <w:r>
        <w:rPr>
          <w:sz w:val="8"/>
          <w:szCs w:val="8"/>
        </w:rPr>
        <w:t xml:space="preserve"/>
      </w:r>
    </w:p>
    <w:p>
      <w:pPr>
        <w:spacing w:after="80" w:before="40"/>
        <w:ind w:left="400"/>
      </w:pPr>
      <w:r>
        <w:rPr>
          <w:rFonts w:ascii="Georgia" w:cs="Georgia" w:eastAsia="Georgia" w:hAnsi="Georgia"/>
          <w:i/>
          <w:iCs/>
          <w:color w:val="9CA3AF"/>
          <w:sz w:val="19"/>
          <w:szCs w:val="19"/>
        </w:rPr>
        <w:t xml:space="preserve">2029 reductions (~0.20–0.25 GtCO2e) reflect expanding state frameworks and initial executive actions; no new federal rules are enforceable in 2029.</w:t>
      </w:r>
    </w:p>
    <w:p>
      <w:pPr>
        <w:spacing w:after="80" w:before="40"/>
        <w:ind w:left="400"/>
      </w:pPr>
      <w:r>
        <w:rPr>
          <w:rFonts w:ascii="Georgia" w:cs="Georgia" w:eastAsia="Georgia" w:hAnsi="Georgia"/>
          <w:i/>
          <w:iCs/>
          <w:color w:val="9CA3AF"/>
          <w:sz w:val="19"/>
          <w:szCs w:val="19"/>
        </w:rPr>
        <w:t xml:space="preserve">The compliance market opens Q4 2031 with compliance year 2032; its price signal produces behavioral changes before rules are technically violated, compressing the ramp-up timeline.</w:t>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3: U.S. Emissions Trajectory vs. Targets</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The following table expresses total U.S. GHG emissions (GtCO2e/year) under three scenarios against the Paris NDC and a 1.5°C fair-share trajectory. The no-new-policy baseline has been revised downward from the initial model to reflect the weaker post-OBBBA IRA, moving the 2030 baseline from 4.35–4.60 to 4.55–4.90 GtCO2e. Framework lower and upper bounds add the sectoral reductions from Section 2 to this weaker baseline. A central case estimate for 2040 is noted in the key findings: approximately 1.30–1.90 GtCO2e (74–82% below 2005), reflecting realistic political cycling and partial implementation.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20"/>
        <w:gridCol w:w="720"/>
        <w:gridCol w:w="720"/>
        <w:gridCol w:w="720"/>
        <w:gridCol w:w="720"/>
        <w:gridCol w:w="720"/>
        <w:gridCol w:w="800"/>
      </w:tblGrid>
      <w:tr>
        <w:trPr>
          <w:tblHeader/>
        </w:trPr>
        <w:tc>
          <w:tcPr>
            <w:tcW w:type="dxa" w:w="22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Scenario</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2024
Actual est.</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2028
Baseline</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2030</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2031</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2032</w:t>
            </w:r>
          </w:p>
        </w:tc>
        <w:tc>
          <w:tcPr>
            <w:tcW w:type="dxa" w:w="72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2035</w:t>
            </w:r>
          </w:p>
        </w:tc>
        <w:tc>
          <w:tcPr>
            <w:tcW w:type="dxa" w:w="8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2040</w:t>
            </w:r>
          </w:p>
        </w:tc>
      </w:tr>
      <w:tr>
        <w:tc>
          <w:tcPr>
            <w:tcW w:type="dxa" w:w="2200"/>
            <w:tcBorders>
              <w:top w:val="single" w:color="D1D5DB" w:sz="1"/>
              <w:left w:val="single" w:color="D1D5DB" w:sz="1"/>
              <w:bottom w:val="single" w:color="D1D5DB" w:sz="1"/>
              <w:right w:val="single" w:color="D1D5DB" w:sz="1"/>
            </w:tcBorders>
            <w:shd w:fill="FEE2E2" w:val="clear"/>
            <w:tcMar>
              <w:top w:type="dxa" w:w="70"/>
              <w:left w:type="dxa" w:w="120"/>
              <w:bottom w:type="dxa" w:w="70"/>
              <w:right w:type="dxa" w:w="80"/>
            </w:tcMar>
            <w:vAlign w:val="center"/>
          </w:tcPr>
          <w:p>
            <w:pPr>
              <w:jc w:val="left"/>
            </w:pPr>
            <w:r>
              <w:rPr>
                <w:rFonts w:ascii="Arial" w:cs="Arial" w:eastAsia="Arial" w:hAnsi="Arial"/>
                <w:b/>
                <w:bCs/>
                <w:color w:val="991B1B"/>
                <w:sz w:val="18"/>
                <w:szCs w:val="18"/>
              </w:rPr>
              <w:t xml:space="preserve">No new policy (current trajectory, surviving IRA — revised weaker baseline)</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5.40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5.20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4.55–4.90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4.45–4.80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4.30–4.65</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4.10–4.45</w:t>
            </w:r>
          </w:p>
        </w:tc>
        <w:tc>
          <w:tcPr>
            <w:tcW w:type="dxa" w:w="8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3.70–4.10</w:t>
            </w:r>
          </w:p>
        </w:tc>
      </w:tr>
      <w:tr>
        <w:tc>
          <w:tcPr>
            <w:tcW w:type="dxa" w:w="22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bCs/>
                <w:color w:val="4472C4"/>
                <w:sz w:val="18"/>
                <w:szCs w:val="18"/>
              </w:rPr>
              <w:t xml:space="preserve">Framework — lower bound (Track A stays; no carbon pricing; weaker baseline)</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5.40</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5.20</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4.35–4.72</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4.05–4.50</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3.50–4.10</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2.60–3.33</w:t>
            </w:r>
          </w:p>
        </w:tc>
        <w:tc>
          <w:tcPr>
            <w:tcW w:type="dxa" w:w="80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2.00–2.60</w:t>
            </w:r>
          </w:p>
        </w:tc>
      </w:tr>
      <w:tr>
        <w:tc>
          <w:tcPr>
            <w:tcW w:type="dxa" w:w="22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Framework — upper bound (Track A holds; carbon pricing enacted; lower baseline)</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5.40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5.20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4.10–4.45</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3.70–4.10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2.90–3.50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1.85–2.37</w:t>
            </w:r>
          </w:p>
        </w:tc>
        <w:tc>
          <w:tcPr>
            <w:tcW w:type="dxa" w:w="8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0.80–1.20</w:t>
            </w:r>
          </w:p>
        </w:tc>
      </w:tr>
      <w:tr>
        <w:tc>
          <w:tcPr>
            <w:tcW w:type="dxa" w:w="220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left"/>
            </w:pPr>
            <w:r>
              <w:rPr>
                <w:rFonts w:ascii="Arial" w:cs="Arial" w:eastAsia="Arial" w:hAnsi="Arial"/>
                <w:b/>
                <w:bCs/>
                <w:color w:val="FFFFFF"/>
                <w:sz w:val="18"/>
                <w:szCs w:val="18"/>
              </w:rPr>
              <w:t xml:space="preserve">REFERENCE TARGETS (GtCO2e/year)</w:t>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72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c>
          <w:tcPr>
            <w:tcW w:type="dxa" w:w="800"/>
            <w:tcBorders>
              <w:top w:val="single" w:color="D1D5DB" w:sz="1"/>
              <w:left w:val="single" w:color="D1D5DB" w:sz="1"/>
              <w:bottom w:val="single" w:color="D1D5DB" w:sz="1"/>
              <w:right w:val="single" w:color="D1D5DB" w:sz="1"/>
            </w:tcBorders>
            <w:shd w:fill="1B2A4A"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80"/>
            </w:tcMar>
            <w:vAlign w:val="center"/>
          </w:tcPr>
          <w:p>
            <w:pPr>
              <w:jc w:val="left"/>
            </w:pPr>
            <w:r>
              <w:rPr>
                <w:rFonts w:ascii="Arial" w:cs="Arial" w:eastAsia="Arial" w:hAnsi="Arial"/>
                <w:b/>
                <w:bCs/>
                <w:color w:val="374151"/>
                <w:sz w:val="18"/>
                <w:szCs w:val="18"/>
              </w:rPr>
              <w:t xml:space="preserve">Framework — central case (political cycling; partial Track A; carbon pricing uncertain)</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5.40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5.20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4.25–4.60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3.88–4.30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3.20–3.80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2.22–2.85</w:t>
            </w:r>
          </w:p>
        </w:tc>
        <w:tc>
          <w:tcPr>
            <w:tcW w:type="dxa" w:w="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bCs/>
                <w:color w:val="166534"/>
                <w:sz w:val="18"/>
                <w:szCs w:val="18"/>
              </w:rPr>
              <w:t xml:space="preserve">1.30–1.90</w:t>
            </w:r>
          </w:p>
        </w:tc>
      </w:tr>
      <w:tr>
        <w:tc>
          <w:tcPr>
            <w:tcW w:type="dxa" w:w="22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Paris NDC target (50% below 2005)</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bCs/>
                <w:color w:val="B45309"/>
                <w:sz w:val="18"/>
                <w:szCs w:val="18"/>
              </w:rPr>
              <w:t xml:space="preserve">3.70</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8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r>
      <w:tr>
        <w:tc>
          <w:tcPr>
            <w:tcW w:type="dxa" w:w="22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1.5°C U.S. fair-share trajectory (IPCC AR6 equity basis)</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~3.00</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~2.55</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~2.10</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~1.25</w:t>
            </w:r>
          </w:p>
        </w:tc>
        <w:tc>
          <w:tcPr>
            <w:tcW w:type="dxa" w:w="8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~0.30</w:t>
            </w:r>
          </w:p>
        </w:tc>
      </w:tr>
      <w:tr>
        <w:trPr>
          <w:tblHeader/>
        </w:trPr>
        <w:tc>
          <w:tcPr>
            <w:tcW w:type="dxa" w:w="220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 below 2005 baseline (7.4 GtCO2e)</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2024</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2028</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2030</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2031</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2032</w:t>
            </w:r>
          </w:p>
        </w:tc>
        <w:tc>
          <w:tcPr>
            <w:tcW w:type="dxa" w:w="72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2035</w:t>
            </w:r>
          </w:p>
        </w:tc>
        <w:tc>
          <w:tcPr>
            <w:tcW w:type="dxa" w:w="800"/>
            <w:gridSpan w:val="1"/>
            <w:tcBorders>
              <w:top w:val="single" w:color="D1D5DB" w:sz="1"/>
              <w:left w:val="single" w:color="D1D5DB" w:sz="1"/>
              <w:bottom w:val="single" w:color="D1D5DB" w:sz="1"/>
              <w:right w:val="single" w:color="D1D5DB" w:sz="1"/>
            </w:tcBorders>
            <w:shd w:fill="374151"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2040</w:t>
            </w:r>
          </w:p>
        </w:tc>
      </w:tr>
      <w:tr>
        <w:tc>
          <w:tcPr>
            <w:tcW w:type="dxa" w:w="2200"/>
            <w:tcBorders>
              <w:top w:val="single" w:color="D1D5DB" w:sz="1"/>
              <w:left w:val="single" w:color="D1D5DB" w:sz="1"/>
              <w:bottom w:val="single" w:color="D1D5DB" w:sz="1"/>
              <w:right w:val="single" w:color="D1D5DB" w:sz="1"/>
            </w:tcBorders>
            <w:shd w:fill="FEE2E2" w:val="clear"/>
            <w:tcMar>
              <w:top w:type="dxa" w:w="70"/>
              <w:left w:type="dxa" w:w="120"/>
              <w:bottom w:type="dxa" w:w="70"/>
              <w:right w:type="dxa" w:w="80"/>
            </w:tcMar>
            <w:vAlign w:val="center"/>
          </w:tcPr>
          <w:p>
            <w:pPr>
              <w:jc w:val="left"/>
            </w:pPr>
            <w:r>
              <w:rPr>
                <w:rFonts w:ascii="Arial" w:cs="Arial" w:eastAsia="Arial" w:hAnsi="Arial"/>
                <w:b/>
                <w:bCs/>
                <w:color w:val="991B1B"/>
                <w:sz w:val="18"/>
                <w:szCs w:val="18"/>
              </w:rPr>
              <w:t xml:space="preserve">No new policy (revised weaker baseline)</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27%</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34–38%</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35–40%</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37–42%</w:t>
            </w:r>
          </w:p>
        </w:tc>
        <w:tc>
          <w:tcPr>
            <w:tcW w:type="dxa" w:w="72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40–45%</w:t>
            </w:r>
          </w:p>
        </w:tc>
        <w:tc>
          <w:tcPr>
            <w:tcW w:type="dxa" w:w="8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45–50%</w:t>
            </w:r>
          </w:p>
        </w:tc>
      </w:tr>
      <w:tr>
        <w:tc>
          <w:tcPr>
            <w:tcW w:type="dxa" w:w="22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bCs/>
                <w:color w:val="4472C4"/>
                <w:sz w:val="18"/>
                <w:szCs w:val="18"/>
              </w:rPr>
              <w:t xml:space="preserve">Framework lower bound</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27%</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30%</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36–41%</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2E5FA3"/>
                <w:sz w:val="18"/>
                <w:szCs w:val="18"/>
              </w:rPr>
              <w:t xml:space="preserve">39–45%</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45–53%</w:t>
            </w:r>
          </w:p>
        </w:tc>
        <w:tc>
          <w:tcPr>
            <w:tcW w:type="dxa" w:w="72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55–65%</w:t>
            </w:r>
          </w:p>
        </w:tc>
        <w:tc>
          <w:tcPr>
            <w:tcW w:type="dxa" w:w="800"/>
            <w:tcBorders>
              <w:top w:val="single" w:color="D1D5DB" w:sz="1"/>
              <w:left w:val="single" w:color="D1D5DB" w:sz="1"/>
              <w:bottom w:val="single" w:color="D1D5DB" w:sz="1"/>
              <w:right w:val="single" w:color="D1D5DB" w:sz="1"/>
            </w:tcBorders>
            <w:shd w:fill="D6E4F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65–73%</w:t>
            </w:r>
          </w:p>
        </w:tc>
      </w:tr>
      <w:tr>
        <w:tc>
          <w:tcPr>
            <w:tcW w:type="dxa" w:w="22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Framework upper bound</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27%</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40–45%</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45–50%</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53–61%</w:t>
            </w:r>
          </w:p>
        </w:tc>
        <w:tc>
          <w:tcPr>
            <w:tcW w:type="dxa" w:w="72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68–75%</w:t>
            </w:r>
          </w:p>
        </w:tc>
        <w:tc>
          <w:tcPr>
            <w:tcW w:type="dxa" w:w="8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84–89%</w:t>
            </w:r>
          </w:p>
        </w:tc>
      </w:tr>
      <w:tr>
        <w:tc>
          <w:tcPr>
            <w:tcW w:type="dxa" w:w="2200"/>
            <w:tcBorders>
              <w:top w:val="single" w:color="D1D5DB" w:sz="1"/>
              <w:left w:val="single" w:color="D1D5DB" w:sz="1"/>
              <w:bottom w:val="single" w:color="D1D5DB" w:sz="1"/>
              <w:right w:val="single" w:color="D1D5DB" w:sz="1"/>
            </w:tcBorders>
            <w:shd w:fill="F3F4F6" w:val="clear"/>
            <w:tcMar>
              <w:top w:type="dxa" w:w="70"/>
              <w:left w:type="dxa" w:w="120"/>
              <w:bottom w:type="dxa" w:w="70"/>
              <w:right w:type="dxa" w:w="80"/>
            </w:tcMar>
            <w:vAlign w:val="center"/>
          </w:tcPr>
          <w:p>
            <w:pPr>
              <w:jc w:val="left"/>
            </w:pPr>
            <w:r>
              <w:rPr>
                <w:rFonts w:ascii="Arial" w:cs="Arial" w:eastAsia="Arial" w:hAnsi="Arial"/>
                <w:b/>
                <w:bCs/>
                <w:color w:val="374151"/>
                <w:sz w:val="18"/>
                <w:szCs w:val="18"/>
              </w:rPr>
              <w:t xml:space="preserve">Framework central case (political cycling)</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27%</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30%</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38–43%</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42–47%</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49–57%</w:t>
            </w:r>
          </w:p>
        </w:tc>
        <w:tc>
          <w:tcPr>
            <w:tcW w:type="dxa" w:w="72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val="false"/>
                <w:bCs w:val="false"/>
                <w:color w:val="166534"/>
                <w:sz w:val="18"/>
                <w:szCs w:val="18"/>
              </w:rPr>
              <w:t xml:space="preserve">62–70%</w:t>
            </w:r>
          </w:p>
        </w:tc>
        <w:tc>
          <w:tcPr>
            <w:tcW w:type="dxa" w:w="80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80"/>
            </w:tcMar>
            <w:vAlign w:val="center"/>
          </w:tcPr>
          <w:p>
            <w:pPr>
              <w:jc w:val="center"/>
            </w:pPr>
            <w:r>
              <w:rPr>
                <w:rFonts w:ascii="Arial" w:cs="Arial" w:eastAsia="Arial" w:hAnsi="Arial"/>
                <w:b/>
                <w:bCs/>
                <w:color w:val="166534"/>
                <w:sz w:val="18"/>
                <w:szCs w:val="18"/>
              </w:rPr>
              <w:t xml:space="preserve">74–82%</w:t>
            </w:r>
          </w:p>
        </w:tc>
      </w:tr>
      <w:tr>
        <w:tc>
          <w:tcPr>
            <w:tcW w:type="dxa" w:w="22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NDC target</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bCs/>
                <w:color w:val="B45309"/>
                <w:sz w:val="18"/>
                <w:szCs w:val="18"/>
              </w:rPr>
              <w:t xml:space="preserve">50%</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72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c>
          <w:tcPr>
            <w:tcW w:type="dxa" w:w="8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w:t>
            </w:r>
          </w:p>
        </w:tc>
      </w:tr>
    </w:tbl>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1B1B" w:sz="2"/>
              <w:left w:val="single" w:color="991B1B" w:sz="2"/>
              <w:bottom w:val="single" w:color="991B1B" w:sz="2"/>
              <w:right w:val="single" w:color="991B1B" w:sz="2"/>
            </w:tcBorders>
            <w:shd w:fill="FEE2E2" w:val="clear"/>
            <w:tcMar>
              <w:top w:type="dxa" w:w="120"/>
              <w:left w:type="dxa" w:w="200"/>
              <w:bottom w:type="dxa" w:w="120"/>
              <w:right w:type="dxa" w:w="200"/>
            </w:tcMar>
          </w:tcPr>
          <w:p>
            <w:pPr>
              <w:spacing w:after="80" w:before="0"/>
            </w:pPr>
            <w:r>
              <w:rPr>
                <w:rFonts w:ascii="Arial" w:cs="Arial" w:eastAsia="Arial" w:hAnsi="Arial"/>
                <w:b/>
                <w:bCs/>
                <w:color w:val="991B1B"/>
                <w:sz w:val="21"/>
                <w:szCs w:val="21"/>
              </w:rPr>
              <w:t xml:space="preserve">Key finding 1: The 2030 NDC target cannot be met — and the revised baseline makes the gap larger</w:t>
            </w:r>
          </w:p>
          <w:p>
            <w:pPr>
              <w:spacing w:after="0" w:before="0"/>
            </w:pPr>
            <w:r>
              <w:rPr>
                <w:rFonts w:ascii="Georgia" w:cs="Georgia" w:eastAsia="Georgia" w:hAnsi="Georgia"/>
                <w:color w:val="374151"/>
                <w:sz w:val="20"/>
                <w:szCs w:val="20"/>
              </w:rPr>
              <w:t xml:space="preserve">The 2030 NDC target (50% below 2005, or 3.70 GtCO2e) was already out of reach given the 12-month window between a new administration taking office and the target year. The revised weaker IRA baseline makes the gap larger: framework emissions in 2030 of 4.10–4.72 GtCO2e represent only 36–45% below 2005 — a shortfall of 5–14 percentage points against the NDC, compared to the 3–7 points in the prior analysis. OBBBA's elimination of the EV credit, acceleration of wind/solar phase-outs, and termination of the GGRF are directly responsible for roughly 0.2–0.4 GtCO2e of additional 2030 emissions. The essay can state this as the quantifiable climate cost of the 2025–2028 rollback period. The 2030 NDC target was functionally forfeited during those years — not by nature but by specific democratic governance failures.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2"/>
              <w:left w:val="single" w:color="166534" w:sz="2"/>
              <w:bottom w:val="single" w:color="166534" w:sz="2"/>
              <w:right w:val="single" w:color="166534" w:sz="2"/>
            </w:tcBorders>
            <w:shd w:fill="DCFCE7" w:val="clear"/>
            <w:tcMar>
              <w:top w:type="dxa" w:w="120"/>
              <w:left w:type="dxa" w:w="200"/>
              <w:bottom w:type="dxa" w:w="120"/>
              <w:right w:type="dxa" w:w="200"/>
            </w:tcMar>
          </w:tcPr>
          <w:p>
            <w:pPr>
              <w:spacing w:after="80" w:before="0"/>
            </w:pPr>
            <w:r>
              <w:rPr>
                <w:rFonts w:ascii="Arial" w:cs="Arial" w:eastAsia="Arial" w:hAnsi="Arial"/>
                <w:b/>
                <w:bCs/>
                <w:color w:val="166534"/>
                <w:sz w:val="21"/>
                <w:szCs w:val="21"/>
              </w:rPr>
              <w:t xml:space="preserve">Key finding 2: The 2032 trajectory is the first meaningful benchmark — but the lower bound is now NDC-adjacent, not comfortably above it</w:t>
            </w:r>
          </w:p>
          <w:p>
            <w:pPr>
              <w:spacing w:after="0" w:before="0"/>
            </w:pPr>
            <w:r>
              <w:rPr>
                <w:rFonts w:ascii="Georgia" w:cs="Georgia" w:eastAsia="Georgia" w:hAnsi="Georgia"/>
                <w:color w:val="374151"/>
                <w:sz w:val="20"/>
                <w:szCs w:val="20"/>
              </w:rPr>
              <w:t xml:space="preserve">By 2032, with CACBA rules enforceable for approximately 12 months, the framework's upper bound (53–61% below 2005) substantially clears the NDC threshold. The lower bound (45–53% below 2005) now straddles the NDC rather than comfortably exceeding it as the prior analysis suggested. This is a meaningful revision: in adverse scenarios (Track A vehicle rules stayed, no carbon pricing, disruption in 2033), the U.S. may not reach NDC-equivalent until 2033–2034 rather than 2032. The compliance market opening Q4 2031 remains the most important near-term mechanism — it creates price signals reshaping investment decisions before statutory deadlines arrive, which partially compensates for Track A legal delays.</w:t>
            </w:r>
          </w:p>
        </w:tc>
      </w:tr>
    </w:tbl>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2"/>
              <w:left w:val="single" w:color="2E5FA3" w:sz="2"/>
              <w:bottom w:val="single" w:color="2E5FA3" w:sz="2"/>
              <w:right w:val="single" w:color="2E5FA3" w:sz="2"/>
            </w:tcBorders>
            <w:shd w:fill="D6E4F7" w:val="clear"/>
            <w:tcMar>
              <w:top w:type="dxa" w:w="120"/>
              <w:left w:type="dxa" w:w="200"/>
              <w:bottom w:type="dxa" w:w="120"/>
              <w:right w:type="dxa" w:w="200"/>
            </w:tcMar>
          </w:tcPr>
          <w:p>
            <w:pPr>
              <w:spacing w:after="80" w:before="0"/>
            </w:pPr>
            <w:r>
              <w:rPr>
                <w:rFonts w:ascii="Arial" w:cs="Arial" w:eastAsia="Arial" w:hAnsi="Arial"/>
                <w:b/>
                <w:bCs/>
                <w:color w:val="2E5FA3"/>
                <w:sz w:val="21"/>
                <w:szCs w:val="21"/>
              </w:rPr>
              <w:t xml:space="preserve">Key finding 3: The 2035 picture remains consistent with a net-zero trajectory — but requires CDR to close it</w:t>
            </w:r>
          </w:p>
          <w:p>
            <w:pPr>
              <w:spacing w:after="0" w:before="0"/>
            </w:pPr>
            <w:r>
              <w:rPr>
                <w:rFonts w:ascii="Georgia" w:cs="Georgia" w:eastAsia="Georgia" w:hAnsi="Georgia"/>
                <w:color w:val="374151"/>
                <w:sz w:val="20"/>
                <w:szCs w:val="20"/>
              </w:rPr>
              <w:t xml:space="preserve">At 55–75% below 2005 by 2035, with a central case around 62–70%, the framework places the U.S. on a trajectory toward net zero by 2045–2050 — but the 2040 hard-to-abate residual of approximately 0.60–0.90 GtCO2e means net zero cannot be achieved through emissions reduction alone. Carbon dioxide removal scaling to 0.5–1.0 GtCO2e/year by 2045–2050 is required to close the gap. The framework does not include a CDR pathway. The honest statement of what the framework achieves: it reduces U.S. emissions to the level where net zero by 2045–2050 is possible via CDR at plausible deployment scale. Getting from 'possible' to 'achieved' requires a CDR policy agenda that is a companion to, not a product of, this framework. The prior analysis overstated 2035 performance by roughly 4–5 percentage points; the revised figures are 55–75% rather than 59–78%.</w:t>
            </w:r>
          </w:p>
        </w:tc>
      </w:tr>
    </w:tbl>
    <w:p>
      <w:pPr>
        <w:spacing w:after="0" w:before="0"/>
      </w:pPr>
      <w:r>
        <w:rPr>
          <w:sz w:val="12"/>
          <w:szCs w:val="12"/>
        </w:rPr>
        <w:t xml:space="preserve"/>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4: Revised Overall Framework Outcomes</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This section updates the cost-benefit table from the Policy Prescriptions document, incorporating the regulatory rollout model. The emissions columns now reflect the sector-by-sector analysis above. The disaster resilience and governance columns are unchanged from the earlier analysis. The 'key revised insight' column flags where the rollout model changes the earlier assessment.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00"/>
        <w:gridCol w:w="1600"/>
        <w:gridCol w:w="2160"/>
      </w:tblGrid>
      <w:tr>
        <w:trPr>
          <w:tblHeader/>
        </w:trPr>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
            </w:r>
          </w:p>
        </w:tc>
        <w:tc>
          <w:tcPr>
            <w:tcW w:type="dxa" w:w="15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Federal cost
(10-yr net)</w:t>
            </w:r>
          </w:p>
        </w:tc>
        <w:tc>
          <w:tcPr>
            <w:tcW w:type="dxa" w:w="16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Direct emissions
impact (revised)</w:t>
            </w:r>
          </w:p>
        </w:tc>
        <w:tc>
          <w:tcPr>
            <w:tcW w:type="dxa" w:w="16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Disaster / resilience
outcomes</w:t>
            </w:r>
          </w:p>
        </w:tc>
        <w:tc>
          <w:tcPr>
            <w:tcW w:type="dxa" w:w="216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Key revised insight from rollout model</w:t>
            </w:r>
          </w:p>
        </w:tc>
      </w:tr>
      <w:tr>
        <w:tc>
          <w:tcPr>
            <w:tcW w:type="dxa" w:w="15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bCs/>
                <w:color w:val="1B2A4A"/>
                <w:sz w:val="18"/>
                <w:szCs w:val="18"/>
              </w:rPr>
              <w:t xml:space="preserve">Pillar I
Disaster governance</w:t>
            </w:r>
          </w:p>
        </w:tc>
        <w:tc>
          <w:tcPr>
            <w:tcW w:type="dxa" w:w="15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$15–25B gross
~neutral net
(mitigation ROI)</w:t>
            </w:r>
          </w:p>
        </w:tc>
        <w:tc>
          <w:tcPr>
            <w:tcW w:type="dxa" w:w="16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Indirect — FEMA capacity supports clean energy infrastructure protection</w:t>
            </w:r>
          </w:p>
        </w:tc>
        <w:tc>
          <w:tcPr>
            <w:tcW w:type="dxa" w:w="160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$60–120B avoided disaster losses (10-yr). BRIC-equivalent at $500M/yr generates $3–8B/yr avoided losses.</w:t>
            </w:r>
          </w:p>
        </w:tc>
        <w:tc>
          <w:tcPr>
            <w:tcW w:type="dxa" w:w="2160"/>
            <w:tcBorders>
              <w:top w:val="single" w:color="D1D5DB" w:sz="1"/>
              <w:left w:val="single" w:color="D1D5DB" w:sz="1"/>
              <w:bottom w:val="single" w:color="D1D5DB" w:sz="1"/>
              <w:right w:val="single" w:color="D1D5DB" w:sz="1"/>
            </w:tcBorders>
            <w:shd w:fill="D6E4F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No change from prior analysis. Pre-disaster mitigation ROI ($6–13 per $1) is the best-documented cost-benefit ratio in the framework and does not depend on regulatory timeline.</w:t>
            </w:r>
          </w:p>
        </w:tc>
      </w:tr>
      <w:tr>
        <w:tc>
          <w:tcPr>
            <w:tcW w:type="dxa" w:w="15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Pillar II
Distributed economic stakes</w:t>
            </w:r>
          </w:p>
        </w:tc>
        <w:tc>
          <w:tcPr>
            <w:tcW w:type="dxa" w:w="15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$55–75B gross
~$40–60B net
(revenue offsets)</w:t>
            </w:r>
          </w:p>
        </w:tc>
        <w:tc>
          <w:tcPr>
            <w:tcW w:type="dxa" w:w="16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IRA credits: 0.3–0.5 GtCO2e/yr (already in baseline). REAP, bank: +0.1–0.2 GtCO2e/yr incremental by 2035.</w:t>
            </w:r>
          </w:p>
        </w:tc>
        <w:tc>
          <w:tcPr>
            <w:tcW w:type="dxa" w:w="16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Indirect. Distributed economic stakes protect regulatory framework from rollback — the political durability multiplier on all other outcomes.</w:t>
            </w:r>
          </w:p>
        </w:tc>
        <w:tc>
          <w:tcPr>
            <w:tcW w:type="dxa" w:w="216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Rollout model reveals IRA credits are more important than initial analysis implied: they constitute the 2028–2031 baseline from which CACBA rules build. Without them, the no-new-policy baseline is significantly worse and the framework's net reductions appear smaller.</w:t>
            </w:r>
          </w:p>
        </w:tc>
      </w:tr>
      <w:tr>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bCs/>
                <w:color w:val="0369A1"/>
                <w:sz w:val="18"/>
                <w:szCs w:val="18"/>
              </w:rPr>
              <w:t xml:space="preserve">Pillar III
Long-horizon planning</w:t>
            </w:r>
          </w:p>
        </w:tc>
        <w:tc>
          <w:tcPr>
            <w:tcW w:type="dxa" w:w="15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$30–40B gross
(CAC: $750M;
CAC staff rebuild: $2–3B;
other institutional)</w:t>
            </w:r>
          </w:p>
        </w:tc>
        <w:tc>
          <w:tcPr>
            <w:tcW w:type="dxa" w:w="16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Regulatory rules: +1.2–2.0 GtCO2e/yr by 2035 (revised down from +1.3–2.2). Carbon pricing: +0.3–0.5 GtCO2e/yr. State CIPs: +0.4–0.6 GtCO2e/yr. Total Pillar III contribution: ~1.9–3.1 GtCO2e/yr by 2035.</w:t>
            </w:r>
          </w:p>
        </w:tc>
        <w:tc>
          <w:tcPr>
            <w:tcW w:type="dxa" w:w="160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Indirect. CAC carbon budgets shape compliance plan and infrastructure investment; 30-yr risk mandate integrates climate into federal projects.</w:t>
            </w:r>
          </w:p>
        </w:tc>
        <w:tc>
          <w:tcPr>
            <w:tcW w:type="dxa" w:w="2160"/>
            <w:tcBorders>
              <w:top w:val="single" w:color="D1D5DB" w:sz="1"/>
              <w:left w:val="single" w:color="D1D5DB" w:sz="1"/>
              <w:bottom w:val="single" w:color="D1D5DB" w:sz="1"/>
              <w:right w:val="single" w:color="D1D5DB" w:sz="1"/>
            </w:tcBorders>
            <w:shd w:fill="E0F2FE"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REVISED: Earlier analysis estimated 0.3–1.5 GtCO2e/yr. Rollout model with weaker IRA baseline shows 1.9–3.1 GtCO2e/yr by 2035 — still substantially higher than original, but modestly lower than the first rollout model version. Hard-to-abate residual (~0.60–0.90 GtCO2e) means net zero by 2045–50 requires CDR companion framework not included here. Caveat: requires CACBA passage via filibuster reform.</w:t>
            </w:r>
          </w:p>
        </w:tc>
      </w:tr>
      <w:tr>
        <w:tc>
          <w:tcPr>
            <w:tcW w:type="dxa" w:w="150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bCs/>
                <w:color w:val="FFFFFF"/>
                <w:sz w:val="18"/>
                <w:szCs w:val="18"/>
              </w:rPr>
              <w:t xml:space="preserve">TOTAL FRAMEWORK</w:t>
            </w:r>
          </w:p>
        </w:tc>
        <w:tc>
          <w:tcPr>
            <w:tcW w:type="dxa" w:w="150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val="false"/>
                <w:bCs w:val="false"/>
                <w:color w:val="FFFFFF"/>
                <w:sz w:val="18"/>
                <w:szCs w:val="18"/>
              </w:rPr>
              <w:t xml:space="preserve">$100–140B gross
$40–80B net
(incl. avoided disaster losses and revenue offsets)</w:t>
            </w:r>
          </w:p>
        </w:tc>
        <w:tc>
          <w:tcPr>
            <w:tcW w:type="dxa" w:w="160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val="false"/>
                <w:bCs w:val="false"/>
                <w:color w:val="FFFFFF"/>
                <w:sz w:val="18"/>
                <w:szCs w:val="18"/>
              </w:rPr>
              <w:t xml:space="preserve">2030: 36–45% below 2005 (misses NDC by 5–14pp)
2032: 45–61% below 2005 (lower bound NDC-adjacent; upper bound clear)
2035: 55–75% below 2005 (central: ~62–70%)
2040: 65–89% below 2005 (central: 74–82%)
Note: net zero by 2045–50 requires CDR at 0.5–1.0 GtCO2e/yr — not produced by this framework alone.</w:t>
            </w:r>
          </w:p>
        </w:tc>
        <w:tc>
          <w:tcPr>
            <w:tcW w:type="dxa" w:w="160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val="false"/>
                <w:bCs w:val="false"/>
                <w:color w:val="FFFFFF"/>
                <w:sz w:val="18"/>
                <w:szCs w:val="18"/>
              </w:rPr>
              <w:t xml:space="preserve">$60–120B cumulative avoided disaster losses
~1,000–3,000 lives/decade (politicized aid prevention)
Supply chain: $3–10B avoided healthcare crisis costs</w:t>
            </w:r>
          </w:p>
        </w:tc>
        <w:tc>
          <w:tcPr>
            <w:tcW w:type="dxa" w:w="2160"/>
            <w:tcBorders>
              <w:top w:val="single" w:color="D1D5DB" w:sz="1"/>
              <w:left w:val="single" w:color="D1D5DB" w:sz="1"/>
              <w:bottom w:val="single" w:color="D1D5DB" w:sz="1"/>
              <w:right w:val="single" w:color="D1D5DB" w:sz="1"/>
            </w:tcBorders>
            <w:shd w:fill="1B2A4A" w:val="clear"/>
            <w:tcMar>
              <w:top w:type="dxa" w:w="70"/>
              <w:left w:type="dxa" w:w="120"/>
              <w:bottom w:type="dxa" w:w="70"/>
              <w:right w:type="dxa" w:w="80"/>
            </w:tcMar>
            <w:vAlign w:val="center"/>
          </w:tcPr>
          <w:p>
            <w:pPr>
              <w:jc w:val="left"/>
            </w:pPr>
            <w:r>
              <w:rPr>
                <w:rFonts w:ascii="Arial" w:cs="Arial" w:eastAsia="Arial" w:hAnsi="Arial"/>
                <w:b w:val="false"/>
                <w:bCs w:val="false"/>
                <w:color w:val="FFFFFF"/>
                <w:sz w:val="18"/>
                <w:szCs w:val="18"/>
              </w:rPr>
              <w:t xml:space="preserve">Critical revision: 2030 NDC target cannot be met — the 2025–2028 rollback period cost 5–14 percentage points of 2030 progress (0.2–0.5 GtCO2e). The framework's honest promise is not 2030 NDC compliance. It is: (1) a 2032–2033 NDC-equivalent milestone; (2) a 2035 trajectory of 55–75% below 2005; (3) a 2040 central case of 74–82% below 2005 that positions the U.S. for net zero by 2045–2050 via CDR. The CDR gap — approximately 0.5–1.0 GtCO2e/yr of removal needed — is the framework's honest ceiling.</w:t>
            </w:r>
          </w:p>
        </w:tc>
      </w:tr>
    </w:tbl>
    <w:p>
      <w:pPr>
        <w:spacing w:after="0" w:before="0"/>
      </w:pPr>
      <w:r>
        <w:rPr>
          <w:sz w:val="8"/>
          <w:szCs w:val="8"/>
        </w:rPr>
        <w:t xml:space="preserve"/>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5: Timeline Sensitivity — What Slippage Costs</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The rollout model's most important quantitative insight is not the central projection but the cost of timeline slippage. The following table shows how emissions outcomes change under three scenarios: the base case as modeled, a six-month slip in CACBA enactment (to mid-2031 instead of mid-2030, pushing final rules to early 2032), and a twelve-month slip (final rules Q3 2032). The twelve-month slip scenario is particularly sensitive because rules finalized in Q3 2032 enter the Congressional Review Act vulnerability window for a Congress seated January 2033.</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1200"/>
        <w:gridCol w:w="1200"/>
        <w:gridCol w:w="2460"/>
      </w:tblGrid>
      <w:tr>
        <w:trPr>
          <w:tblHeader/>
        </w:trPr>
        <w:tc>
          <w:tcPr>
            <w:tcW w:type="dxa" w:w="21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Scenario</w:t>
            </w:r>
          </w:p>
        </w:tc>
        <w:tc>
          <w:tcPr>
            <w:tcW w:type="dxa" w:w="12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CACBA rules
final</w:t>
            </w:r>
          </w:p>
        </w:tc>
        <w:tc>
          <w:tcPr>
            <w:tcW w:type="dxa" w:w="12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CRA safe?</w:t>
            </w:r>
          </w:p>
        </w:tc>
        <w:tc>
          <w:tcPr>
            <w:tcW w:type="dxa" w:w="12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2032
emissions</w:t>
            </w:r>
          </w:p>
        </w:tc>
        <w:tc>
          <w:tcPr>
            <w:tcW w:type="dxa" w:w="120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2035
emissions</w:t>
            </w:r>
          </w:p>
        </w:tc>
        <w:tc>
          <w:tcPr>
            <w:tcW w:type="dxa" w:w="2460"/>
            <w:gridSpan w:val="1"/>
            <w:tcBorders>
              <w:top w:val="single" w:color="D1D5DB" w:sz="1"/>
              <w:left w:val="single" w:color="D1D5DB" w:sz="1"/>
              <w:bottom w:val="single" w:color="D1D5DB" w:sz="1"/>
              <w:right w:val="single" w:color="D1D5DB" w:sz="1"/>
            </w:tcBorders>
            <w:shd w:fill="1B2A4A"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Marginal cost of slippage</w:t>
            </w:r>
          </w:p>
        </w:tc>
      </w:tr>
      <w:tr>
        <w:tc>
          <w:tcPr>
            <w:tcW w:type="dxa" w:w="210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bCs/>
                <w:color w:val="166534"/>
                <w:sz w:val="18"/>
                <w:szCs w:val="18"/>
              </w:rPr>
              <w:t xml:space="preserve">Base case (CACBA enacted mid-2030, rules final Q3 2031)</w:t>
            </w:r>
          </w:p>
        </w:tc>
        <w:tc>
          <w:tcPr>
            <w:tcW w:type="dxa" w:w="12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bCs/>
                <w:color w:val="166534"/>
                <w:sz w:val="18"/>
                <w:szCs w:val="18"/>
              </w:rPr>
              <w:t xml:space="preserve">Q3 2031</w:t>
            </w:r>
          </w:p>
        </w:tc>
        <w:tc>
          <w:tcPr>
            <w:tcW w:type="dxa" w:w="12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left"/>
            </w:pPr>
            <w:r>
              <w:rPr>
                <w:rFonts w:ascii="Arial" w:cs="Arial" w:eastAsia="Arial" w:hAnsi="Arial"/>
                <w:b w:val="false"/>
                <w:bCs w:val="false"/>
                <w:color w:val="166534"/>
                <w:sz w:val="18"/>
                <w:szCs w:val="18"/>
              </w:rPr>
              <w:t xml:space="preserve">Yes — 18 months to spare</w:t>
            </w:r>
          </w:p>
        </w:tc>
        <w:tc>
          <w:tcPr>
            <w:tcW w:type="dxa" w:w="12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2.90–3.60 GtCO2e</w:t>
            </w:r>
          </w:p>
        </w:tc>
        <w:tc>
          <w:tcPr>
            <w:tcW w:type="dxa" w:w="1200"/>
            <w:tcBorders>
              <w:top w:val="single" w:color="D1D5DB" w:sz="1"/>
              <w:left w:val="single" w:color="D1D5DB" w:sz="1"/>
              <w:bottom w:val="single" w:color="D1D5DB" w:sz="1"/>
              <w:right w:val="single" w:color="D1D5DB" w:sz="1"/>
            </w:tcBorders>
            <w:shd w:fill="DCFCE7" w:val="clear"/>
            <w:tcMar>
              <w:top w:type="dxa" w:w="70"/>
              <w:left w:type="dxa" w:w="100"/>
              <w:bottom w:type="dxa" w:w="70"/>
              <w:right w:type="dxa" w:w="80"/>
            </w:tcMar>
            <w:vAlign w:val="center"/>
          </w:tcPr>
          <w:p>
            <w:pPr>
              <w:jc w:val="center"/>
            </w:pPr>
            <w:r>
              <w:rPr>
                <w:rFonts w:ascii="Arial" w:cs="Arial" w:eastAsia="Arial" w:hAnsi="Arial"/>
                <w:b w:val="false"/>
                <w:bCs w:val="false"/>
                <w:color w:val="374151"/>
                <w:sz w:val="18"/>
                <w:szCs w:val="18"/>
              </w:rPr>
              <w:t xml:space="preserve">1.85–3.05 GtCO2e</w:t>
            </w:r>
          </w:p>
        </w:tc>
        <w:tc>
          <w:tcPr>
            <w:tcW w:type="dxa" w:w="2460"/>
            <w:tcBorders>
              <w:top w:val="single" w:color="D1D5DB" w:sz="1"/>
              <w:left w:val="single" w:color="D1D5DB" w:sz="1"/>
              <w:bottom w:val="single" w:color="D1D5DB" w:sz="1"/>
              <w:right w:val="single" w:color="D1D5DB" w:sz="1"/>
            </w:tcBorders>
            <w:shd w:fill="DCFCE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Reference case.</w:t>
            </w:r>
          </w:p>
        </w:tc>
      </w:tr>
      <w:tr>
        <w:tc>
          <w:tcPr>
            <w:tcW w:type="dxa" w:w="210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bCs/>
                <w:color w:val="B45309"/>
                <w:sz w:val="18"/>
                <w:szCs w:val="18"/>
              </w:rPr>
              <w:t xml:space="preserve">6-month slip (CACBA enacted early 2031, rules final Q1 2032)</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bCs/>
                <w:color w:val="B45309"/>
                <w:sz w:val="18"/>
                <w:szCs w:val="18"/>
              </w:rPr>
              <w:t xml:space="preserve">Q1 2032</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left"/>
            </w:pPr>
            <w:r>
              <w:rPr>
                <w:rFonts w:ascii="Arial" w:cs="Arial" w:eastAsia="Arial" w:hAnsi="Arial"/>
                <w:b w:val="false"/>
                <w:bCs w:val="false"/>
                <w:color w:val="B45309"/>
                <w:sz w:val="18"/>
                <w:szCs w:val="18"/>
              </w:rPr>
              <w:t xml:space="preserve">Marginal — ~12 months to spare</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3.30–4.05 GtCO2e</w:t>
            </w:r>
          </w:p>
        </w:tc>
        <w:tc>
          <w:tcPr>
            <w:tcW w:type="dxa" w:w="1200"/>
            <w:tcBorders>
              <w:top w:val="single" w:color="D1D5DB" w:sz="1"/>
              <w:left w:val="single" w:color="D1D5DB" w:sz="1"/>
              <w:bottom w:val="single" w:color="D1D5DB" w:sz="1"/>
              <w:right w:val="single" w:color="D1D5DB" w:sz="1"/>
            </w:tcBorders>
            <w:shd w:fill="FEF3C7" w:val="clear"/>
            <w:tcMar>
              <w:top w:type="dxa" w:w="70"/>
              <w:left w:type="dxa" w:w="100"/>
              <w:bottom w:type="dxa" w:w="70"/>
              <w:right w:type="dxa" w:w="80"/>
            </w:tcMar>
            <w:vAlign w:val="center"/>
          </w:tcPr>
          <w:p>
            <w:pPr>
              <w:jc w:val="center"/>
            </w:pPr>
            <w:r>
              <w:rPr>
                <w:rFonts w:ascii="Arial" w:cs="Arial" w:eastAsia="Arial" w:hAnsi="Arial"/>
                <w:b w:val="false"/>
                <w:bCs w:val="false"/>
                <w:color w:val="B45309"/>
                <w:sz w:val="18"/>
                <w:szCs w:val="18"/>
              </w:rPr>
              <w:t xml:space="preserve">2.10–3.30 GtCO2e</w:t>
            </w:r>
          </w:p>
        </w:tc>
        <w:tc>
          <w:tcPr>
            <w:tcW w:type="dxa" w:w="2460"/>
            <w:tcBorders>
              <w:top w:val="single" w:color="D1D5DB" w:sz="1"/>
              <w:left w:val="single" w:color="D1D5DB" w:sz="1"/>
              <w:bottom w:val="single" w:color="D1D5DB" w:sz="1"/>
              <w:right w:val="single" w:color="D1D5DB" w:sz="1"/>
            </w:tcBorders>
            <w:shd w:fill="FEF3C7"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Additional ~0.4–0.6 GtCO2e/yr in 2032 (one year of unconstrained power sector and industrial emissions). Cumulative 2032–2040: approximately 1.5–2.5 GtCO2e additional atmospheric loading vs. base case. CRA window tight but likely survivable if rules are final by Q1 2032.</w:t>
            </w:r>
          </w:p>
        </w:tc>
      </w:tr>
      <w:tr>
        <w:tc>
          <w:tcPr>
            <w:tcW w:type="dxa" w:w="2100"/>
            <w:tcBorders>
              <w:top w:val="single" w:color="D1D5DB" w:sz="1"/>
              <w:left w:val="single" w:color="D1D5DB" w:sz="1"/>
              <w:bottom w:val="single" w:color="D1D5DB" w:sz="1"/>
              <w:right w:val="single" w:color="D1D5DB" w:sz="1"/>
            </w:tcBorders>
            <w:shd w:fill="FEE2E2" w:val="clear"/>
            <w:tcMar>
              <w:top w:type="dxa" w:w="70"/>
              <w:left w:type="dxa" w:w="120"/>
              <w:bottom w:type="dxa" w:w="70"/>
              <w:right w:type="dxa" w:w="80"/>
            </w:tcMar>
            <w:vAlign w:val="center"/>
          </w:tcPr>
          <w:p>
            <w:pPr>
              <w:jc w:val="left"/>
            </w:pPr>
            <w:r>
              <w:rPr>
                <w:rFonts w:ascii="Arial" w:cs="Arial" w:eastAsia="Arial" w:hAnsi="Arial"/>
                <w:b/>
                <w:bCs/>
                <w:color w:val="991B1B"/>
                <w:sz w:val="18"/>
                <w:szCs w:val="18"/>
              </w:rPr>
              <w:t xml:space="preserve">12-month slip (CACBA enacted late 2031, rules final Q3 2032)</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bCs/>
                <w:color w:val="991B1B"/>
                <w:sz w:val="18"/>
                <w:szCs w:val="18"/>
              </w:rPr>
              <w:t xml:space="preserve">Q3 2032</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left"/>
            </w:pPr>
            <w:r>
              <w:rPr>
                <w:rFonts w:ascii="Arial" w:cs="Arial" w:eastAsia="Arial" w:hAnsi="Arial"/>
                <w:b w:val="false"/>
                <w:bCs w:val="false"/>
                <w:color w:val="991B1B"/>
                <w:sz w:val="18"/>
                <w:szCs w:val="18"/>
              </w:rPr>
              <w:t xml:space="preserve">No — within CRA window</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3.85–4.60 GtCO2e</w:t>
            </w:r>
          </w:p>
        </w:tc>
        <w:tc>
          <w:tcPr>
            <w:tcW w:type="dxa" w:w="1200"/>
            <w:tcBorders>
              <w:top w:val="single" w:color="D1D5DB" w:sz="1"/>
              <w:left w:val="single" w:color="D1D5DB" w:sz="1"/>
              <w:bottom w:val="single" w:color="D1D5DB" w:sz="1"/>
              <w:right w:val="single" w:color="D1D5DB" w:sz="1"/>
            </w:tcBorders>
            <w:shd w:fill="FEE2E2" w:val="clear"/>
            <w:tcMar>
              <w:top w:type="dxa" w:w="70"/>
              <w:left w:type="dxa" w:w="100"/>
              <w:bottom w:type="dxa" w:w="70"/>
              <w:right w:type="dxa" w:w="80"/>
            </w:tcMar>
            <w:vAlign w:val="center"/>
          </w:tcPr>
          <w:p>
            <w:pPr>
              <w:jc w:val="center"/>
            </w:pPr>
            <w:r>
              <w:rPr>
                <w:rFonts w:ascii="Arial" w:cs="Arial" w:eastAsia="Arial" w:hAnsi="Arial"/>
                <w:b w:val="false"/>
                <w:bCs w:val="false"/>
                <w:color w:val="991B1B"/>
                <w:sz w:val="18"/>
                <w:szCs w:val="18"/>
              </w:rPr>
              <w:t xml:space="preserve">2.65–3.85 GtCO2e</w:t>
            </w:r>
          </w:p>
        </w:tc>
        <w:tc>
          <w:tcPr>
            <w:tcW w:type="dxa" w:w="2460"/>
            <w:tcBorders>
              <w:top w:val="single" w:color="D1D5DB" w:sz="1"/>
              <w:left w:val="single" w:color="D1D5DB" w:sz="1"/>
              <w:bottom w:val="single" w:color="D1D5DB" w:sz="1"/>
              <w:right w:val="single" w:color="D1D5DB" w:sz="1"/>
            </w:tcBorders>
            <w:shd w:fill="FEE2E2" w:val="clear"/>
            <w:tcMar>
              <w:top w:type="dxa" w:w="70"/>
              <w:left w:type="dxa" w:w="120"/>
              <w:bottom w:type="dxa" w:w="70"/>
              <w:right w:type="dxa" w:w="80"/>
            </w:tcMar>
            <w:vAlign w:val="center"/>
          </w:tcPr>
          <w:p>
            <w:pPr>
              <w:jc w:val="left"/>
            </w:pPr>
            <w:r>
              <w:rPr>
                <w:rFonts w:ascii="Arial" w:cs="Arial" w:eastAsia="Arial" w:hAnsi="Arial"/>
                <w:b w:val="false"/>
                <w:bCs w:val="false"/>
                <w:color w:val="374151"/>
                <w:sz w:val="18"/>
                <w:szCs w:val="18"/>
              </w:rPr>
              <w:t xml:space="preserve">CRITICAL: Rules final Q3 2032 are likely within the 60-legislative-day CRA window for a January 2033 Congress. If GOP trifecta: rules nullified; 'substantially similar' prohibition triggers; CACBA institutional structure survives but regulations must be re-enacted. 2035 trajectory degrades to roughly 47–58% below 2005 — a partial rather than transformative outcome. 2040 trajectory: approximately 2.80–3.50 GtCO2e, consistent with only ~53–62% below 2005.</w:t>
            </w:r>
          </w:p>
        </w:tc>
      </w:tr>
    </w:tbl>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2"/>
              <w:left w:val="single" w:color="B45309" w:sz="2"/>
              <w:bottom w:val="single" w:color="B45309" w:sz="2"/>
              <w:right w:val="single" w:color="B45309" w:sz="2"/>
            </w:tcBorders>
            <w:shd w:fill="FEF3C7" w:val="clear"/>
            <w:tcMar>
              <w:top w:type="dxa" w:w="120"/>
              <w:left w:type="dxa" w:w="200"/>
              <w:bottom w:type="dxa" w:w="120"/>
              <w:right w:type="dxa" w:w="200"/>
            </w:tcMar>
          </w:tcPr>
          <w:p>
            <w:pPr>
              <w:spacing w:after="80" w:before="0"/>
            </w:pPr>
            <w:r>
              <w:rPr>
                <w:rFonts w:ascii="Arial" w:cs="Arial" w:eastAsia="Arial" w:hAnsi="Arial"/>
                <w:b/>
                <w:bCs/>
                <w:color w:val="B45309"/>
                <w:sz w:val="21"/>
                <w:szCs w:val="21"/>
              </w:rPr>
              <w:t xml:space="preserve">The six-month slippage is the critical threshold — and the cost is larger in the revised model</w:t>
            </w:r>
          </w:p>
          <w:p>
            <w:pPr>
              <w:spacing w:after="0" w:before="0"/>
            </w:pPr>
            <w:r>
              <w:rPr>
                <w:rFonts w:ascii="Georgia" w:cs="Georgia" w:eastAsia="Georgia" w:hAnsi="Georgia"/>
                <w:color w:val="374151"/>
                <w:sz w:val="20"/>
                <w:szCs w:val="20"/>
              </w:rPr>
              <w:t xml:space="preserve">The base case (rules final Q3 2031) and the six-month slip (rules final Q1 2032) both avoid CRA vulnerability. The twelve-month slip (rules final Q3 2032) crosses into CRA danger. In the revised model, the cost of the twelve-month slip is steeper than the prior analysis showed: the 2040 trajectory deteriorates from a central case of 74–82% below 2005 to approximately 53–62% below 2005 — the difference between a net-zero trajectory and a trajectory that merely meets the 2030 NDC target ten years late. This is the sharpest quantitative statement the framework produces: the filibuster reform timing question is worth approximately 12–20 percentage points of 2040 emission reduction. Every month of delay in CACBA enactment is measurable in GtCO2e, not just in political abstraction.</w:t>
            </w:r>
          </w:p>
        </w:tc>
      </w:tr>
    </w:tbl>
    <w:p>
      <w:pPr>
        <w:spacing w:after="0" w:before="0"/>
      </w:pPr>
      <w:r>
        <w:rPr>
          <w:sz w:val="12"/>
          <w:szCs w:val="12"/>
        </w:rPr>
        <w:t xml:space="preserve"/>
      </w:r>
    </w:p>
    <w:p>
      <w:pPr>
        <w:spacing w:after="0" w:before="0"/>
      </w:pPr>
      <w:r>
        <w:rPr>
          <w:sz w:val="16"/>
          <w:szCs w:val="16"/>
        </w:rPr>
        <w:t xml:space="preserve"/>
      </w:r>
    </w:p>
    <w:p>
      <w:pPr>
        <w:spacing w:after="100" w:before="0"/>
      </w:pPr>
      <w:r>
        <w:rPr>
          <w:rFonts w:ascii="Arial" w:cs="Arial" w:eastAsia="Arial" w:hAnsi="Arial"/>
          <w:b/>
          <w:bCs/>
          <w:color w:val="1B2A4A"/>
          <w:sz w:val="26"/>
          <w:szCs w:val="26"/>
        </w:rPr>
        <w:t xml:space="preserve">Section 6: Essay Implications</w:t>
      </w:r>
    </w:p>
    <w:p>
      <w:pPr>
        <w:pBdr>
          <w:bottom w:val="single" w:color="2E5FA3" w:sz="5" w:space="1"/>
        </w:pBdr>
        <w:spacing w:after="0" w:before="0"/>
      </w:pPr>
      <w:r>
        <w:t xml:space="preserve"/>
      </w:r>
    </w:p>
    <w:p>
      <w:pPr>
        <w:spacing w:after="0" w:before="0"/>
      </w:pPr>
      <w:r>
        <w:rPr>
          <w:sz w:val="6"/>
          <w:szCs w:val="6"/>
        </w:rPr>
        <w:t xml:space="preserve"/>
      </w:r>
    </w:p>
    <w:p>
      <w:pPr>
        <w:spacing w:after="100" w:before="60"/>
        <w:ind/>
      </w:pPr>
      <w:r>
        <w:rPr>
          <w:rFonts w:ascii="Georgia" w:cs="Georgia" w:eastAsia="Georgia" w:hAnsi="Georgia"/>
          <w:b w:val="false"/>
          <w:bCs w:val="false"/>
          <w:i w:val="false"/>
          <w:iCs w:val="false"/>
          <w:color w:val="374151"/>
          <w:sz w:val="21"/>
          <w:szCs w:val="21"/>
        </w:rPr>
        <w:t xml:space="preserve">The revised rollout model — incorporating the weaker post-OBBBA IRA baseline and the longer-run sector analysis — produces five findings that directly shape how the essay should frame the framework's promise and honest limitations.</w:t>
      </w:r>
    </w:p>
    <w:p>
      <w:pPr>
        <w:spacing w:after="0" w:before="0"/>
      </w:pPr>
      <w:r>
        <w:rPr>
          <w:sz w:val="4"/>
          <w:szCs w:val="4"/>
        </w:rPr>
        <w:t xml:space="preserve"/>
      </w:r>
    </w:p>
    <w:p>
      <w:pPr>
        <w:spacing w:after="100" w:before="60"/>
        <w:ind/>
      </w:pPr>
      <w:r>
        <w:rPr>
          <w:rFonts w:ascii="Georgia" w:cs="Georgia" w:eastAsia="Georgia" w:hAnsi="Georgia"/>
          <w:b/>
          <w:bCs/>
          <w:i w:val="false"/>
          <w:iCs w:val="false"/>
          <w:color w:val="374151"/>
          <w:sz w:val="21"/>
          <w:szCs w:val="21"/>
        </w:rPr>
        <w:t xml:space="preserve">First: the 2025–2028 rollback period has a specific, quantifiable cost — approximately 0.5–1.0 GtCO2e/year in additional 2030 atmospheric loading compared to a counterfactual where OBBBA did not pass and the IRA remained intact. The EV credit elimination alone accounts for roughly 0.2–0.4 GtCO2e of this. This is the measurable climate cost of the democratic erosion the essay documents, and it is available as a precise claim rather than a general assertion. The prior analysis understated this cost; the revised figure is larger and more useful for the essay's argument.</w:t>
      </w:r>
    </w:p>
    <w:p>
      <w:pPr>
        <w:spacing w:after="0" w:before="0"/>
      </w:pPr>
      <w:r>
        <w:rPr>
          <w:sz w:val="4"/>
          <w:szCs w:val="4"/>
        </w:rPr>
        <w:t xml:space="preserve"/>
      </w:r>
    </w:p>
    <w:p>
      <w:pPr>
        <w:spacing w:after="100" w:before="60"/>
        <w:ind/>
      </w:pPr>
      <w:r>
        <w:rPr>
          <w:rFonts w:ascii="Georgia" w:cs="Georgia" w:eastAsia="Georgia" w:hAnsi="Georgia"/>
          <w:b/>
          <w:bCs/>
          <w:i w:val="false"/>
          <w:iCs w:val="false"/>
          <w:color w:val="374151"/>
          <w:sz w:val="21"/>
          <w:szCs w:val="21"/>
        </w:rPr>
        <w:t xml:space="preserve">Second: the 2030 NDC target is not a useful benchmark for evaluating the framework's success — it cannot be met under any scenario, and the revised weaker baseline means the shortfall is now 5–14 percentage points rather than 3–7. The appropriate benchmarks are the 2032–2033 NDC-equivalent milestone (achieved under the base case in favorable scenarios, borderline in adverse ones), the 2035 trajectory of 55–75% below 2005, and the 2040 central case of 74–82% below 2005.</w:t>
      </w:r>
    </w:p>
    <w:p>
      <w:pPr>
        <w:spacing w:after="0" w:before="0"/>
      </w:pPr>
      <w:r>
        <w:rPr>
          <w:sz w:val="4"/>
          <w:szCs w:val="4"/>
        </w:rPr>
        <w:t xml:space="preserve"/>
      </w:r>
    </w:p>
    <w:p>
      <w:pPr>
        <w:spacing w:after="100" w:before="60"/>
        <w:ind/>
      </w:pPr>
      <w:r>
        <w:rPr>
          <w:rFonts w:ascii="Georgia" w:cs="Georgia" w:eastAsia="Georgia" w:hAnsi="Georgia"/>
          <w:b/>
          <w:bCs/>
          <w:i w:val="false"/>
          <w:iCs w:val="false"/>
          <w:color w:val="374151"/>
          <w:sz w:val="21"/>
          <w:szCs w:val="21"/>
        </w:rPr>
        <w:t xml:space="preserve">Third: the compliance market opening Q4 2031 is the most underappreciated mechanism in the framework. Before any statutory deadlines arrive, the price signal reshapes investment decisions — utilities defer new gas plant commitments, industrial firms accelerate efficiency investments, clean energy developers accelerate project pipelines. Early compliance creates sunk costs that build political constituencies against rollback. The market infrastructure itself — exchanges, brokers, offset verifiers — creates a private-sector ecosystem with economic stakes in the framework's continuity that did not exist under the Clean Power Plan.</w:t>
      </w:r>
    </w:p>
    <w:p>
      <w:pPr>
        <w:spacing w:after="0" w:before="0"/>
      </w:pPr>
      <w:r>
        <w:rPr>
          <w:sz w:val="4"/>
          <w:szCs w:val="4"/>
        </w:rPr>
        <w:t xml:space="preserve"/>
      </w:r>
    </w:p>
    <w:p>
      <w:pPr>
        <w:spacing w:after="100" w:before="60"/>
        <w:ind/>
      </w:pPr>
      <w:r>
        <w:rPr>
          <w:rFonts w:ascii="Georgia" w:cs="Georgia" w:eastAsia="Georgia" w:hAnsi="Georgia"/>
          <w:b/>
          <w:bCs/>
          <w:i w:val="false"/>
          <w:iCs w:val="false"/>
          <w:color w:val="374151"/>
          <w:sz w:val="21"/>
          <w:szCs w:val="21"/>
        </w:rPr>
        <w:t xml:space="preserve">Fourth: the filibuster reform timing question is worth approximately 12–20 percentage points of 2040 emission reduction. The difference between filibuster reform in Q1 2029 (base case, CRA-safe rules) and Q1 2031 (twelve-month slip, CRA-vulnerable rules) is the difference between a 2040 trajectory of 74–82% below 2005 and a trajectory of 53–62% below 2005 if CRA nullification occurs. The essay can make this argument in precisely those terms, which is the kind of quantitative specificity that earns credibility with the DC policy wonk audience.</w:t>
      </w:r>
    </w:p>
    <w:p>
      <w:pPr>
        <w:spacing w:after="0" w:before="0"/>
      </w:pPr>
      <w:r>
        <w:rPr>
          <w:sz w:val="4"/>
          <w:szCs w:val="4"/>
        </w:rPr>
        <w:t xml:space="preserve"/>
      </w:r>
    </w:p>
    <w:p>
      <w:pPr>
        <w:spacing w:after="100" w:before="60"/>
        <w:ind/>
      </w:pPr>
      <w:r>
        <w:rPr>
          <w:rFonts w:ascii="Georgia" w:cs="Georgia" w:eastAsia="Georgia" w:hAnsi="Georgia"/>
          <w:b/>
          <w:bCs/>
          <w:i w:val="false"/>
          <w:iCs w:val="false"/>
          <w:color w:val="374151"/>
          <w:sz w:val="21"/>
          <w:szCs w:val="21"/>
        </w:rPr>
        <w:t xml:space="preserve">Fifth — and this is the finding the original framework omitted: the hard-to-abate residual of 0.60–0.90 GtCO2e/year means net zero by 2045–2050 requires carbon dioxide removal scaling to 0.5–1.0 GtCO2e/year, a deployment challenge two to three orders of magnitude beyond current CDR capacity. The framework does not include a CDR pathway. The honest statement is that the framework achieves a 2040 trajectory from which net zero by 2045–2050 is physically possible — but it does not itself produce net zero. A CDR companion agenda is required, and its absence from this framework is a genuine gap the essay should name rather than elide.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4151" w:sz="2"/>
              <w:left w:val="single" w:color="374151" w:sz="2"/>
              <w:bottom w:val="single" w:color="374151" w:sz="2"/>
              <w:right w:val="single" w:color="374151" w:sz="2"/>
            </w:tcBorders>
            <w:shd w:fill="F3F4F6" w:val="clear"/>
            <w:tcMar>
              <w:top w:type="dxa" w:w="120"/>
              <w:left w:type="dxa" w:w="200"/>
              <w:bottom w:type="dxa" w:w="120"/>
              <w:right w:type="dxa" w:w="200"/>
            </w:tcMar>
          </w:tcPr>
          <w:p>
            <w:pPr>
              <w:spacing w:after="80" w:before="0"/>
            </w:pPr>
            <w:r>
              <w:rPr>
                <w:rFonts w:ascii="Arial" w:cs="Arial" w:eastAsia="Arial" w:hAnsi="Arial"/>
                <w:b/>
                <w:bCs/>
                <w:color w:val="374151"/>
                <w:sz w:val="21"/>
                <w:szCs w:val="21"/>
              </w:rPr>
              <w:t xml:space="preserve">The CDR gap: what this framework does not do</w:t>
            </w:r>
          </w:p>
          <w:p>
            <w:pPr>
              <w:spacing w:after="0" w:before="0"/>
            </w:pPr>
            <w:r>
              <w:rPr>
                <w:rFonts w:ascii="Georgia" w:cs="Georgia" w:eastAsia="Georgia" w:hAnsi="Georgia"/>
                <w:color w:val="374151"/>
                <w:sz w:val="20"/>
                <w:szCs w:val="20"/>
              </w:rPr>
              <w:t xml:space="preserve">Sector-by-sector analysis identifies a hard-to-abate residual of approximately 0.60–0.90 GtCO2e/year by 2040 that cannot be eliminated through emissions reduction under any realistic technology and policy scenario on this timeline. This floor consists of: enteric fermentation methane from livestock (~0.12–0.17 GtCO2e); industrial process emissions from cement calcination and unavoidable chemical reactions (~0.10–0.15 GtCO2e); aviation and long-haul shipping (~0.15–0.20 GtCO2e); residual natural gas backup and process heat (~0.10–0.15 GtCO2e); fugitive and landfill emissions (~0.08–0.13 GtCO2e). Closing this gap to reach net zero by 2045–2050 requires direct air capture, bioenergy with CCS, enhanced weathering, or afforestation scaling to 0.5–1.0 GtCO2e/year — an expansion of 2–3 orders of magnitude from current deployment. Current DAC costs of $300–500/tonne need to fall to $100–150/tonne at scale. None of this is delivered by the CACBA framework; a separate CDR policy agenda is the required companion. What the framework provides is the emissions trajectory from which that CDR agenda can realistically close the remaining gap.</w:t>
            </w:r>
          </w:p>
        </w:tc>
      </w:tr>
    </w:tbl>
    <w:p>
      <w:pPr>
        <w:spacing w:after="0" w:before="0"/>
      </w:pPr>
      <w:r>
        <w:rPr>
          <w:sz w:val="12"/>
          <w:szCs w:val="12"/>
        </w:rPr>
        <w:t xml:space="preserve"/>
      </w:r>
    </w:p>
    <w:p>
      <w:pPr>
        <w:pBdr>
          <w:bottom w:val="single" w:color="D1D5DB" w:sz="2" w:space="1"/>
        </w:pBdr>
        <w:spacing w:after="0" w:before="0"/>
      </w:pPr>
      <w:r>
        <w:t xml:space="preserve"/>
      </w:r>
    </w:p>
    <w:p>
      <w:pPr>
        <w:spacing w:after="0" w:before="0"/>
      </w:pPr>
      <w:r>
        <w:rPr>
          <w:sz w:val="8"/>
          <w:szCs w:val="8"/>
        </w:rPr>
        <w:t xml:space="preserve"/>
      </w:r>
    </w:p>
    <w:p>
      <w:pPr>
        <w:spacing w:after="100" w:before="60"/>
        <w:ind/>
      </w:pPr>
      <w:r>
        <w:rPr>
          <w:rFonts w:ascii="Georgia" w:cs="Georgia" w:eastAsia="Georgia" w:hAnsi="Georgia"/>
          <w:b w:val="false"/>
          <w:bCs w:val="false"/>
          <w:i/>
          <w:iCs/>
          <w:color w:val="374151"/>
          <w:sz w:val="21"/>
          <w:szCs w:val="21"/>
        </w:rPr>
        <w:t xml:space="preserve">All projections in this document are rough-order-of-magnitude estimates drawing on published third-party analyses (RFF-REPEAT, Rhodium Group, Princeton NZA, EPA RIAs), not the output of a calibrated energy-economy model. They are directionally correct and internally consistent, not precise forecasts. The primary purpose is establishing the relative importance of policy choices and the timing dependencies that determine whether the framework achieves its goals. Revised April 2026 to incorporate weaker post-OBBBA IRA baseline and long-run sector ceiling analysis.</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spacing w:after="0" w:before="80"/>
    </w:pPr>
    <w:r>
      <w:rPr>
        <w:rFonts w:ascii="Arial" w:cs="Arial" w:eastAsia="Arial" w:hAnsi="Arial"/>
        <w:i/>
        <w:iCs/>
        <w:color w:val="9CA3AF"/>
        <w:sz w:val="17"/>
        <w:szCs w:val="17"/>
      </w:rPr>
      <w:t xml:space="preserve">Working document — not for circulation  |  All projections rough-order-of-magnitude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before="0"/>
    </w:pPr>
    <w:r>
      <w:rPr>
        <w:rFonts w:ascii="Arial" w:cs="Arial" w:eastAsia="Arial" w:hAnsi="Arial"/>
        <w:b/>
        <w:bCs/>
        <w:caps/>
        <w:color w:val="2E5FA3"/>
        <w:sz w:val="17"/>
        <w:szCs w:val="17"/>
      </w:rPr>
      <w:t xml:space="preserve">THE DOUBLE UNRAVELING</w:t>
    </w:r>
    <w:r>
      <w:rPr>
        <w:rFonts w:ascii="Arial" w:cs="Arial" w:eastAsia="Arial" w:hAnsi="Arial"/>
        <w:color w:val="9CA3AF"/>
        <w:sz w:val="17"/>
        <w:szCs w:val="17"/>
      </w:rPr>
      <w:t xml:space="preserve">   |   Regulatory Rollout Model &amp; Revised Outcomes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2026-04-05T08:13:21.846Z</dcterms:created>
  <dcterms:modified xsi:type="dcterms:W3CDTF">2026-04-05T08:13:21.847Z</dcterms:modified>
</cp:coreProperties>
</file>

<file path=docProps/custom.xml><?xml version="1.0" encoding="utf-8"?>
<Properties xmlns="http://schemas.openxmlformats.org/officeDocument/2006/custom-properties" xmlns:vt="http://schemas.openxmlformats.org/officeDocument/2006/docPropsVTypes"/>
</file>