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0"/>
          <w:szCs w:val="40"/>
        </w:rPr>
        <w:t xml:space="preserve">PROJECT 2029</w:t>
      </w:r>
    </w:p>
    <w:p>
      <w:pPr>
        <w:spacing w:after="60" w:before="0"/>
        <w:jc w:val="center"/>
      </w:pPr>
      <w:r>
        <w:rPr>
          <w:rFonts w:ascii="Arial" w:cs="Arial" w:eastAsia="Arial" w:hAnsi="Arial"/>
          <w:b/>
          <w:bCs/>
          <w:color w:val="2F5496"/>
          <w:sz w:val="28"/>
          <w:szCs w:val="28"/>
        </w:rPr>
        <w:t xml:space="preserve">Congressional Actions with Budgetary Impact</w:t>
      </w:r>
    </w:p>
    <w:p>
      <w:pPr>
        <w:spacing w:after="60" w:before="0"/>
        <w:jc w:val="center"/>
      </w:pPr>
      <w:r>
        <w:rPr>
          <w:rFonts w:ascii="Arial" w:cs="Arial" w:eastAsia="Arial" w:hAnsi="Arial"/>
          <w:i/>
          <w:iCs/>
          <w:color w:val="555555"/>
          <w:sz w:val="22"/>
          <w:szCs w:val="22"/>
        </w:rPr>
        <w:t xml:space="preserve">Prepared for CBO Score Simulator</w:t>
      </w:r>
    </w:p>
    <w:p>
      <w:pPr>
        <w:spacing w:after="240" w:before="0"/>
        <w:jc w:val="center"/>
      </w:pPr>
      <w:r>
        <w:rPr>
          <w:rFonts w:ascii="Arial" w:cs="Arial" w:eastAsia="Arial" w:hAnsi="Arial"/>
          <w:color w:val="666666"/>
          <w:sz w:val="20"/>
          <w:szCs w:val="20"/>
        </w:rPr>
        <w:t xml:space="preserve">Baseline year: FY2029  |  Score window: FY2029–FY2038</w:t>
      </w:r>
    </w:p>
    <w:p>
      <w:pPr>
        <w:pBdr>
          <w:bottom w:val="single" w:color="AAAAAA" w:sz="4"/>
        </w:pBdr>
        <w:spacing w:after="120" w:before="120"/>
      </w:pPr>
    </w:p>
    <w:p>
      <w:pPr>
        <w:spacing w:after="60" w:before="180"/>
      </w:pPr>
      <w:r>
        <w:rPr>
          <w:rFonts w:ascii="Arial" w:cs="Arial" w:eastAsia="Arial" w:hAnsi="Arial"/>
          <w:b/>
          <w:bCs/>
          <w:color w:val="AA0000"/>
          <w:sz w:val="22"/>
          <w:szCs w:val="22"/>
        </w:rPr>
        <w:t xml:space="preserve">Auditor's Notes on Key Corrections</w:t>
      </w:r>
    </w:p>
    <w:p>
      <w:pPr>
        <w:spacing w:after="60" w:before="60"/>
      </w:pPr>
      <w:r>
        <w:rPr>
          <w:rFonts w:ascii="Arial" w:cs="Arial" w:eastAsia="Arial" w:hAnsi="Arial"/>
          <w:sz w:val="20"/>
          <w:szCs w:val="20"/>
        </w:rPr>
        <w:t xml:space="preserve">The following corrections were made during audit of the source framework text, based on official enacted appropriations figures:</w:t>
      </w:r>
    </w:p>
    <w:p>
      <w:pPr>
        <w:pStyle w:val="ListParagraph"/>
        <w:numPr>
          <w:ilvl w:val="0"/>
          <w:numId w:val="2"/>
        </w:numPr>
        <w:spacing w:after="40" w:before="40"/>
      </w:pPr>
      <w:r>
        <w:rPr>
          <w:rFonts w:ascii="Arial" w:cs="Arial" w:eastAsia="Arial" w:hAnsi="Arial"/>
          <w:sz w:val="20"/>
          <w:szCs w:val="20"/>
        </w:rPr>
        <w:t xml:space="preserve">Title X family planning: corrected from $3B/year to $400–500M/year. The historical enacted level for Title X has never exceeded $340M/year; $3B was an error likely reflecting confusion with total Medicaid family planning spending. An ambitious expansion target is $400–500M/year.</w:t>
      </w:r>
    </w:p>
    <w:p>
      <w:pPr>
        <w:pStyle w:val="ListParagraph"/>
        <w:numPr>
          <w:ilvl w:val="0"/>
          <w:numId w:val="2"/>
        </w:numPr>
        <w:spacing w:after="40" w:before="40"/>
      </w:pPr>
      <w:r>
        <w:rPr>
          <w:rFonts w:ascii="Arial" w:cs="Arial" w:eastAsia="Arial" w:hAnsi="Arial"/>
          <w:sz w:val="20"/>
          <w:szCs w:val="20"/>
        </w:rPr>
        <w:t xml:space="preserve">CDC: FY2024 enacted appropriation was approximately $9.2B (combined CDC/ATSDR). Source: Trump FY2026 budget proposal, which proposed a 53% cut from FY2024; TFAH analysis. The framework's reference to '~$9B/year' is directionally accurate.</w:t>
      </w:r>
    </w:p>
    <w:p>
      <w:pPr>
        <w:pStyle w:val="ListParagraph"/>
        <w:numPr>
          <w:ilvl w:val="0"/>
          <w:numId w:val="2"/>
        </w:numPr>
        <w:spacing w:after="40" w:before="40"/>
      </w:pPr>
      <w:r>
        <w:rPr>
          <w:rFonts w:ascii="Arial" w:cs="Arial" w:eastAsia="Arial" w:hAnsi="Arial"/>
          <w:sz w:val="20"/>
          <w:szCs w:val="20"/>
        </w:rPr>
        <w:t xml:space="preserve">NIH: FY2025 enacted program funding level was $46.995B (FY2024: $47.352B). Source: CRS R43341. The Trump FY2026 request proposes cutting NIH to $27.9B, a 40.6% reduction. The framework's restoration target of $47B is correct.</w:t>
      </w:r>
    </w:p>
    <w:p>
      <w:pPr>
        <w:pStyle w:val="ListParagraph"/>
        <w:numPr>
          <w:ilvl w:val="0"/>
          <w:numId w:val="2"/>
        </w:numPr>
        <w:spacing w:after="40" w:before="40"/>
      </w:pPr>
      <w:r>
        <w:rPr>
          <w:rFonts w:ascii="Arial" w:cs="Arial" w:eastAsia="Arial" w:hAnsi="Arial"/>
          <w:sz w:val="20"/>
          <w:szCs w:val="20"/>
        </w:rPr>
        <w:t xml:space="preserve">HRSA: FY2024 enacted discretionary appropriation was $8.89B. Source: ASTHO FY2024 LHHS summary. Total budget authority including mandatory programs was approximately $16.2B.</w:t>
      </w:r>
    </w:p>
    <w:p>
      <w:pPr>
        <w:pStyle w:val="ListParagraph"/>
        <w:numPr>
          <w:ilvl w:val="0"/>
          <w:numId w:val="2"/>
        </w:numPr>
        <w:spacing w:after="40" w:before="40"/>
      </w:pPr>
      <w:r>
        <w:rPr>
          <w:rFonts w:ascii="Arial" w:cs="Arial" w:eastAsia="Arial" w:hAnsi="Arial"/>
          <w:sz w:val="20"/>
          <w:szCs w:val="20"/>
        </w:rPr>
        <w:t xml:space="preserve">PEPFAR: FY2024 appropriation was $7.1B total (including $5.4B bilateral HIV, $1.65B Global Fund, $50M UNAIDS). Source: KFF. The framework's figure of '$5B/year' understated this by $2.1B; corrected below.</w:t>
      </w:r>
    </w:p>
    <w:p>
      <w:pPr>
        <w:pStyle w:val="ListParagraph"/>
        <w:numPr>
          <w:ilvl w:val="0"/>
          <w:numId w:val="2"/>
        </w:numPr>
        <w:spacing w:after="40" w:before="40"/>
      </w:pPr>
      <w:r>
        <w:rPr>
          <w:rFonts w:ascii="Arial" w:cs="Arial" w:eastAsia="Arial" w:hAnsi="Arial"/>
          <w:sz w:val="20"/>
          <w:szCs w:val="20"/>
        </w:rPr>
        <w:t xml:space="preserve">Head Start: FY2024 enacted was $12.27B. Source: National Head Start Association. The framework referenced 'approximately $1–2 billion in cuts' without specifying the baseline; baseline is now stated.</w:t>
      </w:r>
    </w:p>
    <w:p>
      <w:pPr>
        <w:pStyle w:val="ListParagraph"/>
        <w:numPr>
          <w:ilvl w:val="0"/>
          <w:numId w:val="2"/>
        </w:numPr>
        <w:spacing w:after="40" w:before="40"/>
      </w:pPr>
      <w:r>
        <w:rPr>
          <w:rFonts w:ascii="Arial" w:cs="Arial" w:eastAsia="Arial" w:hAnsi="Arial"/>
          <w:sz w:val="20"/>
          <w:szCs w:val="20"/>
        </w:rPr>
        <w:t xml:space="preserve">International Affairs / USAID: FY2024 enacted State-Foreign Operations base appropriation was $60B total; with supplemental appropriations (primarily Ukraine) the total reached approximately $68B. The framework's reference to '$68B in 2024' reflects the supplemental-inclusive total. The proposal to restore to $65–70B is effectively a restoration to approximately the FY2024 supplemental-inclusive level and a modest expansion above the base.</w:t>
      </w:r>
    </w:p>
    <w:p>
      <w:pPr>
        <w:pStyle w:val="ListParagraph"/>
        <w:numPr>
          <w:ilvl w:val="0"/>
          <w:numId w:val="2"/>
        </w:numPr>
        <w:spacing w:after="40" w:before="40"/>
      </w:pPr>
      <w:r>
        <w:rPr>
          <w:rFonts w:ascii="Arial" w:cs="Arial" w:eastAsia="Arial" w:hAnsi="Arial"/>
          <w:sz w:val="20"/>
          <w:szCs w:val="20"/>
        </w:rPr>
        <w:t xml:space="preserve">WHO contributions: The framework stated '~$500M/year.' U.S. total WHO contributions in FY2024 (assessed + voluntary) were approximately $1.3B. The $500M figure appears to reflect assessed contributions only; this is flagged as an underestimate for scoring purposes.</w:t>
      </w:r>
    </w:p>
    <w:p>
      <w:pPr>
        <w:pStyle w:val="ListParagraph"/>
        <w:numPr>
          <w:ilvl w:val="0"/>
          <w:numId w:val="2"/>
        </w:numPr>
        <w:spacing w:after="40" w:before="40"/>
      </w:pPr>
      <w:r>
        <w:rPr>
          <w:rFonts w:ascii="Arial" w:cs="Arial" w:eastAsia="Arial" w:hAnsi="Arial"/>
          <w:sz w:val="20"/>
          <w:szCs w:val="20"/>
        </w:rPr>
        <w:t xml:space="preserve">IRS restoration: The Inflation Reduction Act of 2022 appropriated $80B over 10 years for IRS modernization and enforcement. Much of this was rescinded by the OBBBA. The proposal restores this funding at approximately $8B/year.</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1: TAXATION AND REVENUE</w:t>
      </w:r>
    </w:p>
    <w:p>
      <w:pPr>
        <w:spacing w:after="60" w:before="60"/>
      </w:pPr>
      <w:r>
        <w:rPr>
          <w:rFonts w:ascii="Arial" w:cs="Arial" w:eastAsia="Arial" w:hAnsi="Arial"/>
          <w:sz w:val="20"/>
          <w:szCs w:val="20"/>
        </w:rPr>
        <w:t xml:space="preserve">All items in this section affect federal revenues. Unless noted, all changes are permanent law changes effective in the first fiscal year of enactment.</w:t>
      </w:r>
    </w:p>
    <w:p>
      <w:pPr>
        <w:spacing w:after="60" w:before="60"/>
      </w:pPr>
    </w:p>
    <w:p>
      <w:pPr>
        <w:pStyle w:val="Heading2"/>
        <w:spacing w:after="80" w:before="240"/>
      </w:pPr>
      <w:r>
        <w:rPr>
          <w:rFonts w:ascii="Arial" w:cs="Arial" w:eastAsia="Arial" w:hAnsi="Arial"/>
          <w:b/>
          <w:bCs/>
          <w:sz w:val="24"/>
          <w:szCs w:val="24"/>
        </w:rPr>
        <w:t xml:space="preserve">1.1 Individual Income Tax — High-Income Reversal</w:t>
      </w:r>
    </w:p>
    <w:p>
      <w:pPr>
        <w:pStyle w:val="ListParagraph"/>
        <w:numPr>
          <w:ilvl w:val="0"/>
          <w:numId w:val="2"/>
        </w:numPr>
        <w:spacing w:after="40" w:before="40"/>
      </w:pPr>
      <w:r>
        <w:rPr>
          <w:rFonts w:ascii="Arial" w:cs="Arial" w:eastAsia="Arial" w:hAnsi="Arial"/>
          <w:sz w:val="20"/>
          <w:szCs w:val="20"/>
        </w:rPr>
        <w:t xml:space="preserve">Restore top individual income tax rate from 37% to 39.6% for taxable income above $400,000 (single filers) / $450,000 (married filing jointly), reversing the Tax Cuts and Jobs Act of 2017 (TCJA) and One Big Beautiful Bill Act of 2025 (OBBBA) rate reductions for this bracket. All TCJA/OBBBA rate reductions below the $400K/$450K threshold are preserved.</w:t>
      </w:r>
    </w:p>
    <w:p>
      <w:pPr>
        <w:pStyle w:val="ListParagraph"/>
        <w:numPr>
          <w:ilvl w:val="0"/>
          <w:numId w:val="2"/>
        </w:numPr>
        <w:spacing w:after="40" w:before="40"/>
      </w:pPr>
      <w:r>
        <w:rPr>
          <w:rFonts w:ascii="Arial" w:cs="Arial" w:eastAsia="Arial" w:hAnsi="Arial"/>
          <w:sz w:val="20"/>
          <w:szCs w:val="20"/>
        </w:rPr>
        <w:t xml:space="preserve">Phase out the 20% pass-through deduction (Section 199A) for income above $400,000, consistent with the $400K threshold above.</w:t>
      </w:r>
    </w:p>
    <w:p>
      <w:pPr>
        <w:pStyle w:val="ListParagraph"/>
        <w:numPr>
          <w:ilvl w:val="0"/>
          <w:numId w:val="2"/>
        </w:numPr>
        <w:spacing w:after="40" w:before="40"/>
      </w:pPr>
      <w:r>
        <w:rPr>
          <w:rFonts w:ascii="Arial" w:cs="Arial" w:eastAsia="Arial" w:hAnsi="Arial"/>
          <w:sz w:val="20"/>
          <w:szCs w:val="20"/>
        </w:rPr>
        <w:t xml:space="preserve">Restore the pre-TCJA limitation on itemized deductions (Pease limitation) for households with income above $400,000.</w:t>
      </w:r>
    </w:p>
    <w:p>
      <w:pPr>
        <w:pStyle w:val="Heading2"/>
        <w:spacing w:after="80" w:before="240"/>
      </w:pPr>
      <w:r>
        <w:rPr>
          <w:rFonts w:ascii="Arial" w:cs="Arial" w:eastAsia="Arial" w:hAnsi="Arial"/>
          <w:b/>
          <w:bCs/>
          <w:sz w:val="24"/>
          <w:szCs w:val="24"/>
        </w:rPr>
        <w:t xml:space="preserve">1.2 Corporate Tax</w:t>
      </w:r>
    </w:p>
    <w:p>
      <w:pPr>
        <w:pStyle w:val="ListParagraph"/>
        <w:numPr>
          <w:ilvl w:val="0"/>
          <w:numId w:val="2"/>
        </w:numPr>
        <w:spacing w:after="40" w:before="40"/>
      </w:pPr>
      <w:r>
        <w:rPr>
          <w:rFonts w:ascii="Arial" w:cs="Arial" w:eastAsia="Arial" w:hAnsi="Arial"/>
          <w:sz w:val="20"/>
          <w:szCs w:val="20"/>
        </w:rPr>
        <w:t xml:space="preserve">Raise the corporate income tax rate from 21% (TCJA) to 28%. The TCJA reduced the rate from 35% to 21%; this proposal partially reverses that cut.</w:t>
      </w:r>
    </w:p>
    <w:p>
      <w:pPr>
        <w:pStyle w:val="ListParagraph"/>
        <w:numPr>
          <w:ilvl w:val="0"/>
          <w:numId w:val="2"/>
        </w:numPr>
        <w:spacing w:after="40" w:before="40"/>
      </w:pPr>
      <w:r>
        <w:rPr>
          <w:rFonts w:ascii="Arial" w:cs="Arial" w:eastAsia="Arial" w:hAnsi="Arial"/>
          <w:sz w:val="20"/>
          <w:szCs w:val="20"/>
        </w:rPr>
        <w:t xml:space="preserve">Restore and strengthen the 15% Corporate Alternative Minimum Tax (CAMT) on book income for corporations with average adjusted financial statement income above $1 billion, reversing OBBBA weakening provisions. Eliminate the OBBBA's exemptions from CAMT that were not in the original Inflation Reduction Act of 2022 version.</w:t>
      </w:r>
    </w:p>
    <w:p>
      <w:pPr>
        <w:pStyle w:val="ListParagraph"/>
        <w:numPr>
          <w:ilvl w:val="0"/>
          <w:numId w:val="2"/>
        </w:numPr>
        <w:spacing w:after="40" w:before="40"/>
      </w:pPr>
      <w:r>
        <w:rPr>
          <w:rFonts w:ascii="Arial" w:cs="Arial" w:eastAsia="Arial" w:hAnsi="Arial"/>
          <w:sz w:val="20"/>
          <w:szCs w:val="20"/>
        </w:rPr>
        <w:t xml:space="preserve">Reform Global Intangible Low-Taxed Income (GILTI): raise the effective GILTI rate from approximately 10.5% to 21%; eliminate the per-country exception that allows averaging across high- and low-tax jurisdictions; tighten deemed tangible income return (DTIR) to reduce the carve-out.</w:t>
      </w:r>
    </w:p>
    <w:p>
      <w:pPr>
        <w:pStyle w:val="ListParagraph"/>
        <w:numPr>
          <w:ilvl w:val="0"/>
          <w:numId w:val="2"/>
        </w:numPr>
        <w:spacing w:after="40" w:before="40"/>
      </w:pPr>
      <w:r>
        <w:rPr>
          <w:rFonts w:ascii="Arial" w:cs="Arial" w:eastAsia="Arial" w:hAnsi="Arial"/>
          <w:sz w:val="20"/>
          <w:szCs w:val="20"/>
        </w:rPr>
        <w:t xml:space="preserve">Strengthen the Base Erosion and Anti-Abuse Tax (BEAT): raise the BEAT rate from 10% to 15%; broaden the definition of base erosion payments; reduce the de minimis threshold.</w:t>
      </w:r>
    </w:p>
    <w:p>
      <w:pPr>
        <w:pStyle w:val="ListParagraph"/>
        <w:numPr>
          <w:ilvl w:val="0"/>
          <w:numId w:val="2"/>
        </w:numPr>
        <w:spacing w:after="40" w:before="40"/>
      </w:pPr>
      <w:r>
        <w:rPr>
          <w:rFonts w:ascii="Arial" w:cs="Arial" w:eastAsia="Arial" w:hAnsi="Arial"/>
          <w:sz w:val="20"/>
          <w:szCs w:val="20"/>
        </w:rPr>
        <w:t xml:space="preserve">Eliminate the 'stepped-up basis' at death for unrealized capital gains above $5 million per decedent. Gains above that threshold are taxed as if realized at the time of death. Carryover basis (not step-up) applies to amounts above the threshold.</w:t>
      </w:r>
    </w:p>
    <w:p>
      <w:pPr>
        <w:pStyle w:val="Heading2"/>
        <w:spacing w:after="80" w:before="240"/>
      </w:pPr>
      <w:r>
        <w:rPr>
          <w:rFonts w:ascii="Arial" w:cs="Arial" w:eastAsia="Arial" w:hAnsi="Arial"/>
          <w:b/>
          <w:bCs/>
          <w:sz w:val="24"/>
          <w:szCs w:val="24"/>
        </w:rPr>
        <w:t xml:space="preserve">1.3 Wealth Tax</w:t>
      </w:r>
    </w:p>
    <w:p>
      <w:pPr>
        <w:pStyle w:val="ListParagraph"/>
        <w:numPr>
          <w:ilvl w:val="0"/>
          <w:numId w:val="2"/>
        </w:numPr>
        <w:spacing w:after="40" w:before="40"/>
      </w:pPr>
      <w:r>
        <w:rPr>
          <w:rFonts w:ascii="Arial" w:cs="Arial" w:eastAsia="Arial" w:hAnsi="Arial"/>
          <w:sz w:val="20"/>
          <w:szCs w:val="20"/>
        </w:rPr>
        <w:t xml:space="preserve">Enact an annual net worth tax: 2% on net worth above $50 million; 4% on net worth above $1 billion. Applied to worldwide assets. Enforcement: 30% minimum audit rate for all subject households; mandatory third-party reporting of all assets (equities, real estate, private equity, art, offshore holdings); 40% exit tax on unrealized gains for individuals who renounce U.S. citizenship or long-term residency to avoid the tax.</w:t>
      </w:r>
    </w:p>
    <w:p>
      <w:pPr>
        <w:spacing w:after="40" w:before="40"/>
        <w:ind w:left="360"/>
      </w:pPr>
      <w:r>
        <w:rPr>
          <w:rFonts w:ascii="Arial" w:cs="Arial" w:eastAsia="Arial" w:hAnsi="Arial"/>
          <w:i/>
          <w:iCs/>
          <w:color w:val="555555"/>
          <w:sz w:val="18"/>
          <w:szCs w:val="18"/>
        </w:rPr>
        <w:t xml:space="preserve">[Note: Constitutional risk: opponents will challenge as a 'direct tax' requiring apportionment under Article I. The administration should prepare both a constitutional defense and a mark-to-market capital gains fallback generating comparable revenue. CBO should score with a risk-adjustment range reflecting legal uncertainty.]</w:t>
      </w:r>
    </w:p>
    <w:p>
      <w:pPr>
        <w:pStyle w:val="Heading2"/>
        <w:spacing w:after="80" w:before="240"/>
      </w:pPr>
      <w:r>
        <w:rPr>
          <w:rFonts w:ascii="Arial" w:cs="Arial" w:eastAsia="Arial" w:hAnsi="Arial"/>
          <w:b/>
          <w:bCs/>
          <w:sz w:val="24"/>
          <w:szCs w:val="24"/>
        </w:rPr>
        <w:t xml:space="preserve">1.4 Capital Gains</w:t>
      </w:r>
    </w:p>
    <w:p>
      <w:pPr>
        <w:pStyle w:val="ListParagraph"/>
        <w:numPr>
          <w:ilvl w:val="0"/>
          <w:numId w:val="2"/>
        </w:numPr>
        <w:spacing w:after="40" w:before="40"/>
      </w:pPr>
      <w:r>
        <w:rPr>
          <w:rFonts w:ascii="Arial" w:cs="Arial" w:eastAsia="Arial" w:hAnsi="Arial"/>
          <w:sz w:val="20"/>
          <w:szCs w:val="20"/>
        </w:rPr>
        <w:t xml:space="preserve">Tax long-term capital gains and qualified dividends as ordinary income for taxpayers with adjusted gross income above $1 million. Current preferential rate (20% maximum, plus 3.8% NIIT) replaced by ordinary income rates for this population.</w:t>
      </w:r>
    </w:p>
    <w:p>
      <w:pPr>
        <w:pStyle w:val="ListParagraph"/>
        <w:numPr>
          <w:ilvl w:val="0"/>
          <w:numId w:val="2"/>
        </w:numPr>
        <w:spacing w:after="40" w:before="40"/>
      </w:pPr>
      <w:r>
        <w:rPr>
          <w:rFonts w:ascii="Arial" w:cs="Arial" w:eastAsia="Arial" w:hAnsi="Arial"/>
          <w:sz w:val="20"/>
          <w:szCs w:val="20"/>
        </w:rPr>
        <w:t xml:space="preserve">Tax unrealized capital gains at death for estates where the decedent's gains exceed $5 million. Gains above the threshold are treated as realized immediately prior to death and taxed at ordinary income rates for amounts above $1M AGI.</w:t>
      </w:r>
    </w:p>
    <w:p>
      <w:pPr>
        <w:spacing w:after="40" w:before="40"/>
        <w:ind w:left="360"/>
      </w:pPr>
      <w:r>
        <w:rPr>
          <w:rFonts w:ascii="Arial" w:cs="Arial" w:eastAsia="Arial" w:hAnsi="Arial"/>
          <w:i/>
          <w:iCs/>
          <w:color w:val="555555"/>
          <w:sz w:val="18"/>
          <w:szCs w:val="18"/>
        </w:rPr>
        <w:t xml:space="preserve">[Note: The stepped-up basis elimination (Section 1.2) and the unrealized gains at death (this provision) overlap for high-net-worth estates. CBO should score these jointly to avoid double-counting.]</w:t>
      </w:r>
    </w:p>
    <w:p>
      <w:pPr>
        <w:pStyle w:val="Heading2"/>
        <w:spacing w:after="80" w:before="240"/>
      </w:pPr>
      <w:r>
        <w:rPr>
          <w:rFonts w:ascii="Arial" w:cs="Arial" w:eastAsia="Arial" w:hAnsi="Arial"/>
          <w:b/>
          <w:bCs/>
          <w:sz w:val="24"/>
          <w:szCs w:val="24"/>
        </w:rPr>
        <w:t xml:space="preserve">1.5 Financial Transactions Tax</w:t>
      </w:r>
    </w:p>
    <w:p>
      <w:pPr>
        <w:pStyle w:val="ListParagraph"/>
        <w:numPr>
          <w:ilvl w:val="0"/>
          <w:numId w:val="2"/>
        </w:numPr>
        <w:spacing w:after="40" w:before="40"/>
      </w:pPr>
      <w:r>
        <w:rPr>
          <w:rFonts w:ascii="Arial" w:cs="Arial" w:eastAsia="Arial" w:hAnsi="Arial"/>
          <w:sz w:val="20"/>
          <w:szCs w:val="20"/>
        </w:rPr>
        <w:t xml:space="preserve">0.1% tax on all stock trades (per transaction, on the seller); 0.1% on bond trades; 0.005% on derivatives (notional value basis). Applies to all trades executed on U.S. exchanges or by U.S. persons. Retail investors making fewer than 10 trades per year are exempt.</w:t>
      </w:r>
    </w:p>
    <w:p>
      <w:pPr>
        <w:pStyle w:val="Heading2"/>
        <w:spacing w:after="80" w:before="240"/>
      </w:pPr>
      <w:r>
        <w:rPr>
          <w:rFonts w:ascii="Arial" w:cs="Arial" w:eastAsia="Arial" w:hAnsi="Arial"/>
          <w:b/>
          <w:bCs/>
          <w:sz w:val="24"/>
          <w:szCs w:val="24"/>
        </w:rPr>
        <w:t xml:space="preserve">1.6 IRS Funding Restoration</w:t>
      </w:r>
    </w:p>
    <w:p>
      <w:pPr>
        <w:pStyle w:val="ListParagraph"/>
        <w:numPr>
          <w:ilvl w:val="0"/>
          <w:numId w:val="2"/>
        </w:numPr>
        <w:spacing w:after="40" w:before="40"/>
      </w:pPr>
      <w:r>
        <w:rPr>
          <w:rFonts w:ascii="Arial" w:cs="Arial" w:eastAsia="Arial" w:hAnsi="Arial"/>
          <w:sz w:val="20"/>
          <w:szCs w:val="20"/>
        </w:rPr>
        <w:t xml:space="preserve">Restore IRS Inflation Reduction Act enforcement and modernization funding rescinded by the OBBBA: approximately $80 billion over 10 years ($8B/year), allocated to: high-wealth and high-income audit expansion (primary use); IT modernization; taxpayer services. This is both a spending item (discretionary appropriation) and a revenue-generating item (CBO-estimated $200B–$600B in additional collections over 10 years depending on audit focus and enforcement design; use the IRA CBO estimate of ~$200B as the baseline and note the upside).</w:t>
      </w:r>
    </w:p>
    <w:p>
      <w:pPr>
        <w:pStyle w:val="Heading2"/>
        <w:spacing w:after="80" w:before="240"/>
      </w:pPr>
      <w:r>
        <w:rPr>
          <w:rFonts w:ascii="Arial" w:cs="Arial" w:eastAsia="Arial" w:hAnsi="Arial"/>
          <w:b/>
          <w:bCs/>
          <w:sz w:val="24"/>
          <w:szCs w:val="24"/>
        </w:rPr>
        <w:t xml:space="preserve">1.7 Fossil Fuel Subsidies</w:t>
      </w:r>
    </w:p>
    <w:p>
      <w:pPr>
        <w:pStyle w:val="ListParagraph"/>
        <w:numPr>
          <w:ilvl w:val="0"/>
          <w:numId w:val="2"/>
        </w:numPr>
        <w:spacing w:after="40" w:before="40"/>
      </w:pPr>
      <w:r>
        <w:rPr>
          <w:rFonts w:ascii="Arial" w:cs="Arial" w:eastAsia="Arial" w:hAnsi="Arial"/>
          <w:sz w:val="20"/>
          <w:szCs w:val="20"/>
        </w:rPr>
        <w:t xml:space="preserve">Repeal the following direct fossil fuel subsidies currently costing approximately $20B/year in forgone revenue: (a) percentage depletion allowance for oil and gas wells (5-year recovery at rates of 15–22%); (b) intangible drilling cost deduction (immediate expensing rather than capitalization); (c) accelerated depreciation for equipment used in fossil fuel extraction. All three are permanent statutory changes.</w:t>
      </w:r>
    </w:p>
    <w:p>
      <w:pPr>
        <w:pStyle w:val="Heading2"/>
        <w:spacing w:after="80" w:before="240"/>
      </w:pPr>
      <w:r>
        <w:rPr>
          <w:rFonts w:ascii="Arial" w:cs="Arial" w:eastAsia="Arial" w:hAnsi="Arial"/>
          <w:b/>
          <w:bCs/>
          <w:sz w:val="24"/>
          <w:szCs w:val="24"/>
        </w:rPr>
        <w:t xml:space="preserve">1.8 Carried Interest</w:t>
      </w:r>
    </w:p>
    <w:p>
      <w:pPr>
        <w:pStyle w:val="ListParagraph"/>
        <w:numPr>
          <w:ilvl w:val="0"/>
          <w:numId w:val="2"/>
        </w:numPr>
        <w:spacing w:after="40" w:before="40"/>
      </w:pPr>
      <w:r>
        <w:rPr>
          <w:rFonts w:ascii="Arial" w:cs="Arial" w:eastAsia="Arial" w:hAnsi="Arial"/>
          <w:sz w:val="20"/>
          <w:szCs w:val="20"/>
        </w:rPr>
        <w:t xml:space="preserve">Tax private equity and hedge fund carried interest as ordinary income rather than at preferential long-term capital gains rates. Current law (Section 1061) imposes only a 3-year holding period requirement; this provision removes the preferential rate treatment entirely, regardless of holding period, for fund managers who receive carried interest as compensation.</w:t>
      </w:r>
    </w:p>
    <w:p>
      <w:pPr>
        <w:pStyle w:val="Heading2"/>
        <w:spacing w:after="80" w:before="240"/>
      </w:pPr>
      <w:r>
        <w:rPr>
          <w:rFonts w:ascii="Arial" w:cs="Arial" w:eastAsia="Arial" w:hAnsi="Arial"/>
          <w:b/>
          <w:bCs/>
          <w:sz w:val="24"/>
          <w:szCs w:val="24"/>
        </w:rPr>
        <w:t xml:space="preserve">1.9 Social Security Payroll Tax Cap</w:t>
      </w:r>
    </w:p>
    <w:p>
      <w:pPr>
        <w:pStyle w:val="ListParagraph"/>
        <w:numPr>
          <w:ilvl w:val="0"/>
          <w:numId w:val="2"/>
        </w:numPr>
        <w:spacing w:after="40" w:before="40"/>
      </w:pPr>
      <w:r>
        <w:rPr>
          <w:rFonts w:ascii="Arial" w:cs="Arial" w:eastAsia="Arial" w:hAnsi="Arial"/>
          <w:sz w:val="20"/>
          <w:szCs w:val="20"/>
        </w:rPr>
        <w:t xml:space="preserve">Progressive phase-out of the Social Security payroll tax cap (currently $168,600 in 2024, indexed annually). Phase-in: (a) apply full 12.4% payroll tax rate (employee + employer shares) on wages from $168,600 to $400,000; (b) apply a 12.4% rate on wages above $400,000. Wages between the current cap and $400K create new covered earnings for benefit purposes; wages above $400K are subject to the tax but do not increase benefit accrual.</w:t>
      </w:r>
    </w:p>
    <w:p>
      <w:pPr>
        <w:spacing w:after="40" w:before="40"/>
        <w:ind w:left="360"/>
      </w:pPr>
      <w:r>
        <w:rPr>
          <w:rFonts w:ascii="Arial" w:cs="Arial" w:eastAsia="Arial" w:hAnsi="Arial"/>
          <w:i/>
          <w:iCs/>
          <w:color w:val="555555"/>
          <w:sz w:val="18"/>
          <w:szCs w:val="18"/>
        </w:rPr>
        <w:t xml:space="preserve">[Note: This is primarily a revenue item but also affects mandatory Social Security outlays in the long run as higher earners accrue higher benefits. CBO should score both effects. The provision extends Social Security solvency by an estimated 25–30 years per SSA actuarial analysis.]</w:t>
      </w:r>
    </w:p>
    <w:p>
      <w:pPr>
        <w:pStyle w:val="Heading2"/>
        <w:spacing w:after="80" w:before="240"/>
      </w:pPr>
      <w:r>
        <w:rPr>
          <w:rFonts w:ascii="Arial" w:cs="Arial" w:eastAsia="Arial" w:hAnsi="Arial"/>
          <w:b/>
          <w:bCs/>
          <w:sz w:val="24"/>
          <w:szCs w:val="24"/>
        </w:rPr>
        <w:t xml:space="preserve">1.10 AI Sector Levies</w:t>
      </w:r>
    </w:p>
    <w:p>
      <w:pPr>
        <w:pStyle w:val="ListParagraph"/>
        <w:numPr>
          <w:ilvl w:val="0"/>
          <w:numId w:val="2"/>
        </w:numPr>
        <w:spacing w:after="40" w:before="40"/>
      </w:pPr>
      <w:r>
        <w:rPr>
          <w:rFonts w:ascii="Arial" w:cs="Arial" w:eastAsia="Arial" w:hAnsi="Arial"/>
          <w:sz w:val="20"/>
          <w:szCs w:val="20"/>
        </w:rPr>
        <w:t xml:space="preserve">0.5% annual tax on gross revenues from AI-enabled services for companies with more than $1B in annual AI-enabled revenues. Revenues fund the AI Worker Transition Fund (see Section 11.1). This is a dedicated revenue stream with mandatory offsetting spending; net fiscal impact depends on fund drawdown rate.</w:t>
      </w:r>
    </w:p>
    <w:p>
      <w:pPr>
        <w:pStyle w:val="ListParagraph"/>
        <w:numPr>
          <w:ilvl w:val="0"/>
          <w:numId w:val="2"/>
        </w:numPr>
        <w:spacing w:after="40" w:before="40"/>
      </w:pPr>
      <w:r>
        <w:rPr>
          <w:rFonts w:ascii="Arial" w:cs="Arial" w:eastAsia="Arial" w:hAnsi="Arial"/>
          <w:sz w:val="20"/>
          <w:szCs w:val="20"/>
        </w:rPr>
        <w:t xml:space="preserve">1.0% annual contribution on gross revenues for AI companies with more than $500M in annual revenues, assessed on revenues from products trained substantially on publicly accessible human-generated content. Revenues fund the Data Labor Compensation Fund (see Section 11.2). Structured as a mandatory contribution, not a tax; subject to industry negotiation on rate but the obligation is statutory.</w:t>
      </w:r>
    </w:p>
    <w:p>
      <w:pPr>
        <w:pStyle w:val="Heading2"/>
        <w:spacing w:after="80" w:before="240"/>
      </w:pPr>
      <w:r>
        <w:rPr>
          <w:rFonts w:ascii="Arial" w:cs="Arial" w:eastAsia="Arial" w:hAnsi="Arial"/>
          <w:b/>
          <w:bCs/>
          <w:sz w:val="24"/>
          <w:szCs w:val="24"/>
        </w:rPr>
        <w:t xml:space="preserve">1.11 Campaign Finance Matching Program</w:t>
      </w:r>
    </w:p>
    <w:p>
      <w:pPr>
        <w:pStyle w:val="ListParagraph"/>
        <w:numPr>
          <w:ilvl w:val="0"/>
          <w:numId w:val="2"/>
        </w:numPr>
        <w:spacing w:after="40" w:before="40"/>
      </w:pPr>
      <w:r>
        <w:rPr>
          <w:rFonts w:ascii="Arial" w:cs="Arial" w:eastAsia="Arial" w:hAnsi="Arial"/>
          <w:sz w:val="20"/>
          <w:szCs w:val="20"/>
        </w:rPr>
        <w:t xml:space="preserve">Federal 6:1 small-dollar donation matching program for federal candidates: donations up to $200 per donor per election matched by Treasury at 6:1 (i.e., a $200 donation generates $1,200 in federal matching funds). Program is funded from receipts of the carried interest loophole closure (see Section 1.8). Mandatory spending. Estimated cost: $2–$5B per two-year election cycle depending on participation rates; no precise estimate available as this is a new program.</w:t>
      </w:r>
    </w:p>
    <w:p>
      <w:pPr>
        <w:pStyle w:val="Heading2"/>
        <w:spacing w:after="80" w:before="240"/>
      </w:pPr>
      <w:r>
        <w:rPr>
          <w:rFonts w:ascii="Arial" w:cs="Arial" w:eastAsia="Arial" w:hAnsi="Arial"/>
          <w:b/>
          <w:bCs/>
          <w:sz w:val="24"/>
          <w:szCs w:val="24"/>
        </w:rPr>
        <w:t xml:space="preserve">1.12 Automatic Benefits Enrollment (Revenue/Spending Interaction)</w:t>
      </w:r>
    </w:p>
    <w:p>
      <w:pPr>
        <w:pStyle w:val="ListParagraph"/>
        <w:numPr>
          <w:ilvl w:val="0"/>
          <w:numId w:val="2"/>
        </w:numPr>
        <w:spacing w:after="40" w:before="40"/>
      </w:pPr>
      <w:r>
        <w:rPr>
          <w:rFonts w:ascii="Arial" w:cs="Arial" w:eastAsia="Arial" w:hAnsi="Arial"/>
          <w:sz w:val="20"/>
          <w:szCs w:val="20"/>
        </w:rPr>
        <w:t xml:space="preserve">Require automatic enrollment in SNAP, Medicaid, CHIP, the Earned Income Tax Credit, federal housing assistance, and the Low Income Home Energy Assistance Program using cross-agency data matching for eligible individuals who have not self-enrolled. Estimated $80B+/year in currently unclaimed federal benefits would be claimed under this provision. This is primarily a mandatory spending increase (as more eligible individuals receive benefits), partially offset by reduced administrative costs. CBO should score as mandatory spending expansion across each affected program.</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2: HEALTHCARE</w:t>
      </w:r>
    </w:p>
    <w:p>
      <w:pPr>
        <w:spacing w:after="60" w:before="60"/>
      </w:pPr>
    </w:p>
    <w:p>
      <w:pPr>
        <w:pStyle w:val="Heading2"/>
        <w:spacing w:after="80" w:before="240"/>
      </w:pPr>
      <w:r>
        <w:rPr>
          <w:rFonts w:ascii="Arial" w:cs="Arial" w:eastAsia="Arial" w:hAnsi="Arial"/>
          <w:b/>
          <w:bCs/>
          <w:sz w:val="24"/>
          <w:szCs w:val="24"/>
        </w:rPr>
        <w:t xml:space="preserve">2.1 Medicaid Restoration</w:t>
      </w:r>
    </w:p>
    <w:p>
      <w:pPr>
        <w:pStyle w:val="ListParagraph"/>
        <w:numPr>
          <w:ilvl w:val="0"/>
          <w:numId w:val="2"/>
        </w:numPr>
        <w:spacing w:after="40" w:before="40"/>
      </w:pPr>
      <w:r>
        <w:rPr>
          <w:rFonts w:ascii="Arial" w:cs="Arial" w:eastAsia="Arial" w:hAnsi="Arial"/>
          <w:sz w:val="20"/>
          <w:szCs w:val="20"/>
        </w:rPr>
        <w:t xml:space="preserve">Repeal OBBBA Medicaid work requirements ('community engagement requirements') in their entirety. OBBBA work requirements were projected by CBO to save approximately $325B over 10 years by reducing Medicaid enrollment; repeal restores this mandatory spending.</w:t>
      </w:r>
    </w:p>
    <w:p>
      <w:pPr>
        <w:pStyle w:val="ListParagraph"/>
        <w:numPr>
          <w:ilvl w:val="0"/>
          <w:numId w:val="2"/>
        </w:numPr>
        <w:spacing w:after="40" w:before="40"/>
      </w:pPr>
      <w:r>
        <w:rPr>
          <w:rFonts w:ascii="Arial" w:cs="Arial" w:eastAsia="Arial" w:hAnsi="Arial"/>
          <w:sz w:val="20"/>
          <w:szCs w:val="20"/>
        </w:rPr>
        <w:t xml:space="preserve">Repeal OBBBA caps on state provider tax percentages and restore state-directed payment authority. OBBBA provisions were projected to save approximately $375B over 10 years by limiting states' financing mechanisms; repeal restores this mandatory spending.</w:t>
      </w:r>
    </w:p>
    <w:p>
      <w:pPr>
        <w:pStyle w:val="ListParagraph"/>
        <w:numPr>
          <w:ilvl w:val="0"/>
          <w:numId w:val="2"/>
        </w:numPr>
        <w:spacing w:after="40" w:before="40"/>
      </w:pPr>
      <w:r>
        <w:rPr>
          <w:rFonts w:ascii="Arial" w:cs="Arial" w:eastAsia="Arial" w:hAnsi="Arial"/>
          <w:sz w:val="20"/>
          <w:szCs w:val="20"/>
        </w:rPr>
        <w:t xml:space="preserve">Restore the enhanced federal matching rate for states newly expanding Medicaid (100% FMAP for 3 years, then the standard ACA enhanced rate). Offer an additional 3-year 100% FMAP bonus to incentivize the 10 remaining non-expansion states (Alabama, Florida, Georgia, Kansas, Mississippi, South Carolina, Tennessee, Texas, Wisconsin, Wyoming). If all 10 expand, CBO estimates 3–4 million newly insured; mandatory spending increase of approximately $200B over 10 years.</w:t>
      </w:r>
    </w:p>
    <w:p>
      <w:pPr>
        <w:pStyle w:val="ListParagraph"/>
        <w:numPr>
          <w:ilvl w:val="0"/>
          <w:numId w:val="2"/>
        </w:numPr>
        <w:spacing w:after="40" w:before="40"/>
      </w:pPr>
      <w:r>
        <w:rPr>
          <w:rFonts w:ascii="Arial" w:cs="Arial" w:eastAsia="Arial" w:hAnsi="Arial"/>
          <w:sz w:val="20"/>
          <w:szCs w:val="20"/>
        </w:rPr>
        <w:t xml:space="preserve">Restore Planned Parenthood and all other Federally Qualified Health Center eligibility for Medicaid reimbursement, reversing OBBBA's one-year moratorium. Mandatory Medicaid spending restoration.</w:t>
      </w:r>
    </w:p>
    <w:p>
      <w:pPr>
        <w:pStyle w:val="ListParagraph"/>
        <w:numPr>
          <w:ilvl w:val="0"/>
          <w:numId w:val="2"/>
        </w:numPr>
        <w:spacing w:after="40" w:before="40"/>
      </w:pPr>
      <w:r>
        <w:rPr>
          <w:rFonts w:ascii="Arial" w:cs="Arial" w:eastAsia="Arial" w:hAnsi="Arial"/>
          <w:sz w:val="20"/>
          <w:szCs w:val="20"/>
        </w:rPr>
        <w:t xml:space="preserve">Appropriate $50B over 5 years ($10B/year) for Home and Community-Based Services waiver waitlist elimination. This is mandatory/discretionary spending to fund waiver slots for approximately 700,000 people currently on waitlists.</w:t>
      </w:r>
    </w:p>
    <w:p>
      <w:pPr>
        <w:pStyle w:val="ListParagraph"/>
        <w:numPr>
          <w:ilvl w:val="0"/>
          <w:numId w:val="2"/>
        </w:numPr>
        <w:spacing w:after="40" w:before="40"/>
      </w:pPr>
      <w:r>
        <w:rPr>
          <w:rFonts w:ascii="Arial" w:cs="Arial" w:eastAsia="Arial" w:hAnsi="Arial"/>
          <w:sz w:val="20"/>
          <w:szCs w:val="20"/>
        </w:rPr>
        <w:t xml:space="preserve">Restore Home and Community-Based Services eligibility standards and nursing home minimum staffing requirements reversed by OBBBA. These are regulatory provisions with implementation costs; nursing home staffing requirements have compliance costs estimated at several billion dollars annually (CMS estimated approximately $6.8B annually in the original rule; repeal and re-promulgation is a regulatory cost, not a direct appropriation).</w:t>
      </w:r>
    </w:p>
    <w:p>
      <w:pPr>
        <w:pStyle w:val="Heading2"/>
        <w:spacing w:after="80" w:before="240"/>
      </w:pPr>
      <w:r>
        <w:rPr>
          <w:rFonts w:ascii="Arial" w:cs="Arial" w:eastAsia="Arial" w:hAnsi="Arial"/>
          <w:b/>
          <w:bCs/>
          <w:sz w:val="24"/>
          <w:szCs w:val="24"/>
        </w:rPr>
        <w:t xml:space="preserve">2.2 Affordable Care Act Stabilization</w:t>
      </w:r>
    </w:p>
    <w:p>
      <w:pPr>
        <w:pStyle w:val="ListParagraph"/>
        <w:numPr>
          <w:ilvl w:val="0"/>
          <w:numId w:val="2"/>
        </w:numPr>
        <w:spacing w:after="40" w:before="40"/>
      </w:pPr>
      <w:r>
        <w:rPr>
          <w:rFonts w:ascii="Arial" w:cs="Arial" w:eastAsia="Arial" w:hAnsi="Arial"/>
          <w:sz w:val="20"/>
          <w:szCs w:val="20"/>
        </w:rPr>
        <w:t xml:space="preserve">Make enhanced ACA premium tax credits (at American Rescue Plan Act levels) permanent. Under current law (post-ARP expiration), tax credit eligibility caps at 400% of the federal poverty level (FPL). Under this provision: no income cap; sliding scale subsidies extend to 600% FPL. CBO estimated the ARP enhanced subsidies at approximately $300B over 10 years; permanence without an income cap adds additional cost.</w:t>
      </w:r>
    </w:p>
    <w:p>
      <w:pPr>
        <w:pStyle w:val="ListParagraph"/>
        <w:numPr>
          <w:ilvl w:val="0"/>
          <w:numId w:val="2"/>
        </w:numPr>
        <w:spacing w:after="40" w:before="40"/>
      </w:pPr>
      <w:r>
        <w:rPr>
          <w:rFonts w:ascii="Arial" w:cs="Arial" w:eastAsia="Arial" w:hAnsi="Arial"/>
          <w:sz w:val="20"/>
          <w:szCs w:val="20"/>
        </w:rPr>
        <w:t xml:space="preserve">Permanently appropriate Cost-Sharing Reduction (CSR) payments to insurers. CSR payments were defunded by executive action in 2017, causing silver-loading that raised gross premiums and federal tax credit costs. Permanently appropriating CSR payments reduces the net cost of premium tax credits. Estimated annual CSR payment: approximately $12–16B/year.</w:t>
      </w:r>
    </w:p>
    <w:p>
      <w:pPr>
        <w:pStyle w:val="ListParagraph"/>
        <w:numPr>
          <w:ilvl w:val="0"/>
          <w:numId w:val="2"/>
        </w:numPr>
        <w:spacing w:after="40" w:before="40"/>
      </w:pPr>
      <w:r>
        <w:rPr>
          <w:rFonts w:ascii="Arial" w:cs="Arial" w:eastAsia="Arial" w:hAnsi="Arial"/>
          <w:sz w:val="20"/>
          <w:szCs w:val="20"/>
        </w:rPr>
        <w:t xml:space="preserve">Repeal OBBBA pre-enrollment verification requirements that created barriers to marketplace access. Mandatory spending effect: increased enrollment in marketplace plans → increased premium tax credit outlays.</w:t>
      </w:r>
    </w:p>
    <w:p>
      <w:pPr>
        <w:pStyle w:val="Heading2"/>
        <w:spacing w:after="80" w:before="240"/>
      </w:pPr>
      <w:r>
        <w:rPr>
          <w:rFonts w:ascii="Arial" w:cs="Arial" w:eastAsia="Arial" w:hAnsi="Arial"/>
          <w:b/>
          <w:bCs/>
          <w:sz w:val="24"/>
          <w:szCs w:val="24"/>
        </w:rPr>
        <w:t xml:space="preserve">2.3 Medicare — PAYGO Override and Physician Payment</w:t>
      </w:r>
    </w:p>
    <w:p>
      <w:pPr>
        <w:pStyle w:val="ListParagraph"/>
        <w:numPr>
          <w:ilvl w:val="0"/>
          <w:numId w:val="2"/>
        </w:numPr>
        <w:spacing w:after="40" w:before="40"/>
      </w:pPr>
      <w:r>
        <w:rPr>
          <w:rFonts w:ascii="Arial" w:cs="Arial" w:eastAsia="Arial" w:hAnsi="Arial"/>
          <w:sz w:val="20"/>
          <w:szCs w:val="20"/>
        </w:rPr>
        <w:t xml:space="preserve">Override the statutory Medicare PAYGO sequester triggered by the OBBBA's deficit expansion. The OBBBA's deficit additions activated automatic Medicare spending reductions estimated at approximately $500B over 2026–2034 (a 4% reduction in Medicare payments to providers). This provision prevents those cuts. Score as mandatory spending increase of approximately $500B over the 2029–2038 window (amounts will be partially triggered before 2029 and partially after; CBO should adjust the window accordingly).</w:t>
      </w:r>
    </w:p>
    <w:p>
      <w:pPr>
        <w:pStyle w:val="ListParagraph"/>
        <w:numPr>
          <w:ilvl w:val="0"/>
          <w:numId w:val="2"/>
        </w:numPr>
        <w:spacing w:after="40" w:before="40"/>
      </w:pPr>
      <w:r>
        <w:rPr>
          <w:rFonts w:ascii="Arial" w:cs="Arial" w:eastAsia="Arial" w:hAnsi="Arial"/>
          <w:sz w:val="20"/>
          <w:szCs w:val="20"/>
        </w:rPr>
        <w:t xml:space="preserve">Replace the OBBBA's temporary one-year 2.5% Medicare physician payment update with a permanent annual inflation-adjusted update mechanism indexed to the Medicare Economic Index. The current 'doc fix' cycle results in periodic payment shortfalls. Permanent indexation increases mandatory Medicare spending by an estimated $10–20B/year above current law trajectory.</w:t>
      </w:r>
    </w:p>
    <w:p>
      <w:pPr>
        <w:pStyle w:val="Heading2"/>
        <w:spacing w:after="80" w:before="240"/>
      </w:pPr>
      <w:r>
        <w:rPr>
          <w:rFonts w:ascii="Arial" w:cs="Arial" w:eastAsia="Arial" w:hAnsi="Arial"/>
          <w:b/>
          <w:bCs/>
          <w:sz w:val="24"/>
          <w:szCs w:val="24"/>
        </w:rPr>
        <w:t xml:space="preserve">2.4 Drug Pricing</w:t>
      </w:r>
    </w:p>
    <w:p>
      <w:pPr>
        <w:pStyle w:val="ListParagraph"/>
        <w:numPr>
          <w:ilvl w:val="0"/>
          <w:numId w:val="2"/>
        </w:numPr>
        <w:spacing w:after="40" w:before="40"/>
      </w:pPr>
      <w:r>
        <w:rPr>
          <w:rFonts w:ascii="Arial" w:cs="Arial" w:eastAsia="Arial" w:hAnsi="Arial"/>
          <w:sz w:val="20"/>
          <w:szCs w:val="20"/>
        </w:rPr>
        <w:t xml:space="preserve">Expand Medicare drug price negotiation: remove the OBBBA's orphan drug carveout from the negotiation process; accelerate the schedule from 10 drugs per year (original IRA) to 50 drugs by Year 3 of enactment; allow Medicare-negotiated prices to apply to commercial insurance plans. These provisions generate mandatory Medicare savings; CBO should score against the IRA baseline with the OBBBA modifications as the current-law starting point.</w:t>
      </w:r>
    </w:p>
    <w:p>
      <w:pPr>
        <w:pStyle w:val="ListParagraph"/>
        <w:numPr>
          <w:ilvl w:val="0"/>
          <w:numId w:val="2"/>
        </w:numPr>
        <w:spacing w:after="40" w:before="40"/>
      </w:pPr>
      <w:r>
        <w:rPr>
          <w:rFonts w:ascii="Arial" w:cs="Arial" w:eastAsia="Arial" w:hAnsi="Arial"/>
          <w:sz w:val="20"/>
          <w:szCs w:val="20"/>
        </w:rPr>
        <w:t xml:space="preserve">Reduce Medicare Part D out-of-pocket cap from $2,000 (IRA) to $1,500 by 2031. Mandatory Medicare spending increase.</w:t>
      </w:r>
    </w:p>
    <w:p>
      <w:pPr>
        <w:pStyle w:val="ListParagraph"/>
        <w:numPr>
          <w:ilvl w:val="0"/>
          <w:numId w:val="2"/>
        </w:numPr>
        <w:spacing w:after="40" w:before="40"/>
      </w:pPr>
      <w:r>
        <w:rPr>
          <w:rFonts w:ascii="Arial" w:cs="Arial" w:eastAsia="Arial" w:hAnsi="Arial"/>
          <w:sz w:val="20"/>
          <w:szCs w:val="20"/>
        </w:rPr>
        <w:t xml:space="preserve">Extend a $3,000 annual out-of-pocket cap to commercial insurance plans subject to ACA market reform authority. Primary fiscal effect is on employer and individual plans (off-budget), but affects ACA premium tax credit costs (mandatory spending).</w:t>
      </w:r>
    </w:p>
    <w:p>
      <w:pPr>
        <w:pStyle w:val="ListParagraph"/>
        <w:numPr>
          <w:ilvl w:val="0"/>
          <w:numId w:val="2"/>
        </w:numPr>
        <w:spacing w:after="40" w:before="40"/>
      </w:pPr>
      <w:r>
        <w:rPr>
          <w:rFonts w:ascii="Arial" w:cs="Arial" w:eastAsia="Arial" w:hAnsi="Arial"/>
          <w:sz w:val="20"/>
          <w:szCs w:val="20"/>
        </w:rPr>
        <w:t xml:space="preserve">Restore and extend the $35/month insulin cap to all insured patients (not just Medicare). Extend price caps to EpiPens, inhalers, naloxone, and common cancer medications. Grant CMS authority to cap any drug priced above 150% of the median comparable OECD country price. Mandatory Medicare savings; private insurance effects are indirect.</w:t>
      </w:r>
    </w:p>
    <w:p>
      <w:pPr>
        <w:pStyle w:val="Heading2"/>
        <w:spacing w:after="80" w:before="240"/>
      </w:pPr>
      <w:r>
        <w:rPr>
          <w:rFonts w:ascii="Arial" w:cs="Arial" w:eastAsia="Arial" w:hAnsi="Arial"/>
          <w:b/>
          <w:bCs/>
          <w:sz w:val="24"/>
          <w:szCs w:val="24"/>
        </w:rPr>
        <w:t xml:space="preserve">2.5 AmeriCare — Medicare Public Option</w:t>
      </w:r>
    </w:p>
    <w:p>
      <w:pPr>
        <w:pStyle w:val="ListParagraph"/>
        <w:numPr>
          <w:ilvl w:val="0"/>
          <w:numId w:val="2"/>
        </w:numPr>
        <w:spacing w:after="40" w:before="40"/>
      </w:pPr>
      <w:r>
        <w:rPr>
          <w:rFonts w:ascii="Arial" w:cs="Arial" w:eastAsia="Arial" w:hAnsi="Arial"/>
          <w:sz w:val="20"/>
          <w:szCs w:val="20"/>
        </w:rPr>
        <w:t xml:space="preserve">Establish AmeriCare, a Medicare public option available to all Americans: payment rates at Medicare rates +10% for most providers (Medicare +25% for rural and safety-net providers); income-scaled premiums (free at or below 200% FPL, capped at 8.5% of income for all others); employer option to offer AmeriCare to employees. Establish an AmeriCare Trust Fund. Net federal cost after premium collections: estimated $500–800B over 10 years (gross federal cost before premiums is higher). Urban Institute public option modeling estimates 12–18 million newly insured within 3 years. Score as new mandatory spending program.</w:t>
      </w:r>
    </w:p>
    <w:p>
      <w:pPr>
        <w:pStyle w:val="Heading2"/>
        <w:spacing w:after="80" w:before="240"/>
      </w:pPr>
      <w:r>
        <w:rPr>
          <w:rFonts w:ascii="Arial" w:cs="Arial" w:eastAsia="Arial" w:hAnsi="Arial"/>
          <w:b/>
          <w:bCs/>
          <w:sz w:val="24"/>
          <w:szCs w:val="24"/>
        </w:rPr>
        <w:t xml:space="preserve">2.6 Medicare Benefit Expansion</w:t>
      </w:r>
    </w:p>
    <w:p>
      <w:pPr>
        <w:pStyle w:val="ListParagraph"/>
        <w:numPr>
          <w:ilvl w:val="0"/>
          <w:numId w:val="2"/>
        </w:numPr>
        <w:spacing w:after="40" w:before="40"/>
      </w:pPr>
      <w:r>
        <w:rPr>
          <w:rFonts w:ascii="Arial" w:cs="Arial" w:eastAsia="Arial" w:hAnsi="Arial"/>
          <w:sz w:val="20"/>
          <w:szCs w:val="20"/>
        </w:rPr>
        <w:t xml:space="preserve">Add comprehensive dental, vision, and hearing benefits to traditional Medicare. Phase-in: dental preventive care in Year 1 of implementation (2031); comprehensive dental by Year 3; vision and hearing in Year 1. Dental benefit: $2,000 annual limit with no cost-sharing for preventive. Estimated gross cost: $250–350B over 10 years (FY2029–FY2038). Partially offset by reduced emergency care costs.</w:t>
      </w:r>
    </w:p>
    <w:p>
      <w:pPr>
        <w:pStyle w:val="ListParagraph"/>
        <w:numPr>
          <w:ilvl w:val="0"/>
          <w:numId w:val="2"/>
        </w:numPr>
        <w:spacing w:after="40" w:before="40"/>
      </w:pPr>
      <w:r>
        <w:rPr>
          <w:rFonts w:ascii="Arial" w:cs="Arial" w:eastAsia="Arial" w:hAnsi="Arial"/>
          <w:sz w:val="20"/>
          <w:szCs w:val="20"/>
        </w:rPr>
        <w:t xml:space="preserve">Establish a federal long-term care insurance program modeled on Germany's social long-term care insurance system. Funded by a new 0.6% payroll contribution split equally between employer and employee (0.3% each). Benefits: up to $3,000/month for home care, adult day care, and skilled nursing facility care for qualifying individuals. Estimated 10-year program cost approximately $400B; offset by payroll contributions. Near-term: spending exceeds contributions during ramp-up; long-run: contributions fund the program. Score as new mandatory spending with offsetting mandatory revenues.</w:t>
      </w:r>
    </w:p>
    <w:p>
      <w:pPr>
        <w:pStyle w:val="Heading2"/>
        <w:spacing w:after="80" w:before="240"/>
      </w:pPr>
      <w:r>
        <w:rPr>
          <w:rFonts w:ascii="Arial" w:cs="Arial" w:eastAsia="Arial" w:hAnsi="Arial"/>
          <w:b/>
          <w:bCs/>
          <w:sz w:val="24"/>
          <w:szCs w:val="24"/>
        </w:rPr>
        <w:t xml:space="preserve">2.7 Mental Health and Rural Health Infrastructure</w:t>
      </w:r>
    </w:p>
    <w:p>
      <w:pPr>
        <w:pStyle w:val="ListParagraph"/>
        <w:numPr>
          <w:ilvl w:val="0"/>
          <w:numId w:val="2"/>
        </w:numPr>
        <w:spacing w:after="40" w:before="40"/>
      </w:pPr>
      <w:r>
        <w:rPr>
          <w:rFonts w:ascii="Arial" w:cs="Arial" w:eastAsia="Arial" w:hAnsi="Arial"/>
          <w:sz w:val="20"/>
          <w:szCs w:val="20"/>
        </w:rPr>
        <w:t xml:space="preserve">Fund a National Community Mental Health Infrastructure program: $20B over 5 years ($4B/year) for community mental health centers, crisis stabilization centers, and peer support networks. Mandatory/discretionary (structure TBD).</w:t>
      </w:r>
    </w:p>
    <w:p>
      <w:pPr>
        <w:pStyle w:val="ListParagraph"/>
        <w:numPr>
          <w:ilvl w:val="0"/>
          <w:numId w:val="2"/>
        </w:numPr>
        <w:spacing w:after="40" w:before="40"/>
      </w:pPr>
      <w:r>
        <w:rPr>
          <w:rFonts w:ascii="Arial" w:cs="Arial" w:eastAsia="Arial" w:hAnsi="Arial"/>
          <w:sz w:val="20"/>
          <w:szCs w:val="20"/>
        </w:rPr>
        <w:t xml:space="preserve">Rural Hospital Stabilization Fund: $75B over 10 years ($7.5B/year), replacing the OBBBA's insufficient $50B/5-year program. Structured as direct operating support for critical access hospitals, capital improvement grants, and workforce recruitment subsidies. Indexed to inflation. Discretionary appropriation.</w:t>
      </w:r>
    </w:p>
    <w:p>
      <w:pPr>
        <w:pStyle w:val="ListParagraph"/>
        <w:numPr>
          <w:ilvl w:val="0"/>
          <w:numId w:val="2"/>
        </w:numPr>
        <w:spacing w:after="40" w:before="40"/>
      </w:pPr>
      <w:r>
        <w:rPr>
          <w:rFonts w:ascii="Arial" w:cs="Arial" w:eastAsia="Arial" w:hAnsi="Arial"/>
          <w:sz w:val="20"/>
          <w:szCs w:val="20"/>
        </w:rPr>
        <w:t xml:space="preserve">Expand the National Health Service Corps by 50,000 placements over 5 years. Loan forgiveness program costs. Fund 2,000 new rural medicine residency slots: $3B over 10 years. Expand and permanently reauthorize the Conrad 30 waiver for international medical graduates. Discretionary appropriations.</w:t>
      </w:r>
    </w:p>
    <w:p>
      <w:pPr>
        <w:pStyle w:val="Heading2"/>
        <w:spacing w:after="80" w:before="240"/>
      </w:pPr>
      <w:r>
        <w:rPr>
          <w:rFonts w:ascii="Arial" w:cs="Arial" w:eastAsia="Arial" w:hAnsi="Arial"/>
          <w:b/>
          <w:bCs/>
          <w:sz w:val="24"/>
          <w:szCs w:val="24"/>
        </w:rPr>
        <w:t xml:space="preserve">2.8 Drug Pricing — Agency Savings</w:t>
      </w:r>
    </w:p>
    <w:p>
      <w:pPr>
        <w:spacing w:after="60" w:before="60"/>
      </w:pPr>
      <w:r>
        <w:rPr>
          <w:rFonts w:ascii="Arial" w:cs="Arial" w:eastAsia="Arial" w:hAnsi="Arial"/>
          <w:sz w:val="20"/>
          <w:szCs w:val="20"/>
        </w:rPr>
        <w:t xml:space="preserve">The provisions in Section 2.4 generate substantial mandatory savings. Key estimates for CBO reference:</w:t>
      </w:r>
    </w:p>
    <w:p>
      <w:pPr>
        <w:pStyle w:val="ListParagraph"/>
        <w:numPr>
          <w:ilvl w:val="0"/>
          <w:numId w:val="2"/>
        </w:numPr>
        <w:spacing w:after="40" w:before="40"/>
      </w:pPr>
      <w:r>
        <w:rPr>
          <w:rFonts w:ascii="Arial" w:cs="Arial" w:eastAsia="Arial" w:hAnsi="Arial"/>
          <w:sz w:val="20"/>
          <w:szCs w:val="20"/>
        </w:rPr>
        <w:t xml:space="preserve">Medicare drug negotiation expansion (50 drugs by Year 3, commercial extension): CBO-range savings of $400–800B over 10 years, net of program costs.</w:t>
      </w:r>
    </w:p>
    <w:p>
      <w:pPr>
        <w:pStyle w:val="ListParagraph"/>
        <w:numPr>
          <w:ilvl w:val="0"/>
          <w:numId w:val="2"/>
        </w:numPr>
        <w:spacing w:after="40" w:before="40"/>
      </w:pPr>
      <w:r>
        <w:rPr>
          <w:rFonts w:ascii="Arial" w:cs="Arial" w:eastAsia="Arial" w:hAnsi="Arial"/>
          <w:sz w:val="20"/>
          <w:szCs w:val="20"/>
        </w:rPr>
        <w:t xml:space="preserve">Part D out-of-pocket cap reduction ($2,000 → $1,500): additional mandatory Medicare spending of approximately $30–50B over 10 years.</w:t>
      </w:r>
    </w:p>
    <w:p>
      <w:pPr>
        <w:pStyle w:val="ListParagraph"/>
        <w:numPr>
          <w:ilvl w:val="0"/>
          <w:numId w:val="2"/>
        </w:numPr>
        <w:spacing w:after="40" w:before="40"/>
      </w:pPr>
      <w:r>
        <w:rPr>
          <w:rFonts w:ascii="Arial" w:cs="Arial" w:eastAsia="Arial" w:hAnsi="Arial"/>
          <w:sz w:val="20"/>
          <w:szCs w:val="20"/>
        </w:rPr>
        <w:t xml:space="preserve">Insulin cap extended to all insured patients: additional mandatory Medicaid and Medicare spending of approximately $5–15B/year; partially offset by reduced emergency utilization.</w:t>
      </w:r>
    </w:p>
    <w:p>
      <w:pPr>
        <w:pStyle w:val="Heading2"/>
        <w:spacing w:after="80" w:before="240"/>
      </w:pPr>
      <w:r>
        <w:rPr>
          <w:rFonts w:ascii="Arial" w:cs="Arial" w:eastAsia="Arial" w:hAnsi="Arial"/>
          <w:b/>
          <w:bCs/>
          <w:sz w:val="24"/>
          <w:szCs w:val="24"/>
        </w:rPr>
        <w:t xml:space="preserve">2.9 Title X and Reproductive Health Coverage</w:t>
      </w:r>
    </w:p>
    <w:p>
      <w:pPr>
        <w:pStyle w:val="ListParagraph"/>
        <w:numPr>
          <w:ilvl w:val="0"/>
          <w:numId w:val="2"/>
        </w:numPr>
        <w:spacing w:after="40" w:before="40"/>
      </w:pPr>
      <w:r>
        <w:rPr>
          <w:rFonts w:ascii="Arial" w:cs="Arial" w:eastAsia="Arial" w:hAnsi="Arial"/>
          <w:sz w:val="20"/>
          <w:szCs w:val="20"/>
        </w:rPr>
        <w:t xml:space="preserve">Restore and expand Title X family planning funding from the current restricted level to $400–500M/year. This is a discretionary appropriation increase. The FY2024 enacted Title X appropriation was approximately $286M; pre-restriction level was approximately $340M/year.</w:t>
      </w:r>
    </w:p>
    <w:p>
      <w:pPr>
        <w:pStyle w:val="ListParagraph"/>
        <w:numPr>
          <w:ilvl w:val="0"/>
          <w:numId w:val="2"/>
        </w:numPr>
        <w:spacing w:after="40" w:before="40"/>
      </w:pPr>
      <w:r>
        <w:rPr>
          <w:rFonts w:ascii="Arial" w:cs="Arial" w:eastAsia="Arial" w:hAnsi="Arial"/>
          <w:sz w:val="20"/>
          <w:szCs w:val="20"/>
        </w:rPr>
        <w:t xml:space="preserve">Require coverage of all FDA-approved contraceptive methods without cost-sharing under the ACA, closing the grandfathered plan exemption. Mandatory ACA provision; cost is primarily borne by insurers but affects the actuarial value of ACA-compliant plans, potentially affecting premium tax credit costs.</w:t>
      </w:r>
    </w:p>
    <w:p>
      <w:pPr>
        <w:pStyle w:val="ListParagraph"/>
        <w:numPr>
          <w:ilvl w:val="0"/>
          <w:numId w:val="2"/>
        </w:numPr>
        <w:spacing w:after="40" w:before="40"/>
      </w:pPr>
      <w:r>
        <w:rPr>
          <w:rFonts w:ascii="Arial" w:cs="Arial" w:eastAsia="Arial" w:hAnsi="Arial"/>
          <w:sz w:val="20"/>
          <w:szCs w:val="20"/>
        </w:rPr>
        <w:t xml:space="preserve">Mandate 12-month Medicaid postpartum coverage (extended from 60 days). Most states have already adopted 12-month postpartum coverage using the ARP option; this makes it a federal floor. States that have not adopted it face a mandatory spending increase.</w:t>
      </w:r>
    </w:p>
    <w:p>
      <w:pPr>
        <w:pStyle w:val="ListParagraph"/>
        <w:numPr>
          <w:ilvl w:val="0"/>
          <w:numId w:val="2"/>
        </w:numPr>
        <w:spacing w:after="40" w:before="40"/>
      </w:pPr>
      <w:r>
        <w:rPr>
          <w:rFonts w:ascii="Arial" w:cs="Arial" w:eastAsia="Arial" w:hAnsi="Arial"/>
          <w:sz w:val="20"/>
          <w:szCs w:val="20"/>
        </w:rPr>
        <w:t xml:space="preserve">Maternal Health Emergency Act: $5B over 5 years ($1B/year) for maternal health centers, rural obstetric units, midwifery training, and postpartum care. Discretionary appropriation.</w:t>
      </w:r>
    </w:p>
    <w:p>
      <w:pPr>
        <w:pStyle w:val="Heading2"/>
        <w:spacing w:after="80" w:before="240"/>
      </w:pPr>
      <w:r>
        <w:rPr>
          <w:rFonts w:ascii="Arial" w:cs="Arial" w:eastAsia="Arial" w:hAnsi="Arial"/>
          <w:b/>
          <w:bCs/>
          <w:sz w:val="24"/>
          <w:szCs w:val="24"/>
        </w:rPr>
        <w:t xml:space="preserve">2.10 Agency Restoration — Discretionary Appropriations</w:t>
      </w:r>
    </w:p>
    <w:p>
      <w:pPr>
        <w:pStyle w:val="ListParagraph"/>
        <w:numPr>
          <w:ilvl w:val="0"/>
          <w:numId w:val="2"/>
        </w:numPr>
        <w:spacing w:after="40" w:before="40"/>
      </w:pPr>
      <w:r>
        <w:rPr>
          <w:rFonts w:ascii="Arial" w:cs="Arial" w:eastAsia="Arial" w:hAnsi="Arial"/>
          <w:sz w:val="20"/>
          <w:szCs w:val="20"/>
        </w:rPr>
        <w:t xml:space="preserve">Restore Centers for Disease Control and Prevention (CDC) to FY2024 enacted level of approximately $9.2B/year. Current administration (FY2026 proposed) budget would cut CDC by 53% from FY2024; restoration is a discretionary spending increase from proposed levels. Scored against the FY2026 enacted baseline, not FY2024, for the 10-year window.</w:t>
      </w:r>
    </w:p>
    <w:p>
      <w:pPr>
        <w:pStyle w:val="ListParagraph"/>
        <w:numPr>
          <w:ilvl w:val="0"/>
          <w:numId w:val="2"/>
        </w:numPr>
        <w:spacing w:after="40" w:before="40"/>
      </w:pPr>
      <w:r>
        <w:rPr>
          <w:rFonts w:ascii="Arial" w:cs="Arial" w:eastAsia="Arial" w:hAnsi="Arial"/>
          <w:sz w:val="20"/>
          <w:szCs w:val="20"/>
        </w:rPr>
        <w:t xml:space="preserve">Restore National Institutes of Health (NIH) to FY2025 enacted program funding level of $47.0B/year (FY2024: $47.4B). Trump FY2026 request proposed cutting NIH to $27.9B. Restoration and expansion to $50B/year (an ambitious progressive target above FY2025 level) represents a discretionary increase of approximately $22B/year above the FY2026 proposed level.</w:t>
      </w:r>
    </w:p>
    <w:p>
      <w:pPr>
        <w:spacing w:after="40" w:before="40"/>
        <w:ind w:left="360"/>
      </w:pPr>
      <w:r>
        <w:rPr>
          <w:rFonts w:ascii="Arial" w:cs="Arial" w:eastAsia="Arial" w:hAnsi="Arial"/>
          <w:i/>
          <w:iCs/>
          <w:color w:val="555555"/>
          <w:sz w:val="18"/>
          <w:szCs w:val="18"/>
        </w:rPr>
        <w:t xml:space="preserve">[Note: NIH figure: CRS R43341. FY2025 total NIH program level = $46.995B; FY2024 = $47.352B. Proposed expansion to $50B/year adds approximately $3B/year above pre-DOGE level.]</w:t>
      </w:r>
    </w:p>
    <w:p>
      <w:pPr>
        <w:pStyle w:val="ListParagraph"/>
        <w:numPr>
          <w:ilvl w:val="0"/>
          <w:numId w:val="2"/>
        </w:numPr>
        <w:spacing w:after="40" w:before="40"/>
      </w:pPr>
      <w:r>
        <w:rPr>
          <w:rFonts w:ascii="Arial" w:cs="Arial" w:eastAsia="Arial" w:hAnsi="Arial"/>
          <w:sz w:val="20"/>
          <w:szCs w:val="20"/>
        </w:rPr>
        <w:t xml:space="preserve">Restore Health Resources and Services Administration (HRSA) to FY2024 enacted discretionary appropriation of $8.89B/year (total budget authority including mandatory: approximately $16.2B). HRSA administers the National Health Service Corps, FQHCs, rural health programs, and maternal/child health. Discretionary increase.</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3: IMMIGRATION</w:t>
      </w:r>
    </w:p>
    <w:p>
      <w:pPr>
        <w:spacing w:after="60" w:before="60"/>
      </w:pPr>
      <w:r>
        <w:rPr>
          <w:rFonts w:ascii="Arial" w:cs="Arial" w:eastAsia="Arial" w:hAnsi="Arial"/>
          <w:sz w:val="20"/>
          <w:szCs w:val="20"/>
        </w:rPr>
        <w:t xml:space="preserve">All items in this section are new discretionary appropriations or changes to existing programs unless otherwise noted.</w:t>
      </w:r>
    </w:p>
    <w:p>
      <w:pPr>
        <w:spacing w:after="60" w:before="60"/>
      </w:pPr>
    </w:p>
    <w:p>
      <w:pPr>
        <w:pStyle w:val="ListParagraph"/>
        <w:numPr>
          <w:ilvl w:val="0"/>
          <w:numId w:val="2"/>
        </w:numPr>
        <w:spacing w:after="40" w:before="40"/>
      </w:pPr>
      <w:r>
        <w:rPr>
          <w:rFonts w:ascii="Arial" w:cs="Arial" w:eastAsia="Arial" w:hAnsi="Arial"/>
          <w:sz w:val="20"/>
          <w:szCs w:val="20"/>
        </w:rPr>
        <w:t xml:space="preserve">Border technology appropriation: $30B over 5 years ($6B/year) for sensors, aerial surveillance, inspection equipment at ports of entry, fentanyl detection technology, and biometric/digital processing infrastructure. Discretionary.</w:t>
      </w:r>
    </w:p>
    <w:p>
      <w:pPr>
        <w:pStyle w:val="ListParagraph"/>
        <w:numPr>
          <w:ilvl w:val="0"/>
          <w:numId w:val="2"/>
        </w:numPr>
        <w:spacing w:after="40" w:before="40"/>
      </w:pPr>
      <w:r>
        <w:rPr>
          <w:rFonts w:ascii="Arial" w:cs="Arial" w:eastAsia="Arial" w:hAnsi="Arial"/>
          <w:sz w:val="20"/>
          <w:szCs w:val="20"/>
        </w:rPr>
        <w:t xml:space="preserve">Hire 8,500 additional U.S. Customs and Border Protection officers, 5,000 additional immigration judges, and 4,500 additional immigration attorneys. Personnel costs: estimated $2–3B/year at full staffing (salary, benefits, facilities). Discretionary.</w:t>
      </w:r>
    </w:p>
    <w:p>
      <w:pPr>
        <w:pStyle w:val="ListParagraph"/>
        <w:numPr>
          <w:ilvl w:val="0"/>
          <w:numId w:val="2"/>
        </w:numPr>
        <w:spacing w:after="40" w:before="40"/>
      </w:pPr>
      <w:r>
        <w:rPr>
          <w:rFonts w:ascii="Arial" w:cs="Arial" w:eastAsia="Arial" w:hAnsi="Arial"/>
          <w:sz w:val="20"/>
          <w:szCs w:val="20"/>
        </w:rPr>
        <w:t xml:space="preserve">USCIS, State Department, and Department of Labor backlog elimination: $3.6B appropriation for hiring and technology upgrades specifically for backlog reduction. One-time or multi-year discretionary appropriation.</w:t>
      </w:r>
    </w:p>
    <w:p>
      <w:pPr>
        <w:pStyle w:val="ListParagraph"/>
        <w:numPr>
          <w:ilvl w:val="0"/>
          <w:numId w:val="2"/>
        </w:numPr>
        <w:spacing w:after="40" w:before="40"/>
      </w:pPr>
      <w:r>
        <w:rPr>
          <w:rFonts w:ascii="Arial" w:cs="Arial" w:eastAsia="Arial" w:hAnsi="Arial"/>
          <w:sz w:val="20"/>
          <w:szCs w:val="20"/>
        </w:rPr>
        <w:t xml:space="preserve">Eliminate all private for-profit immigration detention contracts. Mandatory alternatives-to-detention (ATD) program: $2B/year. Current for-profit detention costs approximately $350/person/day; ATD costs approximately $17/person/day. Net fiscal impact depends on detained population size; at current (2025 peak) levels of approximately 66,000 detainees, this generates significant savings relative to detention ($8.4B/year at $350/day); ATD at $17/day costs approximately $410M/year. Net savings versus current detention: significant, but the framework does not reduce enforcement volume so the comparison should be to detention costs for the same population.</w:t>
      </w:r>
    </w:p>
    <w:p>
      <w:pPr>
        <w:pStyle w:val="ListParagraph"/>
        <w:numPr>
          <w:ilvl w:val="0"/>
          <w:numId w:val="2"/>
        </w:numPr>
        <w:spacing w:after="40" w:before="40"/>
      </w:pPr>
      <w:r>
        <w:rPr>
          <w:rFonts w:ascii="Arial" w:cs="Arial" w:eastAsia="Arial" w:hAnsi="Arial"/>
          <w:sz w:val="20"/>
          <w:szCs w:val="20"/>
        </w:rPr>
        <w:t xml:space="preserve">Fund in-country pre-screening facilities in Colombia, Guatemala, Ecuador, and transit countries: appropriation included in USAID/foreign affairs restoration (see Section 8).</w:t>
      </w:r>
    </w:p>
    <w:p>
      <w:pPr>
        <w:pStyle w:val="ListParagraph"/>
        <w:numPr>
          <w:ilvl w:val="0"/>
          <w:numId w:val="2"/>
        </w:numPr>
        <w:spacing w:after="40" w:before="40"/>
      </w:pPr>
      <w:r>
        <w:rPr>
          <w:rFonts w:ascii="Arial" w:cs="Arial" w:eastAsia="Arial" w:hAnsi="Arial"/>
          <w:sz w:val="20"/>
          <w:szCs w:val="20"/>
        </w:rPr>
        <w:t xml:space="preserve">Fund legal representation for asylum seekers in immigration court: estimated $500M–$1B/year. Discretionary.</w:t>
      </w:r>
    </w:p>
    <w:p>
      <w:pPr>
        <w:pStyle w:val="ListParagraph"/>
        <w:numPr>
          <w:ilvl w:val="0"/>
          <w:numId w:val="2"/>
        </w:numPr>
        <w:spacing w:after="40" w:before="40"/>
      </w:pPr>
      <w:r>
        <w:rPr>
          <w:rFonts w:ascii="Arial" w:cs="Arial" w:eastAsia="Arial" w:hAnsi="Arial"/>
          <w:sz w:val="20"/>
          <w:szCs w:val="20"/>
        </w:rPr>
        <w:t xml:space="preserve">Restore refugee admissions to 125,000/year with a statutory floor of 95,000. Restore resettlement organization contracts. Refugee admissions and resettlement cost approximately $14,000 per refugee in federal support in Year 1; at 125,000 admissions: approximately $1.75B/year. Discretionary appropriation.</w:t>
      </w:r>
    </w:p>
    <w:p>
      <w:pPr>
        <w:pStyle w:val="ListParagraph"/>
        <w:numPr>
          <w:ilvl w:val="0"/>
          <w:numId w:val="2"/>
        </w:numPr>
        <w:spacing w:after="40" w:before="40"/>
      </w:pPr>
      <w:r>
        <w:rPr>
          <w:rFonts w:ascii="Arial" w:cs="Arial" w:eastAsia="Arial" w:hAnsi="Arial"/>
          <w:sz w:val="20"/>
          <w:szCs w:val="20"/>
        </w:rPr>
        <w:t xml:space="preserve">Central American and Caribbean Root Causes Strategy: $8B over 5 years ($1.6B/year). Discretionary. Funded through State/USAID appropriations.</w:t>
      </w:r>
    </w:p>
    <w:p>
      <w:pPr>
        <w:pStyle w:val="ListParagraph"/>
        <w:numPr>
          <w:ilvl w:val="0"/>
          <w:numId w:val="2"/>
        </w:numPr>
        <w:spacing w:after="40" w:before="40"/>
      </w:pPr>
      <w:r>
        <w:rPr>
          <w:rFonts w:ascii="Arial" w:cs="Arial" w:eastAsia="Arial" w:hAnsi="Arial"/>
          <w:sz w:val="20"/>
          <w:szCs w:val="20"/>
        </w:rPr>
        <w:t xml:space="preserve">Earned Legalization Program (10-13 year pathway for approximately 10–12 million people): generates fiscal revenues over time through increased tax compliance, as legalized workers earn formal wages and pay full payroll and income taxes. CBO's analysis of the 2013 Gang of Eight bill found comprehensive reform to be net fiscally positive by approximately $1.5T over 20 years. Near-term mandatory spending increases (Medicaid eligibility, EITC, etc.) are more than offset by revenue gains over the 10-year window, though the balance in the first 5 years may be negative. CBO should score on a 10-year and 20-year window.</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4: DEMOCRACY, GOVERNANCE, AND ANTI-CORRUPTION</w:t>
      </w:r>
    </w:p>
    <w:p>
      <w:pPr>
        <w:spacing w:after="60" w:before="60"/>
      </w:pPr>
    </w:p>
    <w:p>
      <w:pPr>
        <w:pStyle w:val="Heading2"/>
        <w:spacing w:after="80" w:before="240"/>
      </w:pPr>
      <w:r>
        <w:rPr>
          <w:rFonts w:ascii="Arial" w:cs="Arial" w:eastAsia="Arial" w:hAnsi="Arial"/>
          <w:b/>
          <w:bCs/>
          <w:sz w:val="24"/>
          <w:szCs w:val="24"/>
        </w:rPr>
        <w:t xml:space="preserve">4.1 Inspector General System</w:t>
      </w:r>
    </w:p>
    <w:p>
      <w:pPr>
        <w:pStyle w:val="ListParagraph"/>
        <w:numPr>
          <w:ilvl w:val="0"/>
          <w:numId w:val="2"/>
        </w:numPr>
        <w:spacing w:after="40" w:before="40"/>
      </w:pPr>
      <w:r>
        <w:rPr>
          <w:rFonts w:ascii="Arial" w:cs="Arial" w:eastAsia="Arial" w:hAnsi="Arial"/>
          <w:sz w:val="20"/>
          <w:szCs w:val="20"/>
        </w:rPr>
        <w:t xml:space="preserve">Restore all Inspector General offices to FY2024 staffing and funding levels: discretionary appropriation. Aggregate IG office funding across the federal government was approximately $3.5B/year in FY2024; DOGE-era cuts reduced this by approximately 16.6% (~$580M/year). Restoration = +$580M/year discretionary.</w:t>
      </w:r>
    </w:p>
    <w:p>
      <w:pPr>
        <w:pStyle w:val="ListParagraph"/>
        <w:numPr>
          <w:ilvl w:val="0"/>
          <w:numId w:val="2"/>
        </w:numPr>
        <w:spacing w:after="40" w:before="40"/>
      </w:pPr>
      <w:r>
        <w:rPr>
          <w:rFonts w:ascii="Arial" w:cs="Arial" w:eastAsia="Arial" w:hAnsi="Arial"/>
          <w:sz w:val="20"/>
          <w:szCs w:val="20"/>
        </w:rPr>
        <w:t xml:space="preserve">Create an Office of Whistleblower Protection independent of agency IGs, reporting directly to Congress: new discretionary appropriation, estimated $50–100M/year.</w:t>
      </w:r>
    </w:p>
    <w:p>
      <w:pPr>
        <w:pStyle w:val="Heading2"/>
        <w:spacing w:after="80" w:before="240"/>
      </w:pPr>
      <w:r>
        <w:rPr>
          <w:rFonts w:ascii="Arial" w:cs="Arial" w:eastAsia="Arial" w:hAnsi="Arial"/>
          <w:b/>
          <w:bCs/>
          <w:sz w:val="24"/>
          <w:szCs w:val="24"/>
        </w:rPr>
        <w:t xml:space="preserve">4.2 Civil Service and Merit System</w:t>
      </w:r>
    </w:p>
    <w:p>
      <w:pPr>
        <w:pStyle w:val="ListParagraph"/>
        <w:numPr>
          <w:ilvl w:val="0"/>
          <w:numId w:val="2"/>
        </w:numPr>
        <w:spacing w:after="40" w:before="40"/>
      </w:pPr>
      <w:r>
        <w:rPr>
          <w:rFonts w:ascii="Arial" w:cs="Arial" w:eastAsia="Arial" w:hAnsi="Arial"/>
          <w:sz w:val="20"/>
          <w:szCs w:val="20"/>
        </w:rPr>
        <w:t xml:space="preserve">Repeal Schedule Policy/Career and restore approximately 50,000 positions to competitive service: budgetary cost is primarily in retroactive personnel actions (back pay for wrongful terminations, settlement costs). One-time mandatory/discretionary cost; CBO should score based on estimated number of successful appeals and average settlement value.</w:t>
      </w:r>
    </w:p>
    <w:p>
      <w:pPr>
        <w:pStyle w:val="ListParagraph"/>
        <w:numPr>
          <w:ilvl w:val="0"/>
          <w:numId w:val="2"/>
        </w:numPr>
        <w:spacing w:after="40" w:before="40"/>
      </w:pPr>
      <w:r>
        <w:rPr>
          <w:rFonts w:ascii="Arial" w:cs="Arial" w:eastAsia="Arial" w:hAnsi="Arial"/>
          <w:sz w:val="20"/>
          <w:szCs w:val="20"/>
        </w:rPr>
        <w:t xml:space="preserve">Hire 200 additional Merit Systems Protection Board administrative judges and establish a 90-day case resolution standard: discretionary, approximately $50M/year.</w:t>
      </w:r>
    </w:p>
    <w:p>
      <w:pPr>
        <w:pStyle w:val="Heading2"/>
        <w:spacing w:after="80" w:before="240"/>
      </w:pPr>
      <w:r>
        <w:rPr>
          <w:rFonts w:ascii="Arial" w:cs="Arial" w:eastAsia="Arial" w:hAnsi="Arial"/>
          <w:b/>
          <w:bCs/>
          <w:sz w:val="24"/>
          <w:szCs w:val="24"/>
        </w:rPr>
        <w:t xml:space="preserve">4.3 DOJ Enforcement</w:t>
      </w:r>
    </w:p>
    <w:p>
      <w:pPr>
        <w:pStyle w:val="ListParagraph"/>
        <w:numPr>
          <w:ilvl w:val="0"/>
          <w:numId w:val="2"/>
        </w:numPr>
        <w:spacing w:after="40" w:before="40"/>
      </w:pPr>
      <w:r>
        <w:rPr>
          <w:rFonts w:ascii="Arial" w:cs="Arial" w:eastAsia="Arial" w:hAnsi="Arial"/>
          <w:sz w:val="20"/>
          <w:szCs w:val="20"/>
        </w:rPr>
        <w:t xml:space="preserve">Restore and expand Foreign Corrupt Practices Act enforcement unit: 100 additional enforcement attorneys at DOJ. Discretionary, approximately $30–50M/year.</w:t>
      </w:r>
    </w:p>
    <w:p>
      <w:pPr>
        <w:pStyle w:val="Heading2"/>
        <w:spacing w:after="80" w:before="240"/>
      </w:pPr>
      <w:r>
        <w:rPr>
          <w:rFonts w:ascii="Arial" w:cs="Arial" w:eastAsia="Arial" w:hAnsi="Arial"/>
          <w:b/>
          <w:bCs/>
          <w:sz w:val="24"/>
          <w:szCs w:val="24"/>
        </w:rPr>
        <w:t xml:space="preserve">4.4 Government Technology Modernization</w:t>
      </w:r>
    </w:p>
    <w:p>
      <w:pPr>
        <w:pStyle w:val="ListParagraph"/>
        <w:numPr>
          <w:ilvl w:val="0"/>
          <w:numId w:val="2"/>
        </w:numPr>
        <w:spacing w:after="40" w:before="40"/>
      </w:pPr>
      <w:r>
        <w:rPr>
          <w:rFonts w:ascii="Arial" w:cs="Arial" w:eastAsia="Arial" w:hAnsi="Arial"/>
          <w:sz w:val="20"/>
          <w:szCs w:val="20"/>
        </w:rPr>
        <w:t xml:space="preserve">United States Digital Service: statutory charter and $500M/year permanent annual appropriation (increased from current ad hoc funding). Discretionary.</w:t>
      </w:r>
    </w:p>
    <w:p>
      <w:pPr>
        <w:pStyle w:val="ListParagraph"/>
        <w:numPr>
          <w:ilvl w:val="0"/>
          <w:numId w:val="2"/>
        </w:numPr>
        <w:spacing w:after="40" w:before="40"/>
      </w:pPr>
      <w:r>
        <w:rPr>
          <w:rFonts w:ascii="Arial" w:cs="Arial" w:eastAsia="Arial" w:hAnsi="Arial"/>
          <w:sz w:val="20"/>
          <w:szCs w:val="20"/>
        </w:rPr>
        <w:t xml:space="preserve">Government Technology Modernization Fund: $50B over 10 years ($5B/year) for legacy system replacement, cybersecurity hardening, and user experience redesign across federal benefits systems. Discretionary capital investment.</w:t>
      </w:r>
    </w:p>
    <w:p>
      <w:pPr>
        <w:pStyle w:val="ListParagraph"/>
        <w:numPr>
          <w:ilvl w:val="0"/>
          <w:numId w:val="2"/>
        </w:numPr>
        <w:spacing w:after="40" w:before="40"/>
      </w:pPr>
      <w:r>
        <w:rPr>
          <w:rFonts w:ascii="Arial" w:cs="Arial" w:eastAsia="Arial" w:hAnsi="Arial"/>
          <w:sz w:val="20"/>
          <w:szCs w:val="20"/>
        </w:rPr>
        <w:t xml:space="preserve">Restore Login.gov as universal federal digital identity: fund state adoption at 50% federal match. Estimated $1–2B over 5 years. Discretionary.</w:t>
      </w:r>
    </w:p>
    <w:p>
      <w:pPr>
        <w:pStyle w:val="ListParagraph"/>
        <w:numPr>
          <w:ilvl w:val="0"/>
          <w:numId w:val="2"/>
        </w:numPr>
        <w:spacing w:after="40" w:before="40"/>
      </w:pPr>
      <w:r>
        <w:rPr>
          <w:rFonts w:ascii="Arial" w:cs="Arial" w:eastAsia="Arial" w:hAnsi="Arial"/>
          <w:sz w:val="20"/>
          <w:szCs w:val="20"/>
        </w:rPr>
        <w:t xml:space="preserve">Create unified federal benefits eligibility engine; fund 10,000 community-based 'No Wrong Door' benefits navigators at libraries, health centers, and social services offices. Discretionary, approximately $500M–$1B/year.</w:t>
      </w:r>
    </w:p>
    <w:p>
      <w:pPr>
        <w:pStyle w:val="ListParagraph"/>
        <w:numPr>
          <w:ilvl w:val="0"/>
          <w:numId w:val="2"/>
        </w:numPr>
        <w:spacing w:after="40" w:before="40"/>
      </w:pPr>
      <w:r>
        <w:rPr>
          <w:rFonts w:ascii="Arial" w:cs="Arial" w:eastAsia="Arial" w:hAnsi="Arial"/>
          <w:sz w:val="20"/>
          <w:szCs w:val="20"/>
        </w:rPr>
        <w:t xml:space="preserve">IRS Direct File permanent universal free filing: discretionary appropriation for IRS to operate and maintain the system. Estimated $75–150M/year in IRS operational costs; this is offset by reduced tax preparation industry spending (off-budget benefit to households).</w:t>
      </w:r>
    </w:p>
    <w:p>
      <w:pPr>
        <w:pStyle w:val="Heading2"/>
        <w:spacing w:after="80" w:before="240"/>
      </w:pPr>
      <w:r>
        <w:rPr>
          <w:rFonts w:ascii="Arial" w:cs="Arial" w:eastAsia="Arial" w:hAnsi="Arial"/>
          <w:b/>
          <w:bCs/>
          <w:sz w:val="24"/>
          <w:szCs w:val="24"/>
        </w:rPr>
        <w:t xml:space="preserve">4.5 Veterans Affairs</w:t>
      </w:r>
    </w:p>
    <w:p>
      <w:pPr>
        <w:pStyle w:val="ListParagraph"/>
        <w:numPr>
          <w:ilvl w:val="0"/>
          <w:numId w:val="2"/>
        </w:numPr>
        <w:spacing w:after="40" w:before="40"/>
      </w:pPr>
      <w:r>
        <w:rPr>
          <w:rFonts w:ascii="Arial" w:cs="Arial" w:eastAsia="Arial" w:hAnsi="Arial"/>
          <w:sz w:val="20"/>
          <w:szCs w:val="20"/>
        </w:rPr>
        <w:t xml:space="preserve">Fund 500 new VA community-based outpatient clinics in underserved rural and tribal areas. Capital and operational costs: estimated $2–4B/year in new mandatory/discretionary VA spending.</w:t>
      </w:r>
    </w:p>
    <w:p>
      <w:pPr>
        <w:pStyle w:val="ListParagraph"/>
        <w:numPr>
          <w:ilvl w:val="0"/>
          <w:numId w:val="2"/>
        </w:numPr>
        <w:spacing w:after="40" w:before="40"/>
      </w:pPr>
      <w:r>
        <w:rPr>
          <w:rFonts w:ascii="Arial" w:cs="Arial" w:eastAsia="Arial" w:hAnsi="Arial"/>
          <w:sz w:val="20"/>
          <w:szCs w:val="20"/>
        </w:rPr>
        <w:t xml:space="preserve">Complete VA electronic health record modernization (already underway; accelerate and fund to completion): discretionary. Existing Oracle/Cerner contract is approximately $16B total; acceleration may require additional appropriations.</w:t>
      </w:r>
    </w:p>
    <w:p>
      <w:pPr>
        <w:pStyle w:val="Heading2"/>
        <w:spacing w:after="80" w:before="240"/>
      </w:pPr>
      <w:r>
        <w:rPr>
          <w:rFonts w:ascii="Arial" w:cs="Arial" w:eastAsia="Arial" w:hAnsi="Arial"/>
          <w:b/>
          <w:bCs/>
          <w:sz w:val="24"/>
          <w:szCs w:val="24"/>
        </w:rPr>
        <w:t xml:space="preserve">4.6 Campaign Finance Matching (Revenue-Funded)</w:t>
      </w:r>
    </w:p>
    <w:p>
      <w:pPr>
        <w:pStyle w:val="ListParagraph"/>
        <w:numPr>
          <w:ilvl w:val="0"/>
          <w:numId w:val="2"/>
        </w:numPr>
        <w:spacing w:after="40" w:before="40"/>
      </w:pPr>
      <w:r>
        <w:rPr>
          <w:rFonts w:ascii="Arial" w:cs="Arial" w:eastAsia="Arial" w:hAnsi="Arial"/>
          <w:sz w:val="20"/>
          <w:szCs w:val="20"/>
        </w:rPr>
        <w:t xml:space="preserve">Federal 6:1 small-dollar donation matching program for federal candidates (donations up to $200 matched at 6:1). See Section 1.11. Mandatory spending funded by carried interest loophole closure (Section 1.8). Estimated $2–5B per election cycle.</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5: ECONOMIC FAIRNESS</w:t>
      </w:r>
    </w:p>
    <w:p>
      <w:pPr>
        <w:spacing w:after="60" w:before="60"/>
      </w:pPr>
    </w:p>
    <w:p>
      <w:pPr>
        <w:pStyle w:val="Heading2"/>
        <w:spacing w:after="80" w:before="240"/>
      </w:pPr>
      <w:r>
        <w:rPr>
          <w:rFonts w:ascii="Arial" w:cs="Arial" w:eastAsia="Arial" w:hAnsi="Arial"/>
          <w:b/>
          <w:bCs/>
          <w:sz w:val="24"/>
          <w:szCs w:val="24"/>
        </w:rPr>
        <w:t xml:space="preserve">5.1 Antitrust Enforcement</w:t>
      </w:r>
    </w:p>
    <w:p>
      <w:pPr>
        <w:pStyle w:val="ListParagraph"/>
        <w:numPr>
          <w:ilvl w:val="0"/>
          <w:numId w:val="2"/>
        </w:numPr>
        <w:spacing w:after="40" w:before="40"/>
      </w:pPr>
      <w:r>
        <w:rPr>
          <w:rFonts w:ascii="Arial" w:cs="Arial" w:eastAsia="Arial" w:hAnsi="Arial"/>
          <w:sz w:val="20"/>
          <w:szCs w:val="20"/>
        </w:rPr>
        <w:t xml:space="preserve">Double FTC budget over 5 years: from current approximately $430M/year to $800M/year. Annual discretionary increase of approximately $370M at full phase-in.</w:t>
      </w:r>
    </w:p>
    <w:p>
      <w:pPr>
        <w:pStyle w:val="ListParagraph"/>
        <w:numPr>
          <w:ilvl w:val="0"/>
          <w:numId w:val="2"/>
        </w:numPr>
        <w:spacing w:after="40" w:before="40"/>
      </w:pPr>
      <w:r>
        <w:rPr>
          <w:rFonts w:ascii="Arial" w:cs="Arial" w:eastAsia="Arial" w:hAnsi="Arial"/>
          <w:sz w:val="20"/>
          <w:szCs w:val="20"/>
        </w:rPr>
        <w:t xml:space="preserve">Double DOJ Antitrust Division budget over 5 years: from current approximately $270M/year to approximately $540M/year. Annual discretionary increase of approximately $270M at full phase-in.</w:t>
      </w:r>
    </w:p>
    <w:p>
      <w:pPr>
        <w:pStyle w:val="ListParagraph"/>
        <w:numPr>
          <w:ilvl w:val="0"/>
          <w:numId w:val="2"/>
        </w:numPr>
        <w:spacing w:after="40" w:before="40"/>
      </w:pPr>
      <w:r>
        <w:rPr>
          <w:rFonts w:ascii="Arial" w:cs="Arial" w:eastAsia="Arial" w:hAnsi="Arial"/>
          <w:sz w:val="20"/>
          <w:szCs w:val="20"/>
        </w:rPr>
        <w:t xml:space="preserve">Create a Federal-State Antitrust Coordination Office at DOJ and fund state AGs for parallel cases: discretionary, approximately $100–200M/year.</w:t>
      </w:r>
    </w:p>
    <w:p>
      <w:pPr>
        <w:pStyle w:val="ListParagraph"/>
        <w:numPr>
          <w:ilvl w:val="0"/>
          <w:numId w:val="2"/>
        </w:numPr>
        <w:spacing w:after="40" w:before="40"/>
      </w:pPr>
      <w:r>
        <w:rPr>
          <w:rFonts w:ascii="Arial" w:cs="Arial" w:eastAsia="Arial" w:hAnsi="Arial"/>
          <w:sz w:val="20"/>
          <w:szCs w:val="20"/>
        </w:rPr>
        <w:t xml:space="preserve">Create a Health Care Market Oversight Authority within the FTC with dedicated staffing and authority: discretionary, approximately $100–200M/year (within the FTC budget expansion above).</w:t>
      </w:r>
    </w:p>
    <w:p>
      <w:pPr>
        <w:pStyle w:val="Heading2"/>
        <w:spacing w:after="80" w:before="240"/>
      </w:pPr>
      <w:r>
        <w:rPr>
          <w:rFonts w:ascii="Arial" w:cs="Arial" w:eastAsia="Arial" w:hAnsi="Arial"/>
          <w:b/>
          <w:bCs/>
          <w:sz w:val="24"/>
          <w:szCs w:val="24"/>
        </w:rPr>
        <w:t xml:space="preserve">5.2 Worker Protections</w:t>
      </w:r>
    </w:p>
    <w:p>
      <w:pPr>
        <w:pStyle w:val="ListParagraph"/>
        <w:numPr>
          <w:ilvl w:val="0"/>
          <w:numId w:val="2"/>
        </w:numPr>
        <w:spacing w:after="40" w:before="40"/>
      </w:pPr>
      <w:r>
        <w:rPr>
          <w:rFonts w:ascii="Arial" w:cs="Arial" w:eastAsia="Arial" w:hAnsi="Arial"/>
          <w:sz w:val="20"/>
          <w:szCs w:val="20"/>
        </w:rPr>
        <w:t xml:space="preserve">Raise federal minimum wage from $7.25/hour to $17/hour at 18 months post-enactment, and $19/hour at 36 months, indexed to CPI thereafter. Direct federal payroll impact: approximately 2 million federal contract workers receive higher wages (indirect mandatory spending effect). Indirect mandatory savings: reduced SNAP, Medicaid, and EITC outlays as wages rise (CBO estimates roughly $10–20B/year in reduced safety net spending at full phase-in). CBO note: minimum wage increases also affect federal employment costs and may affect tax revenues.</w:t>
      </w:r>
    </w:p>
    <w:p>
      <w:pPr>
        <w:pStyle w:val="ListParagraph"/>
        <w:numPr>
          <w:ilvl w:val="0"/>
          <w:numId w:val="2"/>
        </w:numPr>
        <w:spacing w:after="40" w:before="40"/>
      </w:pPr>
      <w:r>
        <w:rPr>
          <w:rFonts w:ascii="Arial" w:cs="Arial" w:eastAsia="Arial" w:hAnsi="Arial"/>
          <w:sz w:val="20"/>
          <w:szCs w:val="20"/>
        </w:rPr>
        <w:t xml:space="preserve">Expand NLRB budget from approximately $315M/year to $1B/year: discretionary increase of approximately $685M/year.</w:t>
      </w:r>
    </w:p>
    <w:p>
      <w:pPr>
        <w:pStyle w:val="ListParagraph"/>
        <w:numPr>
          <w:ilvl w:val="0"/>
          <w:numId w:val="2"/>
        </w:numPr>
        <w:spacing w:after="40" w:before="40"/>
      </w:pPr>
      <w:r>
        <w:rPr>
          <w:rFonts w:ascii="Arial" w:cs="Arial" w:eastAsia="Arial" w:hAnsi="Arial"/>
          <w:sz w:val="20"/>
          <w:szCs w:val="20"/>
        </w:rPr>
        <w:t xml:space="preserve">Hire 1,500 additional DOL Wage and Hour Division investigators: discretionary, approximately $200–300M/year in personnel costs.</w:t>
      </w:r>
    </w:p>
    <w:p>
      <w:pPr>
        <w:pStyle w:val="Heading2"/>
        <w:spacing w:after="80" w:before="240"/>
      </w:pPr>
      <w:r>
        <w:rPr>
          <w:rFonts w:ascii="Arial" w:cs="Arial" w:eastAsia="Arial" w:hAnsi="Arial"/>
          <w:b/>
          <w:bCs/>
          <w:sz w:val="24"/>
          <w:szCs w:val="24"/>
        </w:rPr>
        <w:t xml:space="preserve">5.3 Housing Investment</w:t>
      </w:r>
    </w:p>
    <w:p>
      <w:pPr>
        <w:pStyle w:val="ListParagraph"/>
        <w:numPr>
          <w:ilvl w:val="0"/>
          <w:numId w:val="2"/>
        </w:numPr>
        <w:spacing w:after="40" w:before="40"/>
      </w:pPr>
      <w:r>
        <w:rPr>
          <w:rFonts w:ascii="Arial" w:cs="Arial" w:eastAsia="Arial" w:hAnsi="Arial"/>
          <w:sz w:val="20"/>
          <w:szCs w:val="20"/>
        </w:rPr>
        <w:t xml:space="preserve">National Affordable Housing Trust Fund: $200B over 10 years ($20B/year) in capital grants to states, localities, and nonprofits for construction of affordable rental units. Mandatory or discretionary depending on legislative vehicle; structured as a dedicated trust fund.</w:t>
      </w:r>
    </w:p>
    <w:p>
      <w:pPr>
        <w:pStyle w:val="ListParagraph"/>
        <w:numPr>
          <w:ilvl w:val="0"/>
          <w:numId w:val="2"/>
        </w:numPr>
        <w:spacing w:after="40" w:before="40"/>
      </w:pPr>
      <w:r>
        <w:rPr>
          <w:rFonts w:ascii="Arial" w:cs="Arial" w:eastAsia="Arial" w:hAnsi="Arial"/>
          <w:sz w:val="20"/>
          <w:szCs w:val="20"/>
        </w:rPr>
        <w:t xml:space="preserve">'Yes In My Backyard' grant program: $20B over 10 years ($2B/year) for localities achieving housing production and zoning reform targets. Discretionary.</w:t>
      </w:r>
    </w:p>
    <w:p>
      <w:pPr>
        <w:pStyle w:val="ListParagraph"/>
        <w:numPr>
          <w:ilvl w:val="0"/>
          <w:numId w:val="2"/>
        </w:numPr>
        <w:spacing w:after="40" w:before="40"/>
      </w:pPr>
      <w:r>
        <w:rPr>
          <w:rFonts w:ascii="Arial" w:cs="Arial" w:eastAsia="Arial" w:hAnsi="Arial"/>
          <w:sz w:val="20"/>
          <w:szCs w:val="20"/>
        </w:rPr>
        <w:t xml:space="preserve">Transfer federal land (BLM, DOD, other agencies) to state and local governments at below-market cost for housing. Fiscal cost scored as the difference between appraised market value and transfer price; magnitude is difficult to estimate without specific parcel inventories but could range from $1–20B in forgone land proceeds.</w:t>
      </w:r>
    </w:p>
    <w:p>
      <w:pPr>
        <w:pStyle w:val="ListParagraph"/>
        <w:numPr>
          <w:ilvl w:val="0"/>
          <w:numId w:val="2"/>
        </w:numPr>
        <w:spacing w:after="40" w:before="40"/>
      </w:pPr>
      <w:r>
        <w:rPr>
          <w:rFonts w:ascii="Arial" w:cs="Arial" w:eastAsia="Arial" w:hAnsi="Arial"/>
          <w:sz w:val="20"/>
          <w:szCs w:val="20"/>
        </w:rPr>
        <w:t xml:space="preserve">Double Low-Income Housing Tax Credit allocation to states over 5 years; extend credits from 10 to 15 years; add 'missing middle' LIHTC tier for 80–120% AMI. Tax expenditure. Current LIHTC annual tax expenditure is approximately $14B/year; doubling over 5 years increases this to approximately $28B/year, with the extension adding additional expenditure in later years. Total additional 10-year tax expenditure: approximately $100–150B.</w:t>
      </w:r>
    </w:p>
    <w:p>
      <w:pPr>
        <w:pStyle w:val="ListParagraph"/>
        <w:numPr>
          <w:ilvl w:val="0"/>
          <w:numId w:val="2"/>
        </w:numPr>
        <w:spacing w:after="40" w:before="40"/>
      </w:pPr>
      <w:r>
        <w:rPr>
          <w:rFonts w:ascii="Arial" w:cs="Arial" w:eastAsia="Arial" w:hAnsi="Arial"/>
          <w:sz w:val="20"/>
          <w:szCs w:val="20"/>
        </w:rPr>
        <w:t xml:space="preserve">National High-Speed Rail Authority: $300B over 15 years (~$20B/year federal investment). Discretionary capital appropriation. Note: portions may be scored over a longer window depending on appropriations vehicle.</w:t>
      </w:r>
    </w:p>
    <w:p>
      <w:pPr>
        <w:pStyle w:val="ListParagraph"/>
        <w:numPr>
          <w:ilvl w:val="0"/>
          <w:numId w:val="2"/>
        </w:numPr>
        <w:spacing w:after="40" w:before="40"/>
      </w:pPr>
      <w:r>
        <w:rPr>
          <w:rFonts w:ascii="Arial" w:cs="Arial" w:eastAsia="Arial" w:hAnsi="Arial"/>
          <w:sz w:val="20"/>
          <w:szCs w:val="20"/>
        </w:rPr>
        <w:t xml:space="preserve">Transit-oriented development fund: $50B (discretionary grants to transit agencies for housing development on transit-owned land). Discretionary.</w:t>
      </w:r>
    </w:p>
    <w:p>
      <w:pPr>
        <w:pStyle w:val="ListParagraph"/>
        <w:numPr>
          <w:ilvl w:val="0"/>
          <w:numId w:val="2"/>
        </w:numPr>
        <w:spacing w:after="40" w:before="40"/>
      </w:pPr>
      <w:r>
        <w:rPr>
          <w:rFonts w:ascii="Arial" w:cs="Arial" w:eastAsia="Arial" w:hAnsi="Arial"/>
          <w:sz w:val="20"/>
          <w:szCs w:val="20"/>
        </w:rPr>
        <w:t xml:space="preserve">Community Land Trust capitalization: $10B over 10 years ($1B/year). Discretionary grants.</w:t>
      </w:r>
    </w:p>
    <w:p>
      <w:pPr>
        <w:pStyle w:val="ListParagraph"/>
        <w:numPr>
          <w:ilvl w:val="0"/>
          <w:numId w:val="2"/>
        </w:numPr>
        <w:spacing w:after="40" w:before="40"/>
      </w:pPr>
      <w:r>
        <w:rPr>
          <w:rFonts w:ascii="Arial" w:cs="Arial" w:eastAsia="Arial" w:hAnsi="Arial"/>
          <w:sz w:val="20"/>
          <w:szCs w:val="20"/>
        </w:rPr>
        <w:t xml:space="preserve">First-generation homebuyer down-payment assistance: $25,000 grants for qualifying households (income ≤120% AMI, neither buyer nor parents ever owned a home in the U.S.). Estimated 400,000–600,000 households/year. At $25,000 each: $10–15B/year. Mandatory or discretionary depending on program design.</w:t>
      </w:r>
    </w:p>
    <w:p>
      <w:pPr>
        <w:pStyle w:val="Heading2"/>
        <w:spacing w:after="80" w:before="240"/>
      </w:pPr>
      <w:r>
        <w:rPr>
          <w:rFonts w:ascii="Arial" w:cs="Arial" w:eastAsia="Arial" w:hAnsi="Arial"/>
          <w:b/>
          <w:bCs/>
          <w:sz w:val="24"/>
          <w:szCs w:val="24"/>
        </w:rPr>
        <w:t xml:space="preserve">5.4 Student Loans</w:t>
      </w:r>
    </w:p>
    <w:p>
      <w:pPr>
        <w:pStyle w:val="ListParagraph"/>
        <w:numPr>
          <w:ilvl w:val="0"/>
          <w:numId w:val="2"/>
        </w:numPr>
        <w:spacing w:after="40" w:before="40"/>
      </w:pPr>
      <w:r>
        <w:rPr>
          <w:rFonts w:ascii="Arial" w:cs="Arial" w:eastAsia="Arial" w:hAnsi="Arial"/>
          <w:sz w:val="20"/>
          <w:szCs w:val="20"/>
        </w:rPr>
        <w:t xml:space="preserve">One-time student loan debt relief: $50,000 cancellation for all Pell Grant recipients; $25,000 for other federal borrowers with income below $125,000 (single)/$250,000 (married). Restore tax exclusion for forgiven debt. Estimated gross cost: $750B–$1T (one-time mandatory spending/budget authority). This is the dominant single cost item in the education and economic fairness chapters.</w:t>
      </w:r>
    </w:p>
    <w:p>
      <w:pPr>
        <w:pStyle w:val="ListParagraph"/>
        <w:numPr>
          <w:ilvl w:val="0"/>
          <w:numId w:val="2"/>
        </w:numPr>
        <w:spacing w:after="40" w:before="40"/>
      </w:pPr>
      <w:r>
        <w:rPr>
          <w:rFonts w:ascii="Arial" w:cs="Arial" w:eastAsia="Arial" w:hAnsi="Arial"/>
          <w:sz w:val="20"/>
          <w:szCs w:val="20"/>
        </w:rPr>
        <w:t xml:space="preserve">Restore income-driven repayment (IDR) at 5% of discretionary income; cap total repayment at original loan principal (no interest accumulation above the borrowed amount); restore 10–25 year forgiveness timelines; restore Grad PLUS loans with aggregate lifetime limits; restore Parent PLUS income-based repayment. Mandatory spending: reduces projected loan repayment collections relative to OBBBA's Repayment Assistance Plan (RAP) structure. Estimated 10-year mandatory cost: $200–300B.</w:t>
      </w:r>
    </w:p>
    <w:p>
      <w:pPr>
        <w:pStyle w:val="ListParagraph"/>
        <w:numPr>
          <w:ilvl w:val="0"/>
          <w:numId w:val="2"/>
        </w:numPr>
        <w:spacing w:after="40" w:before="40"/>
      </w:pPr>
      <w:r>
        <w:rPr>
          <w:rFonts w:ascii="Arial" w:cs="Arial" w:eastAsia="Arial" w:hAnsi="Arial"/>
          <w:sz w:val="20"/>
          <w:szCs w:val="20"/>
        </w:rPr>
        <w:t xml:space="preserve">Restore and expand Public Service Loan Forgiveness; eliminate categorical exclusions; provide retroactive credit for involuntary forbearance months under SAVE. Mandatory spending. Estimated additional PSLF cost from expanded eligibility: $50–100B over 10 years.</w:t>
      </w:r>
    </w:p>
    <w:p>
      <w:pPr>
        <w:pStyle w:val="ListParagraph"/>
        <w:numPr>
          <w:ilvl w:val="0"/>
          <w:numId w:val="2"/>
        </w:numPr>
        <w:spacing w:after="40" w:before="40"/>
      </w:pPr>
      <w:r>
        <w:rPr>
          <w:rFonts w:ascii="Arial" w:cs="Arial" w:eastAsia="Arial" w:hAnsi="Arial"/>
          <w:sz w:val="20"/>
          <w:szCs w:val="20"/>
        </w:rPr>
        <w:t xml:space="preserve">Restore Borrower Defense to Repayment rule for defrauded borrowers. Mandatory loan cancellation; one-time cost dependent on pending claims inventory. Estimated $5–20B.</w:t>
      </w:r>
    </w:p>
    <w:p>
      <w:pPr>
        <w:pStyle w:val="Heading2"/>
        <w:spacing w:after="80" w:before="240"/>
      </w:pPr>
      <w:r>
        <w:rPr>
          <w:rFonts w:ascii="Arial" w:cs="Arial" w:eastAsia="Arial" w:hAnsi="Arial"/>
          <w:b/>
          <w:bCs/>
          <w:sz w:val="24"/>
          <w:szCs w:val="24"/>
        </w:rPr>
        <w:t xml:space="preserve">5.5 Financial System</w:t>
      </w:r>
    </w:p>
    <w:p>
      <w:pPr>
        <w:pStyle w:val="ListParagraph"/>
        <w:numPr>
          <w:ilvl w:val="0"/>
          <w:numId w:val="2"/>
        </w:numPr>
        <w:spacing w:after="40" w:before="40"/>
      </w:pPr>
      <w:r>
        <w:rPr>
          <w:rFonts w:ascii="Arial" w:cs="Arial" w:eastAsia="Arial" w:hAnsi="Arial"/>
          <w:sz w:val="20"/>
          <w:szCs w:val="20"/>
        </w:rPr>
        <w:t xml:space="preserve">Restore CFPB to full operational capacity; fund 500 additional FTC privacy enforcement staff. Discretionary, approximately $200–400M/year combined.</w:t>
      </w:r>
    </w:p>
    <w:p>
      <w:pPr>
        <w:pStyle w:val="ListParagraph"/>
        <w:numPr>
          <w:ilvl w:val="0"/>
          <w:numId w:val="2"/>
        </w:numPr>
        <w:spacing w:after="40" w:before="40"/>
      </w:pPr>
      <w:r>
        <w:rPr>
          <w:rFonts w:ascii="Arial" w:cs="Arial" w:eastAsia="Arial" w:hAnsi="Arial"/>
          <w:sz w:val="20"/>
          <w:szCs w:val="20"/>
        </w:rPr>
        <w:t xml:space="preserve">Authorize USPS postal banking (checking, savings, small-dollar loans, bill payment): USPS operational costs partially offset by fee revenues; net fiscal impact may be near-neutral or modestly positive for USPS. Does not require a federal appropriation; USPS self-funds through operations.</w:t>
      </w:r>
    </w:p>
    <w:p>
      <w:pPr>
        <w:pStyle w:val="Heading2"/>
        <w:spacing w:after="80" w:before="240"/>
      </w:pPr>
      <w:r>
        <w:rPr>
          <w:rFonts w:ascii="Arial" w:cs="Arial" w:eastAsia="Arial" w:hAnsi="Arial"/>
          <w:b/>
          <w:bCs/>
          <w:sz w:val="24"/>
          <w:szCs w:val="24"/>
        </w:rPr>
        <w:t xml:space="preserve">5.6 Trade and Industrial Policy</w:t>
      </w:r>
    </w:p>
    <w:p>
      <w:pPr>
        <w:pStyle w:val="ListParagraph"/>
        <w:numPr>
          <w:ilvl w:val="0"/>
          <w:numId w:val="2"/>
        </w:numPr>
        <w:spacing w:after="40" w:before="40"/>
      </w:pPr>
      <w:r>
        <w:rPr>
          <w:rFonts w:ascii="Arial" w:cs="Arial" w:eastAsia="Arial" w:hAnsi="Arial"/>
          <w:sz w:val="20"/>
          <w:szCs w:val="20"/>
        </w:rPr>
        <w:t xml:space="preserve">Process $166B in unconstitutional IEEPA tariff refunds to approximately 330,000 affected businesses within 180 days (following SCOTUS ruling in Learning Resources, Inc. v. Trump). Mandatory spending/direct outlay. One-time. Note: these refunds are of tariffs already collected; they represent a reduction in prior tariff revenues, scored as mandatory outlays.</w:t>
      </w:r>
    </w:p>
    <w:p>
      <w:pPr>
        <w:pStyle w:val="ListParagraph"/>
        <w:numPr>
          <w:ilvl w:val="0"/>
          <w:numId w:val="2"/>
        </w:numPr>
        <w:spacing w:after="40" w:before="40"/>
      </w:pPr>
      <w:r>
        <w:rPr>
          <w:rFonts w:ascii="Arial" w:cs="Arial" w:eastAsia="Arial" w:hAnsi="Arial"/>
          <w:sz w:val="20"/>
          <w:szCs w:val="20"/>
        </w:rPr>
        <w:t xml:space="preserve">Restore and expand IRA domestic content requirements and manufacturing tax credits (tax expenditures; original IRA clean energy manufacturing credits estimated at approximately $800B–$1T over 10 years; OBBBA eliminated or phased down many; restoration recovers the forgone tax expenditure trajectory).</w:t>
      </w:r>
    </w:p>
    <w:p>
      <w:pPr>
        <w:pStyle w:val="ListParagraph"/>
        <w:numPr>
          <w:ilvl w:val="0"/>
          <w:numId w:val="2"/>
        </w:numPr>
        <w:spacing w:after="40" w:before="40"/>
      </w:pPr>
      <w:r>
        <w:rPr>
          <w:rFonts w:ascii="Arial" w:cs="Arial" w:eastAsia="Arial" w:hAnsi="Arial"/>
          <w:sz w:val="20"/>
          <w:szCs w:val="20"/>
        </w:rPr>
        <w:t xml:space="preserve">Extend CHIPS and Science Act semiconductor manufacturing investment program beyond its original authorization. Discretionary; CHIPS Act provided approximately $52B total; extension requires new appropriation. New appropriation: estimated $20–30B over 5 years.</w:t>
      </w:r>
    </w:p>
    <w:p>
      <w:pPr>
        <w:pStyle w:val="ListParagraph"/>
        <w:numPr>
          <w:ilvl w:val="0"/>
          <w:numId w:val="2"/>
        </w:numPr>
        <w:spacing w:after="40" w:before="40"/>
      </w:pPr>
      <w:r>
        <w:rPr>
          <w:rFonts w:ascii="Arial" w:cs="Arial" w:eastAsia="Arial" w:hAnsi="Arial"/>
          <w:sz w:val="20"/>
          <w:szCs w:val="20"/>
        </w:rPr>
        <w:t xml:space="preserve">Manufacturing Communities Investment Act: $100B over 10 years ($10B/year) in grants and direct investment for deindustrialized communities. Discretionary.</w:t>
      </w:r>
    </w:p>
    <w:p>
      <w:pPr>
        <w:pStyle w:val="Heading2"/>
        <w:spacing w:after="80" w:before="240"/>
      </w:pPr>
      <w:r>
        <w:rPr>
          <w:rFonts w:ascii="Arial" w:cs="Arial" w:eastAsia="Arial" w:hAnsi="Arial"/>
          <w:b/>
          <w:bCs/>
          <w:sz w:val="24"/>
          <w:szCs w:val="24"/>
        </w:rPr>
        <w:t xml:space="preserve">5.7 Federal Permitting Staffing</w:t>
      </w:r>
    </w:p>
    <w:p>
      <w:pPr>
        <w:pStyle w:val="ListParagraph"/>
        <w:numPr>
          <w:ilvl w:val="0"/>
          <w:numId w:val="2"/>
        </w:numPr>
        <w:spacing w:after="40" w:before="40"/>
      </w:pPr>
      <w:r>
        <w:rPr>
          <w:rFonts w:ascii="Arial" w:cs="Arial" w:eastAsia="Arial" w:hAnsi="Arial"/>
          <w:sz w:val="20"/>
          <w:szCs w:val="20"/>
        </w:rPr>
        <w:t xml:space="preserve">Fund federal and state permitting agency staffing to meet new 18-month infrastructure shot clocks and 24-month FERC transmission shot clocks. Discretionary; estimated $500M–$1B/year in new federal agency staffing costs.</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6: CLIMATE AND ENERGY</w:t>
      </w:r>
    </w:p>
    <w:p>
      <w:pPr>
        <w:spacing w:after="60" w:before="60"/>
      </w:pPr>
    </w:p>
    <w:p>
      <w:pPr>
        <w:pStyle w:val="Heading2"/>
        <w:spacing w:after="80" w:before="240"/>
      </w:pPr>
      <w:r>
        <w:rPr>
          <w:rFonts w:ascii="Arial" w:cs="Arial" w:eastAsia="Arial" w:hAnsi="Arial"/>
          <w:b/>
          <w:bCs/>
          <w:sz w:val="24"/>
          <w:szCs w:val="24"/>
        </w:rPr>
        <w:t xml:space="preserve">6.1 Restored IRA Clean Energy Tax Credits (Tax Expenditures)</w:t>
      </w:r>
    </w:p>
    <w:p>
      <w:pPr>
        <w:spacing w:after="60" w:before="60"/>
      </w:pPr>
      <w:r>
        <w:rPr>
          <w:rFonts w:ascii="Arial" w:cs="Arial" w:eastAsia="Arial" w:hAnsi="Arial"/>
          <w:sz w:val="20"/>
          <w:szCs w:val="20"/>
        </w:rPr>
        <w:t xml:space="preserve">All items below restore tax credits repealed or degraded by the OBBBA. Score as restoration of previously enacted tax expenditures (recovering the CBO-scored IRA baseline that the OBBBA altered).</w:t>
      </w:r>
    </w:p>
    <w:p>
      <w:pPr>
        <w:pStyle w:val="ListParagraph"/>
        <w:numPr>
          <w:ilvl w:val="0"/>
          <w:numId w:val="2"/>
        </w:numPr>
        <w:spacing w:after="40" w:before="40"/>
      </w:pPr>
      <w:r>
        <w:rPr>
          <w:rFonts w:ascii="Arial" w:cs="Arial" w:eastAsia="Arial" w:hAnsi="Arial"/>
          <w:sz w:val="20"/>
          <w:szCs w:val="20"/>
        </w:rPr>
        <w:t xml:space="preserve">Residential Clean Energy Credit: restore 30% credit for solar panels, geothermal heat pumps, battery storage, and heat pump water heaters. Extended through 2035. Raise the Energy Efficient Home Improvement Credit annual cap from $3,200 to $4,500 per year, through 2035.</w:t>
      </w:r>
    </w:p>
    <w:p>
      <w:pPr>
        <w:pStyle w:val="ListParagraph"/>
        <w:numPr>
          <w:ilvl w:val="0"/>
          <w:numId w:val="2"/>
        </w:numPr>
        <w:spacing w:after="40" w:before="40"/>
      </w:pPr>
      <w:r>
        <w:rPr>
          <w:rFonts w:ascii="Arial" w:cs="Arial" w:eastAsia="Arial" w:hAnsi="Arial"/>
          <w:sz w:val="20"/>
          <w:szCs w:val="20"/>
        </w:rPr>
        <w:t xml:space="preserve">New Energy Efficient Home Credit (for builders) and Commercial Buildings Deduction: restore both, extended through 2035.</w:t>
      </w:r>
    </w:p>
    <w:p>
      <w:pPr>
        <w:pStyle w:val="ListParagraph"/>
        <w:numPr>
          <w:ilvl w:val="0"/>
          <w:numId w:val="2"/>
        </w:numPr>
        <w:spacing w:after="40" w:before="40"/>
      </w:pPr>
      <w:r>
        <w:rPr>
          <w:rFonts w:ascii="Arial" w:cs="Arial" w:eastAsia="Arial" w:hAnsi="Arial"/>
          <w:sz w:val="20"/>
          <w:szCs w:val="20"/>
        </w:rPr>
        <w:t xml:space="preserve">Section 30D EV Consumer Tax Credit: restore $7,500 credit; add point-of-sale rebate option (purchaser receives credit at dealership). Restore Section 45W Commercial Clean Vehicle Credit through 2032. Restore Section 30C EV Charging Infrastructure Credit with enhanced 40% credit for rural/low-income community installations.</w:t>
      </w:r>
    </w:p>
    <w:p>
      <w:pPr>
        <w:pStyle w:val="ListParagraph"/>
        <w:numPr>
          <w:ilvl w:val="0"/>
          <w:numId w:val="2"/>
        </w:numPr>
        <w:spacing w:after="40" w:before="40"/>
      </w:pPr>
      <w:r>
        <w:rPr>
          <w:rFonts w:ascii="Arial" w:cs="Arial" w:eastAsia="Arial" w:hAnsi="Arial"/>
          <w:sz w:val="20"/>
          <w:szCs w:val="20"/>
        </w:rPr>
        <w:t xml:space="preserve">Section 45Y Production Tax Credit and Section 48E Investment Tax Credit: restore full credits for solar and wind with no beginning-of-construction or placed-in-service deadline; eliminate OBBBA's phased-down domestic content penalties.</w:t>
      </w:r>
    </w:p>
    <w:p>
      <w:pPr>
        <w:pStyle w:val="ListParagraph"/>
        <w:numPr>
          <w:ilvl w:val="0"/>
          <w:numId w:val="2"/>
        </w:numPr>
        <w:spacing w:after="40" w:before="40"/>
      </w:pPr>
      <w:r>
        <w:rPr>
          <w:rFonts w:ascii="Arial" w:cs="Arial" w:eastAsia="Arial" w:hAnsi="Arial"/>
          <w:sz w:val="20"/>
          <w:szCs w:val="20"/>
        </w:rPr>
        <w:t xml:space="preserve">Section 45X advanced manufacturing production credits: extend through 2035 for batteries, solar components, wind components, and critical minerals. Estimated additional tax expenditure: approximately $100B over 10 years beyond the IRA schedule.</w:t>
      </w:r>
    </w:p>
    <w:p>
      <w:pPr>
        <w:pStyle w:val="ListParagraph"/>
        <w:numPr>
          <w:ilvl w:val="0"/>
          <w:numId w:val="2"/>
        </w:numPr>
        <w:spacing w:after="40" w:before="40"/>
      </w:pPr>
      <w:r>
        <w:rPr>
          <w:rFonts w:ascii="Arial" w:cs="Arial" w:eastAsia="Arial" w:hAnsi="Arial"/>
          <w:sz w:val="20"/>
          <w:szCs w:val="20"/>
        </w:rPr>
        <w:t xml:space="preserve">Maintain Section 45U nuclear production credit and Section 45Q carbon capture and sequestration credit (these survived the OBBBA; cost is in baseline).</w:t>
      </w:r>
    </w:p>
    <w:p>
      <w:pPr>
        <w:spacing w:after="40" w:before="40"/>
        <w:ind w:left="360"/>
      </w:pPr>
      <w:r>
        <w:rPr>
          <w:rFonts w:ascii="Arial" w:cs="Arial" w:eastAsia="Arial" w:hAnsi="Arial"/>
          <w:i/>
          <w:iCs/>
          <w:color w:val="555555"/>
          <w:sz w:val="18"/>
          <w:szCs w:val="18"/>
        </w:rPr>
        <w:t xml:space="preserve">[Note: Total IRA clean energy credit restoration (items above): CBO estimated IRA's clean energy provisions at approximately $370B over 10 years at enactment. OBBBA accelerated phase-outs and repealed several credits; restoration and extension through 2035 would cost approximately $800B–$1T over the FY2029–FY2038 window, significantly more than the original IRA estimate because this window captures the full effect of the extended credits in their mature phase.]</w:t>
      </w:r>
    </w:p>
    <w:p>
      <w:pPr>
        <w:pStyle w:val="Heading2"/>
        <w:spacing w:after="80" w:before="240"/>
      </w:pPr>
      <w:r>
        <w:rPr>
          <w:rFonts w:ascii="Arial" w:cs="Arial" w:eastAsia="Arial" w:hAnsi="Arial"/>
          <w:b/>
          <w:bCs/>
          <w:sz w:val="24"/>
          <w:szCs w:val="24"/>
        </w:rPr>
        <w:t xml:space="preserve">6.2 Carbon Fee and Dividend</w:t>
      </w:r>
    </w:p>
    <w:p>
      <w:pPr>
        <w:pStyle w:val="ListParagraph"/>
        <w:numPr>
          <w:ilvl w:val="0"/>
          <w:numId w:val="2"/>
        </w:numPr>
        <w:spacing w:after="40" w:before="40"/>
      </w:pPr>
      <w:r>
        <w:rPr>
          <w:rFonts w:ascii="Arial" w:cs="Arial" w:eastAsia="Arial" w:hAnsi="Arial"/>
          <w:sz w:val="20"/>
          <w:szCs w:val="20"/>
        </w:rPr>
        <w:t xml:space="preserve">Enact a carbon fee starting at $40/ton of CO2-equivalent, increasing annually by $10–15/ton (rate set to achieve 40%+ emissions reduction below 2005 levels by 2033). 100% of fee revenues returned as equal per-capita dividends to all American adults. Border carbon adjustment (CBAM) applied to imports from countries without equivalent carbon pricing. Revenue-neutral by design: gross revenues (approximately $200–400B/year at scale) are fully offset by dividend outlays. CBO should score as near-zero net fiscal impact but show both the gross revenue and the gross outlay.</w:t>
      </w:r>
    </w:p>
    <w:p>
      <w:pPr>
        <w:pStyle w:val="Heading2"/>
        <w:spacing w:after="80" w:before="240"/>
      </w:pPr>
      <w:r>
        <w:rPr>
          <w:rFonts w:ascii="Arial" w:cs="Arial" w:eastAsia="Arial" w:hAnsi="Arial"/>
          <w:b/>
          <w:bCs/>
          <w:sz w:val="24"/>
          <w:szCs w:val="24"/>
        </w:rPr>
        <w:t xml:space="preserve">6.3 Civilian Climate Corps</w:t>
      </w:r>
    </w:p>
    <w:p>
      <w:pPr>
        <w:pStyle w:val="ListParagraph"/>
        <w:numPr>
          <w:ilvl w:val="0"/>
          <w:numId w:val="2"/>
        </w:numPr>
        <w:spacing w:after="40" w:before="40"/>
      </w:pPr>
      <w:r>
        <w:rPr>
          <w:rFonts w:ascii="Arial" w:cs="Arial" w:eastAsia="Arial" w:hAnsi="Arial"/>
          <w:sz w:val="20"/>
          <w:szCs w:val="20"/>
        </w:rPr>
        <w:t xml:space="preserve">Establish the Civilian Climate Corps: approximately 300,000-person workforce for climate resilience, conservation, and environmental remediation work. Appropriation schedule: $15B in Year 1, $25B in Year 2, $30B/year in Years 3–10. Total 10-year cost: approximately $280B. Mandatory or discretionary depending on legislative vehicle.</w:t>
      </w:r>
    </w:p>
    <w:p>
      <w:pPr>
        <w:pStyle w:val="Heading2"/>
        <w:spacing w:after="80" w:before="240"/>
      </w:pPr>
      <w:r>
        <w:rPr>
          <w:rFonts w:ascii="Arial" w:cs="Arial" w:eastAsia="Arial" w:hAnsi="Arial"/>
          <w:b/>
          <w:bCs/>
          <w:sz w:val="24"/>
          <w:szCs w:val="24"/>
        </w:rPr>
        <w:t xml:space="preserve">6.4 Grid Investment and Resilience</w:t>
      </w:r>
    </w:p>
    <w:p>
      <w:pPr>
        <w:pStyle w:val="ListParagraph"/>
        <w:numPr>
          <w:ilvl w:val="0"/>
          <w:numId w:val="2"/>
        </w:numPr>
        <w:spacing w:after="40" w:before="40"/>
      </w:pPr>
      <w:r>
        <w:rPr>
          <w:rFonts w:ascii="Arial" w:cs="Arial" w:eastAsia="Arial" w:hAnsi="Arial"/>
          <w:sz w:val="20"/>
          <w:szCs w:val="20"/>
        </w:rPr>
        <w:t xml:space="preserve">National Grid Investment Fund: $150B over 10 years ($15B/year) for transmission expansion, interstate transmission modernization, and grid hardening. Discretionary.</w:t>
      </w:r>
    </w:p>
    <w:p>
      <w:pPr>
        <w:pStyle w:val="ListParagraph"/>
        <w:numPr>
          <w:ilvl w:val="0"/>
          <w:numId w:val="2"/>
        </w:numPr>
        <w:spacing w:after="40" w:before="40"/>
      </w:pPr>
      <w:r>
        <w:rPr>
          <w:rFonts w:ascii="Arial" w:cs="Arial" w:eastAsia="Arial" w:hAnsi="Arial"/>
          <w:sz w:val="20"/>
          <w:szCs w:val="20"/>
        </w:rPr>
        <w:t xml:space="preserve">Long-duration energy storage R&amp;D and commercial deployment via DOE loan guarantees and grants: $20B total. Discretionary.</w:t>
      </w:r>
    </w:p>
    <w:p>
      <w:pPr>
        <w:pStyle w:val="ListParagraph"/>
        <w:numPr>
          <w:ilvl w:val="0"/>
          <w:numId w:val="2"/>
        </w:numPr>
        <w:spacing w:after="40" w:before="40"/>
      </w:pPr>
      <w:r>
        <w:rPr>
          <w:rFonts w:ascii="Arial" w:cs="Arial" w:eastAsia="Arial" w:hAnsi="Arial"/>
          <w:sz w:val="20"/>
          <w:szCs w:val="20"/>
        </w:rPr>
        <w:t xml:space="preserve">Grid hardening and resilience: $30B over 10 years ($3B/year), including $5B dedicated to Puerto Rico grid reconstruction. Discretionary.</w:t>
      </w:r>
    </w:p>
    <w:p>
      <w:pPr>
        <w:pStyle w:val="ListParagraph"/>
        <w:numPr>
          <w:ilvl w:val="0"/>
          <w:numId w:val="2"/>
        </w:numPr>
        <w:spacing w:after="40" w:before="40"/>
      </w:pPr>
      <w:r>
        <w:rPr>
          <w:rFonts w:ascii="Arial" w:cs="Arial" w:eastAsia="Arial" w:hAnsi="Arial"/>
          <w:sz w:val="20"/>
          <w:szCs w:val="20"/>
        </w:rPr>
        <w:t xml:space="preserve">Community microgrid program: $10B (discretionary grants for rural and island community microgrids).</w:t>
      </w:r>
    </w:p>
    <w:p>
      <w:pPr>
        <w:pStyle w:val="Heading2"/>
        <w:spacing w:after="80" w:before="240"/>
      </w:pPr>
      <w:r>
        <w:rPr>
          <w:rFonts w:ascii="Arial" w:cs="Arial" w:eastAsia="Arial" w:hAnsi="Arial"/>
          <w:b/>
          <w:bCs/>
          <w:sz w:val="24"/>
          <w:szCs w:val="24"/>
        </w:rPr>
        <w:t xml:space="preserve">6.5 Environmental Justice and Disaster Resilience</w:t>
      </w:r>
    </w:p>
    <w:p>
      <w:pPr>
        <w:pStyle w:val="ListParagraph"/>
        <w:numPr>
          <w:ilvl w:val="0"/>
          <w:numId w:val="2"/>
        </w:numPr>
        <w:spacing w:after="40" w:before="40"/>
      </w:pPr>
      <w:r>
        <w:rPr>
          <w:rFonts w:ascii="Arial" w:cs="Arial" w:eastAsia="Arial" w:hAnsi="Arial"/>
          <w:sz w:val="20"/>
          <w:szCs w:val="20"/>
        </w:rPr>
        <w:t xml:space="preserve">Health Harms Fund: $10B over 10 years ($1B/year) for communities with documented excess pollution burdens; funded through Clean Air Act civil penalties (dedicated receipts → offsetting mandatory spending). Net new appropriation: minimal if penalties fund the program.</w:t>
      </w:r>
    </w:p>
    <w:p>
      <w:pPr>
        <w:pStyle w:val="ListParagraph"/>
        <w:numPr>
          <w:ilvl w:val="0"/>
          <w:numId w:val="2"/>
        </w:numPr>
        <w:spacing w:after="40" w:before="40"/>
      </w:pPr>
      <w:r>
        <w:rPr>
          <w:rFonts w:ascii="Arial" w:cs="Arial" w:eastAsia="Arial" w:hAnsi="Arial"/>
          <w:sz w:val="20"/>
          <w:szCs w:val="20"/>
        </w:rPr>
        <w:t xml:space="preserve">Pre-disaster mitigation: $30B over 10 years ($3B/year) for FEMA flood zone buyouts, community relocation, forest management, and urban heat island mitigation. Discretionary FEMA appropriation. FEMA's current Building Resilient Infrastructure and Communities (BRIC) program is approximately $1B/year; this more than triples it.</w:t>
      </w:r>
    </w:p>
    <w:p>
      <w:pPr>
        <w:pStyle w:val="ListParagraph"/>
        <w:numPr>
          <w:ilvl w:val="0"/>
          <w:numId w:val="2"/>
        </w:numPr>
        <w:spacing w:after="40" w:before="40"/>
      </w:pPr>
      <w:r>
        <w:rPr>
          <w:rFonts w:ascii="Arial" w:cs="Arial" w:eastAsia="Arial" w:hAnsi="Arial"/>
          <w:sz w:val="20"/>
          <w:szCs w:val="20"/>
        </w:rPr>
        <w:t xml:space="preserve">National Flood Insurance Program restructuring: end subsidized premiums for repeatedly-flooded properties; fund buyouts instead. Net fiscal effect depends on NFIP actuarial balance; mandatory spending shift from insurance subsidies to buyouts. Score as mandatory.</w:t>
      </w:r>
    </w:p>
    <w:p>
      <w:pPr>
        <w:pStyle w:val="ListParagraph"/>
        <w:numPr>
          <w:ilvl w:val="0"/>
          <w:numId w:val="2"/>
        </w:numPr>
        <w:spacing w:after="40" w:before="40"/>
      </w:pPr>
      <w:r>
        <w:rPr>
          <w:rFonts w:ascii="Arial" w:cs="Arial" w:eastAsia="Arial" w:hAnsi="Arial"/>
          <w:sz w:val="20"/>
          <w:szCs w:val="20"/>
        </w:rPr>
        <w:t xml:space="preserve">Superfund cleanup acceleration, coal ash pond remediation, and orphan oil/gas well plugging: combined discretionary appropriation. Current annual Superfund appropriation is approximately $1B/year; proposal implies significant increase (specific target not stated in framework; suggest $3–5B/year for comprehensive acceleration). Orphan well plugging: bipartisan Infrastructure Law provided $4.7B; additional appropriation of $2–5B for full completion.</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7: DRUG POLICY</w:t>
      </w:r>
    </w:p>
    <w:p>
      <w:pPr>
        <w:spacing w:after="60" w:before="60"/>
      </w:pPr>
    </w:p>
    <w:p>
      <w:pPr>
        <w:pStyle w:val="ListParagraph"/>
        <w:numPr>
          <w:ilvl w:val="0"/>
          <w:numId w:val="2"/>
        </w:numPr>
        <w:spacing w:after="40" w:before="40"/>
      </w:pPr>
      <w:r>
        <w:rPr>
          <w:rFonts w:ascii="Arial" w:cs="Arial" w:eastAsia="Arial" w:hAnsi="Arial"/>
          <w:sz w:val="20"/>
          <w:szCs w:val="20"/>
        </w:rPr>
        <w:t xml:space="preserve">Federal naloxone distribution at scale: discretionary appropriation. Current federal naloxone funding through SAMHSA is approximately $100–200M/year; proposed expansion to community centers, schools, and pharmacies could require $500M–$1B/year.</w:t>
      </w:r>
    </w:p>
    <w:p>
      <w:pPr>
        <w:pStyle w:val="ListParagraph"/>
        <w:numPr>
          <w:ilvl w:val="0"/>
          <w:numId w:val="2"/>
        </w:numPr>
        <w:spacing w:after="40" w:before="40"/>
      </w:pPr>
      <w:r>
        <w:rPr>
          <w:rFonts w:ascii="Arial" w:cs="Arial" w:eastAsia="Arial" w:hAnsi="Arial"/>
          <w:sz w:val="20"/>
          <w:szCs w:val="20"/>
        </w:rPr>
        <w:t xml:space="preserve">Shift federal drug enforcement spending toward treatment, recovery support, and harm reduction at least commensurate with enforcement spending. Annual federal drug enforcement spending (DEA, HIDTA, and related) is approximately $3–4B/year; harm reduction, treatment, and recovery account for a smaller share of SAMHSA's approximately $7B/year budget. This provision requires a rebalancing of existing appropriations rather than a net new appropriation; score as a spending reallocation.</w:t>
      </w:r>
    </w:p>
    <w:p>
      <w:pPr>
        <w:pStyle w:val="ListParagraph"/>
        <w:numPr>
          <w:ilvl w:val="0"/>
          <w:numId w:val="2"/>
        </w:numPr>
        <w:spacing w:after="40" w:before="40"/>
      </w:pPr>
      <w:r>
        <w:rPr>
          <w:rFonts w:ascii="Arial" w:cs="Arial" w:eastAsia="Arial" w:hAnsi="Arial"/>
          <w:sz w:val="20"/>
          <w:szCs w:val="20"/>
        </w:rPr>
        <w:t xml:space="preserve">Fund state marijuana conviction expungement assistance grants: discretionary, approximately $500M–$1B total appropriation over 5 years.</w:t>
      </w:r>
    </w:p>
    <w:p>
      <w:pPr>
        <w:spacing w:after="40" w:before="40"/>
        <w:ind w:left="360"/>
      </w:pPr>
      <w:r>
        <w:rPr>
          <w:rFonts w:ascii="Arial" w:cs="Arial" w:eastAsia="Arial" w:hAnsi="Arial"/>
          <w:i/>
          <w:iCs/>
          <w:color w:val="555555"/>
          <w:sz w:val="18"/>
          <w:szCs w:val="18"/>
        </w:rPr>
        <w:t xml:space="preserve">[Note: Marijuana descheduling itself generates fiscal effects through: (a) new federal tax revenue from legal cannabis sales; (b) savings from reduced federal prosecution and incarceration costs; (c) changes to banking and financial regulation (no direct appropriations impact). CBO should score these second-order effects separately.]</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8: FOREIGN POLICY AND DEFENSE</w:t>
      </w:r>
    </w:p>
    <w:p>
      <w:pPr>
        <w:spacing w:after="60" w:before="60"/>
      </w:pPr>
    </w:p>
    <w:p>
      <w:pPr>
        <w:pStyle w:val="Heading2"/>
        <w:spacing w:after="80" w:before="240"/>
      </w:pPr>
      <w:r>
        <w:rPr>
          <w:rFonts w:ascii="Arial" w:cs="Arial" w:eastAsia="Arial" w:hAnsi="Arial"/>
          <w:b/>
          <w:bCs/>
          <w:sz w:val="24"/>
          <w:szCs w:val="24"/>
        </w:rPr>
        <w:t xml:space="preserve">8.1 Foreign Aid Restoration and Expansion</w:t>
      </w:r>
    </w:p>
    <w:p>
      <w:pPr>
        <w:pStyle w:val="ListParagraph"/>
        <w:numPr>
          <w:ilvl w:val="0"/>
          <w:numId w:val="2"/>
        </w:numPr>
        <w:spacing w:after="40" w:before="40"/>
      </w:pPr>
      <w:r>
        <w:rPr>
          <w:rFonts w:ascii="Arial" w:cs="Arial" w:eastAsia="Arial" w:hAnsi="Arial"/>
          <w:sz w:val="20"/>
          <w:szCs w:val="20"/>
        </w:rPr>
        <w:t xml:space="preserve">Restore U.S. foreign aid to $65–70B/year by Year 3 of enactment. The FY2024 State-Foreign Operations base appropriation was $60B; with supplemental appropriations (primarily Ukraine), the supplemental-inclusive FY2024 total reached approximately $68B. The FY2025 level fell to approximately $32B following DOGE cuts and administration policy changes. Phase-in: +$15B above FY2025 levels in Year 1, +$25B in Year 2, +$35B in Year 3+. Annual discretionary appropriation; the $35B/year gap between the FY2025 level and the $65–70B target represents a substantial discretionary increase.</w:t>
      </w:r>
    </w:p>
    <w:p>
      <w:pPr>
        <w:pStyle w:val="ListParagraph"/>
        <w:numPr>
          <w:ilvl w:val="0"/>
          <w:numId w:val="2"/>
        </w:numPr>
        <w:spacing w:after="40" w:before="40"/>
      </w:pPr>
      <w:r>
        <w:rPr>
          <w:rFonts w:ascii="Arial" w:cs="Arial" w:eastAsia="Arial" w:hAnsi="Arial"/>
          <w:sz w:val="20"/>
          <w:szCs w:val="20"/>
        </w:rPr>
        <w:t xml:space="preserve">Restore USAID as a Cabinet-level agency: emergency hiring of 5,000 positions in Year 1, full staffing of 10,000+ within 3 years. Personnel and operational costs: approximately $2–3B/year at full staffing. Included within the foreign aid total above.</w:t>
      </w:r>
    </w:p>
    <w:p>
      <w:pPr>
        <w:pStyle w:val="ListParagraph"/>
        <w:numPr>
          <w:ilvl w:val="0"/>
          <w:numId w:val="2"/>
        </w:numPr>
        <w:spacing w:after="40" w:before="40"/>
      </w:pPr>
      <w:r>
        <w:rPr>
          <w:rFonts w:ascii="Arial" w:cs="Arial" w:eastAsia="Arial" w:hAnsi="Arial"/>
          <w:sz w:val="20"/>
          <w:szCs w:val="20"/>
        </w:rPr>
        <w:t xml:space="preserve">Restore PEPFAR (President's Emergency Plan for AIDS Relief) to full funding at the FY2024 enacted level of $7.1B/year, with a 5-year funding commitment. This includes $5.4B for bilateral HIV programs, $1.65B for the Global Fund to Fight AIDS, Tuberculosis and Malaria, and $50M for UNAIDS. Discretionary appropriation. The FY2025 level was also $7.1B (maintained by continuing resolution); restoration from current administration cuts back to that level.</w:t>
      </w:r>
    </w:p>
    <w:p>
      <w:pPr>
        <w:spacing w:after="40" w:before="40"/>
        <w:ind w:left="360"/>
      </w:pPr>
      <w:r>
        <w:rPr>
          <w:rFonts w:ascii="Arial" w:cs="Arial" w:eastAsia="Arial" w:hAnsi="Arial"/>
          <w:i/>
          <w:iCs/>
          <w:color w:val="555555"/>
          <w:sz w:val="18"/>
          <w:szCs w:val="18"/>
        </w:rPr>
        <w:t xml:space="preserve">[Note: The framework's original figure of '$5B/year' for PEPFAR was incorrect. FY2024 enacted PEPFAR appropriation was $7.1B. Source: KFF.]</w:t>
      </w:r>
    </w:p>
    <w:p>
      <w:pPr>
        <w:pStyle w:val="ListParagraph"/>
        <w:numPr>
          <w:ilvl w:val="0"/>
          <w:numId w:val="2"/>
        </w:numPr>
        <w:spacing w:after="40" w:before="40"/>
      </w:pPr>
      <w:r>
        <w:rPr>
          <w:rFonts w:ascii="Arial" w:cs="Arial" w:eastAsia="Arial" w:hAnsi="Arial"/>
          <w:sz w:val="20"/>
          <w:szCs w:val="20"/>
        </w:rPr>
        <w:t xml:space="preserve">Restore U.S. WHO contributions: U.S. total WHO contributions (assessed + voluntary) in FY2024 were approximately $1.3B/year. The framework cited $500M/year (likely referring to assessed contributions only); the correct restoration target for full membership with voluntary contributions is approximately $1.3B/year. Discretionary.</w:t>
      </w:r>
    </w:p>
    <w:p>
      <w:pPr>
        <w:spacing w:after="40" w:before="40"/>
        <w:ind w:left="360"/>
      </w:pPr>
      <w:r>
        <w:rPr>
          <w:rFonts w:ascii="Arial" w:cs="Arial" w:eastAsia="Arial" w:hAnsi="Arial"/>
          <w:i/>
          <w:iCs/>
          <w:color w:val="555555"/>
          <w:sz w:val="18"/>
          <w:szCs w:val="18"/>
        </w:rPr>
        <w:t xml:space="preserve">[Note: WHO figure: the U.S. assessed WHO contribution for the 2024–2025 biennium was approximately $280M/year; voluntary contributions accounted for the remaining approximately $1B+/year. The $500M/year figure in the framework understates the full U.S. WHO contribution. Recommend scoring at $1.3B/year for full restoration.]</w:t>
      </w:r>
    </w:p>
    <w:p>
      <w:pPr>
        <w:pStyle w:val="ListParagraph"/>
        <w:numPr>
          <w:ilvl w:val="0"/>
          <w:numId w:val="2"/>
        </w:numPr>
        <w:spacing w:after="40" w:before="40"/>
      </w:pPr>
      <w:r>
        <w:rPr>
          <w:rFonts w:ascii="Arial" w:cs="Arial" w:eastAsia="Arial" w:hAnsi="Arial"/>
          <w:sz w:val="20"/>
          <w:szCs w:val="20"/>
        </w:rPr>
        <w:t xml:space="preserve">Restore Millennium Challenge Corporation to full operational capacity. MCC FY2024 appropriation: $900M. Included in the foreign aid total.</w:t>
      </w:r>
    </w:p>
    <w:p>
      <w:pPr>
        <w:pStyle w:val="ListParagraph"/>
        <w:numPr>
          <w:ilvl w:val="0"/>
          <w:numId w:val="2"/>
        </w:numPr>
        <w:spacing w:after="40" w:before="40"/>
      </w:pPr>
      <w:r>
        <w:rPr>
          <w:rFonts w:ascii="Arial" w:cs="Arial" w:eastAsia="Arial" w:hAnsi="Arial"/>
          <w:sz w:val="20"/>
          <w:szCs w:val="20"/>
        </w:rPr>
        <w:t xml:space="preserve">Restore Food for Peace (Title II), WFP contributions, and regional food security programs. These are components of the overall foreign aid restoration.</w:t>
      </w:r>
    </w:p>
    <w:p>
      <w:pPr>
        <w:pStyle w:val="Heading2"/>
        <w:spacing w:after="80" w:before="240"/>
      </w:pPr>
      <w:r>
        <w:rPr>
          <w:rFonts w:ascii="Arial" w:cs="Arial" w:eastAsia="Arial" w:hAnsi="Arial"/>
          <w:b/>
          <w:bCs/>
          <w:sz w:val="24"/>
          <w:szCs w:val="24"/>
        </w:rPr>
        <w:t xml:space="preserve">8.2 Ukraine Military Assistance</w:t>
      </w:r>
    </w:p>
    <w:p>
      <w:pPr>
        <w:pStyle w:val="ListParagraph"/>
        <w:numPr>
          <w:ilvl w:val="0"/>
          <w:numId w:val="2"/>
        </w:numPr>
        <w:spacing w:after="40" w:before="40"/>
      </w:pPr>
      <w:r>
        <w:rPr>
          <w:rFonts w:ascii="Arial" w:cs="Arial" w:eastAsia="Arial" w:hAnsi="Arial"/>
          <w:sz w:val="20"/>
          <w:szCs w:val="20"/>
        </w:rPr>
        <w:t xml:space="preserve">Restore full U.S. military assistance to Ukraine via Foreign Military Financing grants (as opposed to commercial sales). Annual FMF appropriation: $8–15B/year depending on conflict status in 2029. Total over the term: approximately $60–80B. Discretionary.</w:t>
      </w:r>
    </w:p>
    <w:p>
      <w:pPr>
        <w:pStyle w:val="ListParagraph"/>
        <w:numPr>
          <w:ilvl w:val="0"/>
          <w:numId w:val="2"/>
        </w:numPr>
        <w:spacing w:after="40" w:before="40"/>
      </w:pPr>
      <w:r>
        <w:rPr>
          <w:rFonts w:ascii="Arial" w:cs="Arial" w:eastAsia="Arial" w:hAnsi="Arial"/>
          <w:sz w:val="20"/>
          <w:szCs w:val="20"/>
        </w:rPr>
        <w:t xml:space="preserve">U.S. participation in Ukraine reconstruction fund, conditional on democratic governance and anti-corruption measures. Amount not specified; score as TBD pending fund structure. Discretionary.</w:t>
      </w:r>
    </w:p>
    <w:p>
      <w:pPr>
        <w:pStyle w:val="Heading2"/>
        <w:spacing w:after="80" w:before="240"/>
      </w:pPr>
      <w:r>
        <w:rPr>
          <w:rFonts w:ascii="Arial" w:cs="Arial" w:eastAsia="Arial" w:hAnsi="Arial"/>
          <w:b/>
          <w:bCs/>
          <w:sz w:val="24"/>
          <w:szCs w:val="24"/>
        </w:rPr>
        <w:t xml:space="preserve">8.3 NATO and Allied Engagement</w:t>
      </w:r>
    </w:p>
    <w:p>
      <w:pPr>
        <w:pStyle w:val="ListParagraph"/>
        <w:numPr>
          <w:ilvl w:val="0"/>
          <w:numId w:val="2"/>
        </w:numPr>
        <w:spacing w:after="40" w:before="40"/>
      </w:pPr>
      <w:r>
        <w:rPr>
          <w:rFonts w:ascii="Arial" w:cs="Arial" w:eastAsia="Arial" w:hAnsi="Arial"/>
          <w:sz w:val="20"/>
          <w:szCs w:val="20"/>
        </w:rPr>
        <w:t xml:space="preserve">Restore 1,500 troops to Romania and the Baltic states: operational/personnel costs absorbed within existing defense budget; minimal incremental discretionary cost.</w:t>
      </w:r>
    </w:p>
    <w:p>
      <w:pPr>
        <w:pStyle w:val="ListParagraph"/>
        <w:numPr>
          <w:ilvl w:val="0"/>
          <w:numId w:val="2"/>
        </w:numPr>
        <w:spacing w:after="40" w:before="40"/>
      </w:pPr>
      <w:r>
        <w:rPr>
          <w:rFonts w:ascii="Arial" w:cs="Arial" w:eastAsia="Arial" w:hAnsi="Arial"/>
          <w:sz w:val="20"/>
          <w:szCs w:val="20"/>
        </w:rPr>
        <w:t xml:space="preserve">Convene a Democracy Summit (Year 1): discretionary, approximately $50–100M (one-time State Department appropriation).</w:t>
      </w:r>
    </w:p>
    <w:p>
      <w:pPr>
        <w:pStyle w:val="Heading2"/>
        <w:spacing w:after="80" w:before="240"/>
      </w:pPr>
      <w:r>
        <w:rPr>
          <w:rFonts w:ascii="Arial" w:cs="Arial" w:eastAsia="Arial" w:hAnsi="Arial"/>
          <w:b/>
          <w:bCs/>
          <w:sz w:val="24"/>
          <w:szCs w:val="24"/>
        </w:rPr>
        <w:t xml:space="preserve">8.4 Defense Budget</w:t>
      </w:r>
    </w:p>
    <w:p>
      <w:pPr>
        <w:pStyle w:val="ListParagraph"/>
        <w:numPr>
          <w:ilvl w:val="0"/>
          <w:numId w:val="2"/>
        </w:numPr>
        <w:spacing w:after="40" w:before="40"/>
      </w:pPr>
      <w:r>
        <w:rPr>
          <w:rFonts w:ascii="Arial" w:cs="Arial" w:eastAsia="Arial" w:hAnsi="Arial"/>
          <w:sz w:val="20"/>
          <w:szCs w:val="20"/>
        </w:rPr>
        <w:t xml:space="preserve">Maintain defense spending at approximately 3–3.5% of GDP. At 2029 projected nominal GDP of approximately $30T, this implies a defense budget of $900B–$1.05T. CBO should score against the baseline defense trajectory; this provision sets a floor, not an increase per se.</w:t>
      </w:r>
    </w:p>
    <w:p>
      <w:pPr>
        <w:pStyle w:val="ListParagraph"/>
        <w:numPr>
          <w:ilvl w:val="0"/>
          <w:numId w:val="2"/>
        </w:numPr>
        <w:spacing w:after="40" w:before="40"/>
      </w:pPr>
      <w:r>
        <w:rPr>
          <w:rFonts w:ascii="Arial" w:cs="Arial" w:eastAsia="Arial" w:hAnsi="Arial"/>
          <w:sz w:val="20"/>
          <w:szCs w:val="20"/>
        </w:rPr>
        <w:t xml:space="preserve">Department of Defense Audit Reform Act: fund the audit process and compliance infrastructure. Discretionary, approximately $500M–$1B/year for audit support and remediation.</w:t>
      </w:r>
    </w:p>
    <w:p>
      <w:pPr>
        <w:pStyle w:val="ListParagraph"/>
        <w:numPr>
          <w:ilvl w:val="0"/>
          <w:numId w:val="2"/>
        </w:numPr>
        <w:spacing w:after="40" w:before="40"/>
      </w:pPr>
      <w:r>
        <w:rPr>
          <w:rFonts w:ascii="Arial" w:cs="Arial" w:eastAsia="Arial" w:hAnsi="Arial"/>
          <w:sz w:val="20"/>
          <w:szCs w:val="20"/>
        </w:rPr>
        <w:t xml:space="preserve">Modernize nuclear delivery systems (continuation of existing modernization programs — Columbia-class submarine, B-21 Raider, Sentinel ICBM): no new cost above existing baseline; these programs are already in the defense budget.</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9: REPRODUCTIVE RIGHTS</w:t>
      </w:r>
    </w:p>
    <w:p>
      <w:pPr>
        <w:spacing w:after="60" w:before="60"/>
      </w:pPr>
    </w:p>
    <w:p>
      <w:pPr>
        <w:pStyle w:val="ListParagraph"/>
        <w:numPr>
          <w:ilvl w:val="0"/>
          <w:numId w:val="2"/>
        </w:numPr>
        <w:spacing w:after="40" w:before="40"/>
      </w:pPr>
      <w:r>
        <w:rPr>
          <w:rFonts w:ascii="Arial" w:cs="Arial" w:eastAsia="Arial" w:hAnsi="Arial"/>
          <w:sz w:val="20"/>
          <w:szCs w:val="20"/>
        </w:rPr>
        <w:t xml:space="preserve">Restore and expand Title X family planning funding: $400–500M/year (discretionary appropriation). FY2024 enacted level was approximately $286M; pre-restriction level was approximately $340M. This proposal expands above the pre-restriction baseline. [Corrected from framework's $3B/year figure, which was an error.]</w:t>
      </w:r>
    </w:p>
    <w:p>
      <w:pPr>
        <w:pStyle w:val="ListParagraph"/>
        <w:numPr>
          <w:ilvl w:val="0"/>
          <w:numId w:val="2"/>
        </w:numPr>
        <w:spacing w:after="40" w:before="40"/>
      </w:pPr>
      <w:r>
        <w:rPr>
          <w:rFonts w:ascii="Arial" w:cs="Arial" w:eastAsia="Arial" w:hAnsi="Arial"/>
          <w:sz w:val="20"/>
          <w:szCs w:val="20"/>
        </w:rPr>
        <w:t xml:space="preserve">Maternal Health Emergency Act: $5B over 5 years ($1B/year) for maternal health centers, rural obstetric units, midwifery training, and postpartum care in underserved communities. Discretionary/mandatory.</w:t>
      </w:r>
    </w:p>
    <w:p>
      <w:pPr>
        <w:pStyle w:val="ListParagraph"/>
        <w:numPr>
          <w:ilvl w:val="0"/>
          <w:numId w:val="2"/>
        </w:numPr>
        <w:spacing w:after="40" w:before="40"/>
      </w:pPr>
      <w:r>
        <w:rPr>
          <w:rFonts w:ascii="Arial" w:cs="Arial" w:eastAsia="Arial" w:hAnsi="Arial"/>
          <w:sz w:val="20"/>
          <w:szCs w:val="20"/>
        </w:rPr>
        <w:t xml:space="preserve">Fund telehealth abortion infrastructure: HHS grants to states for telehealth abortion care within legal states. $3B over 10 years ($300M/year). Discretionary.</w:t>
      </w:r>
    </w:p>
    <w:p>
      <w:pPr>
        <w:pStyle w:val="ListParagraph"/>
        <w:numPr>
          <w:ilvl w:val="0"/>
          <w:numId w:val="2"/>
        </w:numPr>
        <w:spacing w:after="40" w:before="40"/>
      </w:pPr>
      <w:r>
        <w:rPr>
          <w:rFonts w:ascii="Arial" w:cs="Arial" w:eastAsia="Arial" w:hAnsi="Arial"/>
          <w:sz w:val="20"/>
          <w:szCs w:val="20"/>
        </w:rPr>
        <w:t xml:space="preserve">IVF coverage expansion under Medicaid: require Medicaid coverage of IVF for eligible beneficiaries. Estimated 10-year mandatory Medicaid cost: approximately $15B. IVF can cost $10,000–$20,000 per cycle; with millions of infertile Medicaid-eligible women, demand could be substantial; CBO should score against utilization estimates.</w:t>
      </w:r>
    </w:p>
    <w:p>
      <w:pPr>
        <w:pStyle w:val="ListParagraph"/>
        <w:numPr>
          <w:ilvl w:val="0"/>
          <w:numId w:val="2"/>
        </w:numPr>
        <w:spacing w:after="40" w:before="40"/>
      </w:pPr>
      <w:r>
        <w:rPr>
          <w:rFonts w:ascii="Arial" w:cs="Arial" w:eastAsia="Arial" w:hAnsi="Arial"/>
          <w:sz w:val="20"/>
          <w:szCs w:val="20"/>
        </w:rPr>
        <w:t xml:space="preserve">Require ACA insurance coverage of IVF for plans subject to the ACA. Primary fiscal effect is on employer/insurer costs (off-budget); affects ACA premium tax credit costs (mandatory) to the extent it changes the actuarial value of marketplace plans.</w:t>
      </w:r>
    </w:p>
    <w:p>
      <w:pPr>
        <w:pStyle w:val="ListParagraph"/>
        <w:numPr>
          <w:ilvl w:val="0"/>
          <w:numId w:val="2"/>
        </w:numPr>
        <w:spacing w:after="40" w:before="40"/>
      </w:pPr>
      <w:r>
        <w:rPr>
          <w:rFonts w:ascii="Arial" w:cs="Arial" w:eastAsia="Arial" w:hAnsi="Arial"/>
          <w:sz w:val="20"/>
          <w:szCs w:val="20"/>
        </w:rPr>
        <w:t xml:space="preserve">Fund fertility treatment access for veterans with service-related infertility: discretionary VA appropriation. VA already covers some fertility treatments; expansion cost estimated $500M–$1B/year.</w:t>
      </w:r>
    </w:p>
    <w:p>
      <w:pPr>
        <w:pStyle w:val="ListParagraph"/>
        <w:numPr>
          <w:ilvl w:val="0"/>
          <w:numId w:val="2"/>
        </w:numPr>
        <w:spacing w:after="40" w:before="40"/>
      </w:pPr>
      <w:r>
        <w:rPr>
          <w:rFonts w:ascii="Arial" w:cs="Arial" w:eastAsia="Arial" w:hAnsi="Arial"/>
          <w:sz w:val="20"/>
          <w:szCs w:val="20"/>
        </w:rPr>
        <w:t xml:space="preserve">Rescind Mexico City Policy (Global Gag Rule) by statute: no direct fiscal cost; restores some international family planning grant flows through USAID (captured in Section 8 foreign aid total).</w:t>
      </w:r>
    </w:p>
    <w:p>
      <w:pPr>
        <w:pStyle w:val="ListParagraph"/>
        <w:numPr>
          <w:ilvl w:val="0"/>
          <w:numId w:val="2"/>
        </w:numPr>
        <w:spacing w:after="40" w:before="40"/>
      </w:pPr>
      <w:r>
        <w:rPr>
          <w:rFonts w:ascii="Arial" w:cs="Arial" w:eastAsia="Arial" w:hAnsi="Arial"/>
          <w:sz w:val="20"/>
          <w:szCs w:val="20"/>
        </w:rPr>
        <w:t xml:space="preserve">Reproductive health provider training programs in medical schools and residency programs: $2B over 10 years ($200M/year). Discretionary HHS grants.</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10: EDUCATION</w:t>
      </w:r>
    </w:p>
    <w:p>
      <w:pPr>
        <w:spacing w:after="60" w:before="60"/>
      </w:pPr>
    </w:p>
    <w:p>
      <w:pPr>
        <w:pStyle w:val="Heading2"/>
        <w:spacing w:after="80" w:before="240"/>
      </w:pPr>
      <w:r>
        <w:rPr>
          <w:rFonts w:ascii="Arial" w:cs="Arial" w:eastAsia="Arial" w:hAnsi="Arial"/>
          <w:b/>
          <w:bCs/>
          <w:sz w:val="24"/>
          <w:szCs w:val="24"/>
        </w:rPr>
        <w:t xml:space="preserve">10.1 Department of Education Restoration</w:t>
      </w:r>
    </w:p>
    <w:p>
      <w:pPr>
        <w:pStyle w:val="ListParagraph"/>
        <w:numPr>
          <w:ilvl w:val="0"/>
          <w:numId w:val="2"/>
        </w:numPr>
        <w:spacing w:after="40" w:before="40"/>
      </w:pPr>
      <w:r>
        <w:rPr>
          <w:rFonts w:ascii="Arial" w:cs="Arial" w:eastAsia="Arial" w:hAnsi="Arial"/>
          <w:sz w:val="20"/>
          <w:szCs w:val="20"/>
        </w:rPr>
        <w:t xml:space="preserve">Restore Department of Education to full pre-DOGE staffing (approximately 1,700 positions eliminated in 2025); restore all 12 OCR regional offices; restore Office of Special Education Programs; reverse all interagency transfers. Discretionary appropriation. The Department of Education FY2024 discretionary appropriation was approximately $79.1B; the staffing and operations cost of these restorations is within that envelope (DOGE cut operations, not the large mandatory grant programs). Estimated additional operational cost: $500M–$1B/year.</w:t>
      </w:r>
    </w:p>
    <w:p>
      <w:pPr>
        <w:pStyle w:val="ListParagraph"/>
        <w:numPr>
          <w:ilvl w:val="0"/>
          <w:numId w:val="2"/>
        </w:numPr>
        <w:spacing w:after="40" w:before="40"/>
      </w:pPr>
      <w:r>
        <w:rPr>
          <w:rFonts w:ascii="Arial" w:cs="Arial" w:eastAsia="Arial" w:hAnsi="Arial"/>
          <w:sz w:val="20"/>
          <w:szCs w:val="20"/>
        </w:rPr>
        <w:t xml:space="preserve">Return student loan management from Treasury back to the Department of Education: transition costs approximately $200–500M (one-time).</w:t>
      </w:r>
    </w:p>
    <w:p>
      <w:pPr>
        <w:pStyle w:val="Heading2"/>
        <w:spacing w:after="80" w:before="240"/>
      </w:pPr>
      <w:r>
        <w:rPr>
          <w:rFonts w:ascii="Arial" w:cs="Arial" w:eastAsia="Arial" w:hAnsi="Arial"/>
          <w:b/>
          <w:bCs/>
          <w:sz w:val="24"/>
          <w:szCs w:val="24"/>
        </w:rPr>
        <w:t xml:space="preserve">10.2 Student Loans (see also Section 5.4)</w:t>
      </w:r>
    </w:p>
    <w:p>
      <w:pPr>
        <w:spacing w:after="60" w:before="60"/>
      </w:pPr>
      <w:r>
        <w:rPr>
          <w:rFonts w:ascii="Arial" w:cs="Arial" w:eastAsia="Arial" w:hAnsi="Arial"/>
          <w:sz w:val="20"/>
          <w:szCs w:val="20"/>
        </w:rPr>
        <w:t xml:space="preserve">Student loan provisions are listed in Section 5.4 (Economic Fairness) but are budgeted here for education scoring purposes. Key items:</w:t>
      </w:r>
    </w:p>
    <w:p>
      <w:pPr>
        <w:pStyle w:val="ListParagraph"/>
        <w:numPr>
          <w:ilvl w:val="0"/>
          <w:numId w:val="2"/>
        </w:numPr>
        <w:spacing w:after="40" w:before="40"/>
      </w:pPr>
      <w:r>
        <w:rPr>
          <w:rFonts w:ascii="Arial" w:cs="Arial" w:eastAsia="Arial" w:hAnsi="Arial"/>
          <w:sz w:val="20"/>
          <w:szCs w:val="20"/>
        </w:rPr>
        <w:t xml:space="preserve">One-time debt relief ($50K Pell / $25K general): $750B–$1T mandatory, one-time.</w:t>
      </w:r>
    </w:p>
    <w:p>
      <w:pPr>
        <w:pStyle w:val="ListParagraph"/>
        <w:numPr>
          <w:ilvl w:val="0"/>
          <w:numId w:val="2"/>
        </w:numPr>
        <w:spacing w:after="40" w:before="40"/>
      </w:pPr>
      <w:r>
        <w:rPr>
          <w:rFonts w:ascii="Arial" w:cs="Arial" w:eastAsia="Arial" w:hAnsi="Arial"/>
          <w:sz w:val="20"/>
          <w:szCs w:val="20"/>
        </w:rPr>
        <w:t xml:space="preserve">IDR restoration (5% of discretionary income, principal cap): $200–300B mandatory over 10 years.</w:t>
      </w:r>
    </w:p>
    <w:p>
      <w:pPr>
        <w:pStyle w:val="ListParagraph"/>
        <w:numPr>
          <w:ilvl w:val="0"/>
          <w:numId w:val="2"/>
        </w:numPr>
        <w:spacing w:after="40" w:before="40"/>
      </w:pPr>
      <w:r>
        <w:rPr>
          <w:rFonts w:ascii="Arial" w:cs="Arial" w:eastAsia="Arial" w:hAnsi="Arial"/>
          <w:sz w:val="20"/>
          <w:szCs w:val="20"/>
        </w:rPr>
        <w:t xml:space="preserve">Expand Pell Grant maximum from approximately $7,000 to $10,000: approximately $100B in additional mandatory spending over 10 years at current enrollment levels.</w:t>
      </w:r>
    </w:p>
    <w:p>
      <w:pPr>
        <w:pStyle w:val="ListParagraph"/>
        <w:numPr>
          <w:ilvl w:val="0"/>
          <w:numId w:val="2"/>
        </w:numPr>
        <w:spacing w:after="40" w:before="40"/>
      </w:pPr>
      <w:r>
        <w:rPr>
          <w:rFonts w:ascii="Arial" w:cs="Arial" w:eastAsia="Arial" w:hAnsi="Arial"/>
          <w:sz w:val="20"/>
          <w:szCs w:val="20"/>
        </w:rPr>
        <w:t xml:space="preserve">Universal tuition-free community college: federal-state partnership covering tuition at all public two-year institutions. Federal share approximately 70% of cost at steady state. Estimated federal cost: $200–300B over 10 years ($20–30B/year at scale). Mandatory or discretionary depending on design.</w:t>
      </w:r>
    </w:p>
    <w:p>
      <w:pPr>
        <w:pStyle w:val="ListParagraph"/>
        <w:numPr>
          <w:ilvl w:val="0"/>
          <w:numId w:val="2"/>
        </w:numPr>
        <w:spacing w:after="40" w:before="40"/>
      </w:pPr>
      <w:r>
        <w:rPr>
          <w:rFonts w:ascii="Arial" w:cs="Arial" w:eastAsia="Arial" w:hAnsi="Arial"/>
          <w:sz w:val="20"/>
          <w:szCs w:val="20"/>
        </w:rPr>
        <w:t xml:space="preserve">Double federal apprenticeship investment targeting 1 million new registered apprenticeships annually: from current approximately $300M/year to approximately $600M/year. Discretionary.</w:t>
      </w:r>
    </w:p>
    <w:p>
      <w:pPr>
        <w:pStyle w:val="ListParagraph"/>
        <w:numPr>
          <w:ilvl w:val="0"/>
          <w:numId w:val="2"/>
        </w:numPr>
        <w:spacing w:after="40" w:before="40"/>
      </w:pPr>
      <w:r>
        <w:rPr>
          <w:rFonts w:ascii="Arial" w:cs="Arial" w:eastAsia="Arial" w:hAnsi="Arial"/>
          <w:sz w:val="20"/>
          <w:szCs w:val="20"/>
        </w:rPr>
        <w:t xml:space="preserve">Community college capital investment: $50B over 10 years ($5B/year). Discretionary.</w:t>
      </w:r>
    </w:p>
    <w:p>
      <w:pPr>
        <w:pStyle w:val="Heading2"/>
        <w:spacing w:after="80" w:before="240"/>
      </w:pPr>
      <w:r>
        <w:rPr>
          <w:rFonts w:ascii="Arial" w:cs="Arial" w:eastAsia="Arial" w:hAnsi="Arial"/>
          <w:b/>
          <w:bCs/>
          <w:sz w:val="24"/>
          <w:szCs w:val="24"/>
        </w:rPr>
        <w:t xml:space="preserve">10.3 K-12 Equity</w:t>
      </w:r>
    </w:p>
    <w:p>
      <w:pPr>
        <w:pStyle w:val="ListParagraph"/>
        <w:numPr>
          <w:ilvl w:val="0"/>
          <w:numId w:val="2"/>
        </w:numPr>
        <w:spacing w:after="40" w:before="40"/>
      </w:pPr>
      <w:r>
        <w:rPr>
          <w:rFonts w:ascii="Arial" w:cs="Arial" w:eastAsia="Arial" w:hAnsi="Arial"/>
          <w:sz w:val="20"/>
          <w:szCs w:val="20"/>
        </w:rPr>
        <w:t xml:space="preserve">Increase Title I funding from $17B to $30B annually over 5 years: additional $13B/year at full phase-in. Discretionary appropriation. Current FY2024 Title I enacted level was approximately $17.5B.</w:t>
      </w:r>
    </w:p>
    <w:p>
      <w:pPr>
        <w:pStyle w:val="ListParagraph"/>
        <w:numPr>
          <w:ilvl w:val="0"/>
          <w:numId w:val="2"/>
        </w:numPr>
        <w:spacing w:after="40" w:before="40"/>
      </w:pPr>
      <w:r>
        <w:rPr>
          <w:rFonts w:ascii="Arial" w:cs="Arial" w:eastAsia="Arial" w:hAnsi="Arial"/>
          <w:sz w:val="20"/>
          <w:szCs w:val="20"/>
        </w:rPr>
        <w:t xml:space="preserve">National Teacher Pay Floor: federal matching grants to states raising minimum teacher salary to $60,000 by 2030 and $75,000 by 2033. Estimated federal cost: approximately $100B over 10 years ($10B/year at scale). Discretionary.</w:t>
      </w:r>
    </w:p>
    <w:p>
      <w:pPr>
        <w:pStyle w:val="ListParagraph"/>
        <w:numPr>
          <w:ilvl w:val="0"/>
          <w:numId w:val="2"/>
        </w:numPr>
        <w:spacing w:after="40" w:before="40"/>
      </w:pPr>
      <w:r>
        <w:rPr>
          <w:rFonts w:ascii="Arial" w:cs="Arial" w:eastAsia="Arial" w:hAnsi="Arial"/>
          <w:sz w:val="20"/>
          <w:szCs w:val="20"/>
        </w:rPr>
        <w:t xml:space="preserve">Rural Teacher Recruitment Program: loan forgiveness and housing subsidies for teachers committing to 5-year rural placements. Discretionary, approximately $1–2B/year.</w:t>
      </w:r>
    </w:p>
    <w:p>
      <w:pPr>
        <w:pStyle w:val="ListParagraph"/>
        <w:numPr>
          <w:ilvl w:val="0"/>
          <w:numId w:val="2"/>
        </w:numPr>
        <w:spacing w:after="40" w:before="40"/>
      </w:pPr>
      <w:r>
        <w:rPr>
          <w:rFonts w:ascii="Arial" w:cs="Arial" w:eastAsia="Arial" w:hAnsi="Arial"/>
          <w:sz w:val="20"/>
          <w:szCs w:val="20"/>
        </w:rPr>
        <w:t xml:space="preserve">Federal school infrastructure bond program: $100B in new federal school infrastructure bonds or direct grants, prioritizing low-income districts. Depending on structure (direct grants vs. tax-credit bonds), the fiscal cost over 10 years is $100B (grants) or a tax expenditure (bonds). Discretionary if structured as grants.</w:t>
      </w:r>
    </w:p>
    <w:p>
      <w:pPr>
        <w:pStyle w:val="ListParagraph"/>
        <w:numPr>
          <w:ilvl w:val="0"/>
          <w:numId w:val="2"/>
        </w:numPr>
        <w:spacing w:after="40" w:before="40"/>
      </w:pPr>
      <w:r>
        <w:rPr>
          <w:rFonts w:ascii="Arial" w:cs="Arial" w:eastAsia="Arial" w:hAnsi="Arial"/>
          <w:sz w:val="20"/>
          <w:szCs w:val="20"/>
        </w:rPr>
        <w:t xml:space="preserve">Phase IDEA (Individuals with Disabilities Education Act) federal funding from the current approximately 16% share to 40% of additional special education costs over 10 years: approximately $100B in additional discretionary spending over 10 years ($10B/year incremental at full phase-in). Note: the 40% federal share was promised at IDEA's enactment in 1975; this fulfills a 50-year-old statutory commitment.</w:t>
      </w:r>
    </w:p>
    <w:p>
      <w:pPr>
        <w:pStyle w:val="Heading2"/>
        <w:spacing w:after="80" w:before="240"/>
      </w:pPr>
      <w:r>
        <w:rPr>
          <w:rFonts w:ascii="Arial" w:cs="Arial" w:eastAsia="Arial" w:hAnsi="Arial"/>
          <w:b/>
          <w:bCs/>
          <w:sz w:val="24"/>
          <w:szCs w:val="24"/>
        </w:rPr>
        <w:t xml:space="preserve">10.4 Early Childhood</w:t>
      </w:r>
    </w:p>
    <w:p>
      <w:pPr>
        <w:pStyle w:val="ListParagraph"/>
        <w:numPr>
          <w:ilvl w:val="0"/>
          <w:numId w:val="2"/>
        </w:numPr>
        <w:spacing w:after="40" w:before="40"/>
      </w:pPr>
      <w:r>
        <w:rPr>
          <w:rFonts w:ascii="Arial" w:cs="Arial" w:eastAsia="Arial" w:hAnsi="Arial"/>
          <w:sz w:val="20"/>
          <w:szCs w:val="20"/>
        </w:rPr>
        <w:t xml:space="preserve">Universal Pre-K: federal-state partnership providing free pre-K for all 3- and 4-year-olds. Federal share: 90% of cost in Year 1, declining to 60% by Year 5. Estimated federal annual cost at full implementation: approximately $40–60B/year. 10-year cost: approximately $300–400B. Mandatory or discretionary federal-state partnership.</w:t>
      </w:r>
    </w:p>
    <w:p>
      <w:pPr>
        <w:pStyle w:val="ListParagraph"/>
        <w:numPr>
          <w:ilvl w:val="0"/>
          <w:numId w:val="2"/>
        </w:numPr>
        <w:spacing w:after="40" w:before="40"/>
      </w:pPr>
      <w:r>
        <w:rPr>
          <w:rFonts w:ascii="Arial" w:cs="Arial" w:eastAsia="Arial" w:hAnsi="Arial"/>
          <w:sz w:val="20"/>
          <w:szCs w:val="20"/>
        </w:rPr>
        <w:t xml:space="preserve">Child care stabilization: $20B/year in state grants; require $20/hour wage floor for child care workers at federally-funded programs; cap family child care costs at 7% of income for households below 250% FPL. Total 10-year federal cost: approximately $200B. Mandatory/discretionary.</w:t>
      </w:r>
    </w:p>
    <w:p>
      <w:pPr>
        <w:pStyle w:val="ListParagraph"/>
        <w:numPr>
          <w:ilvl w:val="0"/>
          <w:numId w:val="2"/>
        </w:numPr>
        <w:spacing w:after="40" w:before="40"/>
      </w:pPr>
      <w:r>
        <w:rPr>
          <w:rFonts w:ascii="Arial" w:cs="Arial" w:eastAsia="Arial" w:hAnsi="Arial"/>
          <w:sz w:val="20"/>
          <w:szCs w:val="20"/>
        </w:rPr>
        <w:t xml:space="preserve">Restore Head Start and Early Head Start to FY2024 enacted level of $12.27B/year. Current levels have been disrupted by DOGE. This is a restoration to the most recent enacted level, not an expansion. If current levels are below $12.27B at time of enactment, score as a discretionary increase back to $12.27B.</w:t>
      </w:r>
    </w:p>
    <w:p>
      <w:pPr>
        <w:pStyle w:val="ListParagraph"/>
        <w:numPr>
          <w:ilvl w:val="0"/>
          <w:numId w:val="2"/>
        </w:numPr>
        <w:spacing w:after="40" w:before="40"/>
      </w:pPr>
      <w:r>
        <w:rPr>
          <w:rFonts w:ascii="Arial" w:cs="Arial" w:eastAsia="Arial" w:hAnsi="Arial"/>
          <w:sz w:val="20"/>
          <w:szCs w:val="20"/>
        </w:rPr>
        <w:t xml:space="preserve">Federal Student Aid technology modernization: $2B over 5 years ($400M/year). Discretionary.</w:t>
      </w:r>
    </w:p>
    <w:p>
      <w:pPr>
        <w:pStyle w:val="Heading2"/>
        <w:spacing w:after="80" w:before="240"/>
      </w:pPr>
      <w:r>
        <w:rPr>
          <w:rFonts w:ascii="Arial" w:cs="Arial" w:eastAsia="Arial" w:hAnsi="Arial"/>
          <w:b/>
          <w:bCs/>
          <w:sz w:val="24"/>
          <w:szCs w:val="24"/>
        </w:rPr>
        <w:t xml:space="preserve">10.5 Community Schools</w:t>
      </w:r>
    </w:p>
    <w:p>
      <w:pPr>
        <w:pStyle w:val="ListParagraph"/>
        <w:numPr>
          <w:ilvl w:val="0"/>
          <w:numId w:val="2"/>
        </w:numPr>
        <w:spacing w:after="40" w:before="40"/>
      </w:pPr>
      <w:r>
        <w:rPr>
          <w:rFonts w:ascii="Arial" w:cs="Arial" w:eastAsia="Arial" w:hAnsi="Arial"/>
          <w:sz w:val="20"/>
          <w:szCs w:val="20"/>
        </w:rPr>
        <w:t xml:space="preserve">Restore community schools grants to the FY2024 enacted level of approximately $167M/year, then expand to approximately $500M/year. Discretionary. Community schools integrate wraparound services (health, mental health, family support, extended learning) co-located at schools.</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11: TECHNOLOGY AND ARTIFICIAL INTELLIGENCE</w:t>
      </w:r>
    </w:p>
    <w:p>
      <w:pPr>
        <w:spacing w:after="60" w:before="60"/>
      </w:pPr>
    </w:p>
    <w:p>
      <w:pPr>
        <w:pStyle w:val="Heading2"/>
        <w:spacing w:after="80" w:before="240"/>
      </w:pPr>
      <w:r>
        <w:rPr>
          <w:rFonts w:ascii="Arial" w:cs="Arial" w:eastAsia="Arial" w:hAnsi="Arial"/>
          <w:b/>
          <w:bCs/>
          <w:sz w:val="24"/>
          <w:szCs w:val="24"/>
        </w:rPr>
        <w:t xml:space="preserve">11.1 AI Safety and Research Infrastructure</w:t>
      </w:r>
    </w:p>
    <w:p>
      <w:pPr>
        <w:pStyle w:val="ListParagraph"/>
        <w:numPr>
          <w:ilvl w:val="0"/>
          <w:numId w:val="2"/>
        </w:numPr>
        <w:spacing w:after="40" w:before="40"/>
      </w:pPr>
      <w:r>
        <w:rPr>
          <w:rFonts w:ascii="Arial" w:cs="Arial" w:eastAsia="Arial" w:hAnsi="Arial"/>
          <w:sz w:val="20"/>
          <w:szCs w:val="20"/>
        </w:rPr>
        <w:t xml:space="preserve">Restore and expand AI Safety Institute at NIST: $2B over 5 years ($400M/year). Discretionary. Senate-confirmed director; independent governance.</w:t>
      </w:r>
    </w:p>
    <w:p>
      <w:pPr>
        <w:pStyle w:val="ListParagraph"/>
        <w:numPr>
          <w:ilvl w:val="0"/>
          <w:numId w:val="2"/>
        </w:numPr>
        <w:spacing w:after="40" w:before="40"/>
      </w:pPr>
      <w:r>
        <w:rPr>
          <w:rFonts w:ascii="Arial" w:cs="Arial" w:eastAsia="Arial" w:hAnsi="Arial"/>
          <w:sz w:val="20"/>
          <w:szCs w:val="20"/>
        </w:rPr>
        <w:t xml:space="preserve">National AI Research Cloud: $10B over 5 years ($2B/year) in shared computing infrastructure for academic researchers, nonprofits, and startups. Discretionary.</w:t>
      </w:r>
    </w:p>
    <w:p>
      <w:pPr>
        <w:pStyle w:val="ListParagraph"/>
        <w:numPr>
          <w:ilvl w:val="0"/>
          <w:numId w:val="2"/>
        </w:numPr>
        <w:spacing w:after="40" w:before="40"/>
      </w:pPr>
      <w:r>
        <w:rPr>
          <w:rFonts w:ascii="Arial" w:cs="Arial" w:eastAsia="Arial" w:hAnsi="Arial"/>
          <w:sz w:val="20"/>
          <w:szCs w:val="20"/>
        </w:rPr>
        <w:t xml:space="preserve">Expand NSF AI research funding from approximately $800M/year to $5B/year: additional discretionary appropriation of approximately $4.2B/year. Total additional 10-year discretionary cost: approximately $42B.</w:t>
      </w:r>
    </w:p>
    <w:p>
      <w:pPr>
        <w:pStyle w:val="Heading2"/>
        <w:spacing w:after="80" w:before="240"/>
      </w:pPr>
      <w:r>
        <w:rPr>
          <w:rFonts w:ascii="Arial" w:cs="Arial" w:eastAsia="Arial" w:hAnsi="Arial"/>
          <w:b/>
          <w:bCs/>
          <w:sz w:val="24"/>
          <w:szCs w:val="24"/>
        </w:rPr>
        <w:t xml:space="preserve">11.2 AI Worker Transition Fund</w:t>
      </w:r>
    </w:p>
    <w:p>
      <w:pPr>
        <w:pStyle w:val="ListParagraph"/>
        <w:numPr>
          <w:ilvl w:val="0"/>
          <w:numId w:val="2"/>
        </w:numPr>
        <w:spacing w:after="40" w:before="40"/>
      </w:pPr>
      <w:r>
        <w:rPr>
          <w:rFonts w:ascii="Arial" w:cs="Arial" w:eastAsia="Arial" w:hAnsi="Arial"/>
          <w:sz w:val="20"/>
          <w:szCs w:val="20"/>
        </w:rPr>
        <w:t xml:space="preserve">Establish the AI Worker Transition Fund: $200B over 10 years ($20B/year), funded by the 0.5% AI revenue levy (Section 1.10). Benefits: 24-month extended unemployment insurance for workers with documented AI-driven displacement (up from the standard 26-week UI); wage insurance for workers who accept lower-paying jobs in transition (50% of wage gap for 2 years); relocation assistance. Mandatory spending funded by dedicated levy revenue. Net fiscal impact depends on levy collections; the fund may be self-financing or require supplemental appropriations if revenues fall short.</w:t>
      </w:r>
    </w:p>
    <w:p>
      <w:pPr>
        <w:pStyle w:val="ListParagraph"/>
        <w:numPr>
          <w:ilvl w:val="0"/>
          <w:numId w:val="2"/>
        </w:numPr>
        <w:spacing w:after="40" w:before="40"/>
      </w:pPr>
      <w:r>
        <w:rPr>
          <w:rFonts w:ascii="Arial" w:cs="Arial" w:eastAsia="Arial" w:hAnsi="Arial"/>
          <w:sz w:val="20"/>
          <w:szCs w:val="20"/>
        </w:rPr>
        <w:t xml:space="preserve">AI upskilling and workforce development programs: $50B over 10 years ($5B/year) for national AI literacy training through community colleges, libraries, and online platforms. Discretionary.</w:t>
      </w:r>
    </w:p>
    <w:p>
      <w:pPr>
        <w:pStyle w:val="Heading2"/>
        <w:spacing w:after="80" w:before="240"/>
      </w:pPr>
      <w:r>
        <w:rPr>
          <w:rFonts w:ascii="Arial" w:cs="Arial" w:eastAsia="Arial" w:hAnsi="Arial"/>
          <w:b/>
          <w:bCs/>
          <w:sz w:val="24"/>
          <w:szCs w:val="24"/>
        </w:rPr>
        <w:t xml:space="preserve">11.3 Data Labor Compensation Fund</w:t>
      </w:r>
    </w:p>
    <w:p>
      <w:pPr>
        <w:pStyle w:val="ListParagraph"/>
        <w:numPr>
          <w:ilvl w:val="0"/>
          <w:numId w:val="2"/>
        </w:numPr>
        <w:spacing w:after="40" w:before="40"/>
      </w:pPr>
      <w:r>
        <w:rPr>
          <w:rFonts w:ascii="Arial" w:cs="Arial" w:eastAsia="Arial" w:hAnsi="Arial"/>
          <w:sz w:val="20"/>
          <w:szCs w:val="20"/>
        </w:rPr>
        <w:t xml:space="preserve">Establish the Data Labor Compensation Fund: funded by the 1% AI revenue levy (Section 1.10) on companies with revenues above $500M substantially derived from content trained on publicly accessible human-generated content. Distributed to registered content creators, artists, journalists, and other affected workers. Mandatory dedicated fund. Net fiscal impact: near-neutral if the fund's outflows match incoming levy revenues.</w:t>
      </w:r>
    </w:p>
    <w:p>
      <w:pPr>
        <w:pStyle w:val="Heading2"/>
        <w:spacing w:after="80" w:before="240"/>
      </w:pPr>
      <w:r>
        <w:rPr>
          <w:rFonts w:ascii="Arial" w:cs="Arial" w:eastAsia="Arial" w:hAnsi="Arial"/>
          <w:b/>
          <w:bCs/>
          <w:sz w:val="24"/>
          <w:szCs w:val="24"/>
        </w:rPr>
        <w:t xml:space="preserve">11.4 Data Privacy Enforcement</w:t>
      </w:r>
    </w:p>
    <w:p>
      <w:pPr>
        <w:pStyle w:val="ListParagraph"/>
        <w:numPr>
          <w:ilvl w:val="0"/>
          <w:numId w:val="2"/>
        </w:numPr>
        <w:spacing w:after="40" w:before="40"/>
      </w:pPr>
      <w:r>
        <w:rPr>
          <w:rFonts w:ascii="Arial" w:cs="Arial" w:eastAsia="Arial" w:hAnsi="Arial"/>
          <w:sz w:val="20"/>
          <w:szCs w:val="20"/>
        </w:rPr>
        <w:t xml:space="preserve">Federal data privacy law — FTC enforcement: 500 additional FTC privacy enforcement staff. Discretionary, included within the FTC budget expansion in Section 5.1.</w:t>
      </w:r>
    </w:p>
    <w:p>
      <w:pPr>
        <w:pStyle w:val="Heading2"/>
        <w:spacing w:after="80" w:before="240"/>
      </w:pPr>
      <w:r>
        <w:rPr>
          <w:rFonts w:ascii="Arial" w:cs="Arial" w:eastAsia="Arial" w:hAnsi="Arial"/>
          <w:b/>
          <w:bCs/>
          <w:sz w:val="24"/>
          <w:szCs w:val="24"/>
        </w:rPr>
        <w:t xml:space="preserve">11.5 Digital Media and Public Media</w:t>
      </w:r>
    </w:p>
    <w:p>
      <w:pPr>
        <w:pStyle w:val="ListParagraph"/>
        <w:numPr>
          <w:ilvl w:val="0"/>
          <w:numId w:val="2"/>
        </w:numPr>
        <w:spacing w:after="40" w:before="40"/>
      </w:pPr>
      <w:r>
        <w:rPr>
          <w:rFonts w:ascii="Arial" w:cs="Arial" w:eastAsia="Arial" w:hAnsi="Arial"/>
          <w:sz w:val="20"/>
          <w:szCs w:val="20"/>
        </w:rPr>
        <w:t xml:space="preserve">Digital Media Literacy Initiative: $500M over 5 years ($100M/year). Discretionary.</w:t>
      </w:r>
    </w:p>
    <w:p>
      <w:pPr>
        <w:pStyle w:val="ListParagraph"/>
        <w:numPr>
          <w:ilvl w:val="0"/>
          <w:numId w:val="2"/>
        </w:numPr>
        <w:spacing w:after="40" w:before="40"/>
      </w:pPr>
      <w:r>
        <w:rPr>
          <w:rFonts w:ascii="Arial" w:cs="Arial" w:eastAsia="Arial" w:hAnsi="Arial"/>
          <w:sz w:val="20"/>
          <w:szCs w:val="20"/>
        </w:rPr>
        <w:t xml:space="preserve">Restore and expand public media (NPR, PBS, local public radio and television): $20B over 10 years ($2B/year). Corporation for Public Broadcasting FY2024 appropriation was approximately $535M; this proposal increases federal public media investment to approximately $2B/year, a roughly 4x increase. Discretionary.</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12: CRIMINAL JUSTICE REFORM</w:t>
      </w:r>
    </w:p>
    <w:p>
      <w:pPr>
        <w:spacing w:after="60" w:before="60"/>
      </w:pPr>
    </w:p>
    <w:p>
      <w:pPr>
        <w:pStyle w:val="ListParagraph"/>
        <w:numPr>
          <w:ilvl w:val="0"/>
          <w:numId w:val="2"/>
        </w:numPr>
        <w:spacing w:after="40" w:before="40"/>
      </w:pPr>
      <w:r>
        <w:rPr>
          <w:rFonts w:ascii="Arial" w:cs="Arial" w:eastAsia="Arial" w:hAnsi="Arial"/>
          <w:sz w:val="20"/>
          <w:szCs w:val="20"/>
        </w:rPr>
        <w:t xml:space="preserve">Community violence intervention programs: $5B over 5 years ($1B/year). Discretionary DOJ grants to evidence-based community violence intervention programs (e.g., Chicago READI, Oakland Ceasefire model).</w:t>
      </w:r>
    </w:p>
    <w:p>
      <w:pPr>
        <w:pStyle w:val="ListParagraph"/>
        <w:numPr>
          <w:ilvl w:val="0"/>
          <w:numId w:val="2"/>
        </w:numPr>
        <w:spacing w:after="40" w:before="40"/>
      </w:pPr>
      <w:r>
        <w:rPr>
          <w:rFonts w:ascii="Arial" w:cs="Arial" w:eastAsia="Arial" w:hAnsi="Arial"/>
          <w:sz w:val="20"/>
          <w:szCs w:val="20"/>
        </w:rPr>
        <w:t xml:space="preserve">Mental health co-responder programs: $3B over 5 years ($600M/year) for initial establishment, then approximately $3B/year for ongoing operations at scale (targeting 1,000+ jurisdictions). Total 10-year cost: approximately $30B. Discretionary grants to states and localities.</w:t>
      </w:r>
    </w:p>
    <w:p>
      <w:pPr>
        <w:pStyle w:val="ListParagraph"/>
        <w:numPr>
          <w:ilvl w:val="0"/>
          <w:numId w:val="2"/>
        </w:numPr>
        <w:spacing w:after="40" w:before="40"/>
      </w:pPr>
      <w:r>
        <w:rPr>
          <w:rFonts w:ascii="Arial" w:cs="Arial" w:eastAsia="Arial" w:hAnsi="Arial"/>
          <w:sz w:val="20"/>
          <w:szCs w:val="20"/>
        </w:rPr>
        <w:t xml:space="preserve">Crisis stabilization centers: $15B over 10 years ($1.5B/year). Discretionary.</w:t>
      </w:r>
    </w:p>
    <w:p>
      <w:pPr>
        <w:pStyle w:val="ListParagraph"/>
        <w:numPr>
          <w:ilvl w:val="0"/>
          <w:numId w:val="2"/>
        </w:numPr>
        <w:spacing w:after="40" w:before="40"/>
      </w:pPr>
      <w:r>
        <w:rPr>
          <w:rFonts w:ascii="Arial" w:cs="Arial" w:eastAsia="Arial" w:hAnsi="Arial"/>
          <w:sz w:val="20"/>
          <w:szCs w:val="20"/>
        </w:rPr>
        <w:t xml:space="preserve">Transitional reentry housing: 10,000 transitional housing beds nationally. $15B over 10 years ($1.5B/year). Discretionary HUD/DOJ grants.</w:t>
      </w:r>
    </w:p>
    <w:p>
      <w:pPr>
        <w:pStyle w:val="ListParagraph"/>
        <w:numPr>
          <w:ilvl w:val="0"/>
          <w:numId w:val="2"/>
        </w:numPr>
        <w:spacing w:after="40" w:before="40"/>
      </w:pPr>
      <w:r>
        <w:rPr>
          <w:rFonts w:ascii="Arial" w:cs="Arial" w:eastAsia="Arial" w:hAnsi="Arial"/>
          <w:sz w:val="20"/>
          <w:szCs w:val="20"/>
        </w:rPr>
        <w:t xml:space="preserve">Prison education — Pell Grant restoration and expansion: restore Pell Grant eligibility for all incarcerated students at federal and state facilities. Fund vocational training and professional certification programs. Mandatory Pell Grant spending increase: estimated $300–500M/year at current incarcerated population levels (approximately 2M total; perhaps 500,000 pursuing education programs). Total 10-year mandatory cost: approximately $3–5B. Additional discretionary vocational training grants: approximately $1.5B/year additional, for a total of approximately $20B over 10 years inclusive of both.</w:t>
      </w:r>
    </w:p>
    <w:p>
      <w:pPr>
        <w:pStyle w:val="ListParagraph"/>
        <w:numPr>
          <w:ilvl w:val="0"/>
          <w:numId w:val="2"/>
        </w:numPr>
        <w:spacing w:after="40" w:before="40"/>
      </w:pPr>
      <w:r>
        <w:rPr>
          <w:rFonts w:ascii="Arial" w:cs="Arial" w:eastAsia="Arial" w:hAnsi="Arial"/>
          <w:sz w:val="20"/>
          <w:szCs w:val="20"/>
        </w:rPr>
        <w:t xml:space="preserve">Second Chance Hiring Tax Credit: 40% wage subsidy for employers hiring people within 3 years of release from state or federal incarceration, applicable to the first year of employment. Tax expenditure (refundable credit). Estimated cost: $1B/year. Total 10-year tax expenditure: approximately $10B.</w:t>
      </w:r>
    </w:p>
    <w:p>
      <w:pPr>
        <w:pStyle w:val="ListParagraph"/>
        <w:numPr>
          <w:ilvl w:val="0"/>
          <w:numId w:val="2"/>
        </w:numPr>
        <w:spacing w:after="40" w:before="40"/>
      </w:pPr>
      <w:r>
        <w:rPr>
          <w:rFonts w:ascii="Arial" w:cs="Arial" w:eastAsia="Arial" w:hAnsi="Arial"/>
          <w:sz w:val="20"/>
          <w:szCs w:val="20"/>
        </w:rPr>
        <w:t xml:space="preserve">DOJ Civil Rights Division expansion: 300 additional civil rights attorneys. Discretionary, approximately $500M/year. Total 10-year cost: approximately $5B.</w:t>
      </w:r>
    </w:p>
    <w:p>
      <w:pPr>
        <w:pStyle w:val="ListParagraph"/>
        <w:numPr>
          <w:ilvl w:val="0"/>
          <w:numId w:val="2"/>
        </w:numPr>
        <w:spacing w:after="40" w:before="40"/>
      </w:pPr>
      <w:r>
        <w:rPr>
          <w:rFonts w:ascii="Arial" w:cs="Arial" w:eastAsia="Arial" w:hAnsi="Arial"/>
          <w:sz w:val="20"/>
          <w:szCs w:val="20"/>
        </w:rPr>
        <w:t xml:space="preserve">Juvenile crime prevention programs: $10B over 10 years ($1B/year). Discretionary DOJ grants to evidence-based prevention programs.</w:t>
      </w:r>
    </w:p>
    <w:p>
      <w:pPr>
        <w:pStyle w:val="ListParagraph"/>
        <w:numPr>
          <w:ilvl w:val="0"/>
          <w:numId w:val="2"/>
        </w:numPr>
        <w:spacing w:after="40" w:before="40"/>
      </w:pPr>
      <w:r>
        <w:rPr>
          <w:rFonts w:ascii="Arial" w:cs="Arial" w:eastAsia="Arial" w:hAnsi="Arial"/>
          <w:sz w:val="20"/>
          <w:szCs w:val="20"/>
        </w:rPr>
        <w:t xml:space="preserve">Reentry navigation programs: $5B over 10 years ($500M/year). Discretionary.</w:t>
      </w:r>
    </w:p>
    <w:p>
      <w:pPr>
        <w:pStyle w:val="ListParagraph"/>
        <w:numPr>
          <w:ilvl w:val="0"/>
          <w:numId w:val="2"/>
        </w:numPr>
        <w:spacing w:after="40" w:before="40"/>
      </w:pPr>
      <w:r>
        <w:rPr>
          <w:rFonts w:ascii="Arial" w:cs="Arial" w:eastAsia="Arial" w:hAnsi="Arial"/>
          <w:sz w:val="20"/>
          <w:szCs w:val="20"/>
        </w:rPr>
        <w:t xml:space="preserve">Medicaid enrollment on prison release day and 30-day medication supply: mandatory Medicaid spending increase. Medicaid enrollment for the approximately 600,000 people released from state and federal prisons annually would cost approximately $2,000–3,000/person in the first year (pre-existing conditions, mental health, substance use). Estimated $1.2–1.8B/year in additional mandatory Medicaid spending.</w:t>
      </w:r>
    </w:p>
    <w:p>
      <w:pPr>
        <w:pStyle w:val="ListParagraph"/>
        <w:numPr>
          <w:ilvl w:val="0"/>
          <w:numId w:val="2"/>
        </w:numPr>
        <w:spacing w:after="40" w:before="40"/>
      </w:pPr>
      <w:r>
        <w:rPr>
          <w:rFonts w:ascii="Arial" w:cs="Arial" w:eastAsia="Arial" w:hAnsi="Arial"/>
          <w:sz w:val="20"/>
          <w:szCs w:val="20"/>
        </w:rPr>
        <w:t xml:space="preserve">Second Step Act retroactive resentencing of approximately 6,000 federal prisoners: BOP cost reduction (fewer prisoner-years) minus resentencing administrative costs. Net savings to federal government from early release of 6,000 people at $43,000/person/year: approximately $258M/year in avoided incarceration costs. One-time administrative costs for resentencing proceedings: approximately $50–100M.</w:t>
      </w:r>
    </w:p>
    <w:p>
      <w:pPr>
        <w:pStyle w:val="ListParagraph"/>
        <w:numPr>
          <w:ilvl w:val="0"/>
          <w:numId w:val="2"/>
        </w:numPr>
        <w:spacing w:after="40" w:before="40"/>
      </w:pPr>
      <w:r>
        <w:rPr>
          <w:rFonts w:ascii="Arial" w:cs="Arial" w:eastAsia="Arial" w:hAnsi="Arial"/>
          <w:sz w:val="20"/>
          <w:szCs w:val="20"/>
        </w:rPr>
        <w:t xml:space="preserve">Voting Rights Restoration for the Incarcerated Act: minimal direct fiscal impact; administrative costs for voter registration expansion. Estimated $10–50M (one-time election administration grants to states).</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13: SOCIAL INSURANCE AND FAMILY ECONOMIC SECURITY</w:t>
      </w:r>
    </w:p>
    <w:p>
      <w:pPr>
        <w:spacing w:after="60" w:before="60"/>
      </w:pPr>
    </w:p>
    <w:p>
      <w:pPr>
        <w:pStyle w:val="ListParagraph"/>
        <w:numPr>
          <w:ilvl w:val="0"/>
          <w:numId w:val="2"/>
        </w:numPr>
        <w:spacing w:after="40" w:before="40"/>
      </w:pPr>
      <w:r>
        <w:rPr>
          <w:rFonts w:ascii="Arial" w:cs="Arial" w:eastAsia="Arial" w:hAnsi="Arial"/>
          <w:sz w:val="20"/>
          <w:szCs w:val="20"/>
        </w:rPr>
        <w:t xml:space="preserve">Make the American Rescue Plan Act's expanded Child Tax Credit permanent: maximum credit of $3,600 per child under age 6 and $3,000 per child ages 6–17; fully refundable (including for families with no earned income). Under TCJA, the maximum was $2,000 with limited refundability. This provision costs approximately $120–130B/year in mandatory spending. Total 10-year mandatory cost: approximately $900B–$1.1T.</w:t>
      </w:r>
    </w:p>
    <w:p>
      <w:pPr>
        <w:pStyle w:val="ListParagraph"/>
        <w:numPr>
          <w:ilvl w:val="0"/>
          <w:numId w:val="2"/>
        </w:numPr>
        <w:spacing w:after="40" w:before="40"/>
      </w:pPr>
      <w:r>
        <w:rPr>
          <w:rFonts w:ascii="Arial" w:cs="Arial" w:eastAsia="Arial" w:hAnsi="Arial"/>
          <w:sz w:val="20"/>
          <w:szCs w:val="20"/>
        </w:rPr>
        <w:t xml:space="preserve">Expand the Earned Income Tax Credit to ARP levels: restore enhanced credit for childless workers (maximum credit raised from approximately $500 to approximately $1,500; eligibility age expanded from 25–64 to 19–64 with no upper age limit). Estimated mandatory/tax expenditure cost: approximately $20–25B/year. Total 10-year cost: approximately $200–250B.</w:t>
      </w:r>
    </w:p>
    <w:p>
      <w:pPr>
        <w:pStyle w:val="ListParagraph"/>
        <w:numPr>
          <w:ilvl w:val="0"/>
          <w:numId w:val="2"/>
        </w:numPr>
        <w:spacing w:after="40" w:before="40"/>
      </w:pPr>
      <w:r>
        <w:rPr>
          <w:rFonts w:ascii="Arial" w:cs="Arial" w:eastAsia="Arial" w:hAnsi="Arial"/>
          <w:sz w:val="20"/>
          <w:szCs w:val="20"/>
        </w:rPr>
        <w:t xml:space="preserve">HCBS waiver waitlist elimination: $50B over 5 years ($10B/year). Mandatory/discretionary. Listed also in Section 2.1; score once.</w:t>
      </w:r>
    </w:p>
    <w:p>
      <w:pPr>
        <w:pStyle w:val="ListParagraph"/>
        <w:numPr>
          <w:ilvl w:val="0"/>
          <w:numId w:val="2"/>
        </w:numPr>
        <w:spacing w:after="40" w:before="40"/>
      </w:pPr>
      <w:r>
        <w:rPr>
          <w:rFonts w:ascii="Arial" w:cs="Arial" w:eastAsia="Arial" w:hAnsi="Arial"/>
          <w:sz w:val="20"/>
          <w:szCs w:val="20"/>
        </w:rPr>
        <w:t xml:space="preserve">Federal long-term care insurance program: scored in Section 2.6 (payroll contribution funded). Cross-reference; do not double-count.</w:t>
      </w:r>
    </w:p>
    <w:p>
      <w:pPr>
        <w:pStyle w:val="ListParagraph"/>
        <w:numPr>
          <w:ilvl w:val="0"/>
          <w:numId w:val="2"/>
        </w:numPr>
        <w:spacing w:after="40" w:before="40"/>
      </w:pPr>
      <w:r>
        <w:rPr>
          <w:rFonts w:ascii="Arial" w:cs="Arial" w:eastAsia="Arial" w:hAnsi="Arial"/>
          <w:sz w:val="20"/>
          <w:szCs w:val="20"/>
        </w:rPr>
        <w:t xml:space="preserve">Automatic benefits enrollment across SNAP, Medicaid, CHIP, EITC, housing assistance, and LIHEAP: scored in Section 1.12. Cross-reference; do not double-count.</w:t>
      </w:r>
    </w:p>
    <w:p>
      <w:pPr>
        <w:pBdr>
          <w:bottom w:val="single" w:color="AAAAAA" w:sz="4"/>
        </w:pBdr>
        <w:spacing w:after="120" w:before="120"/>
      </w:pPr>
    </w:p>
    <w:p>
      <w:pPr>
        <w:spacing w:after="60" w:before="60"/>
      </w:pPr>
    </w:p>
    <w:p>
      <w:pPr>
        <w:pStyle w:val="Heading1"/>
      </w:pPr>
      <w:r>
        <w:rPr>
          <w:rFonts w:ascii="Arial" w:cs="Arial" w:eastAsia="Arial" w:hAnsi="Arial"/>
          <w:b/>
          <w:bCs/>
          <w:sz w:val="28"/>
          <w:szCs w:val="28"/>
        </w:rPr>
        <w:t xml:space="preserve">SECTION 14: CONSOLIDATED FISCAL SUMMARY FOR CBO REFERENCE</w:t>
      </w:r>
    </w:p>
    <w:p>
      <w:pPr>
        <w:spacing w:after="60" w:before="60"/>
      </w:pPr>
      <w:r>
        <w:rPr>
          <w:rFonts w:ascii="Arial" w:cs="Arial" w:eastAsia="Arial" w:hAnsi="Arial"/>
          <w:sz w:val="20"/>
          <w:szCs w:val="20"/>
        </w:rPr>
        <w:t xml:space="preserve">The table below summarizes estimated 10-year fiscal impacts by category. All figures are in billions of dollars over the FY2029–FY2038 window unless noted. Figures marked † are speculative or contingent; all others are drawn directly from the framework or adjusted based on official appropriations data.</w:t>
      </w:r>
    </w:p>
    <w:p>
      <w:pPr>
        <w:spacing w:after="60" w:before="60"/>
      </w:pPr>
    </w:p>
    <w:p>
      <w:pPr>
        <w:spacing w:after="40" w:before="60"/>
      </w:pPr>
      <w:r>
        <w:rPr>
          <w:rFonts w:ascii="Arial" w:cs="Arial" w:eastAsia="Arial" w:hAnsi="Arial"/>
          <w:b/>
          <w:bCs/>
          <w:sz w:val="20"/>
          <w:szCs w:val="20"/>
        </w:rPr>
        <w:t xml:space="preserve">REVENUE ITEMS (increase federal revenues):</w:t>
      </w:r>
    </w:p>
    <w:p>
      <w:pPr>
        <w:pStyle w:val="ListParagraph"/>
        <w:numPr>
          <w:ilvl w:val="0"/>
          <w:numId w:val="2"/>
        </w:numPr>
        <w:spacing w:after="40" w:before="40"/>
      </w:pPr>
      <w:r>
        <w:rPr>
          <w:rFonts w:ascii="Arial" w:cs="Arial" w:eastAsia="Arial" w:hAnsi="Arial"/>
          <w:sz w:val="20"/>
          <w:szCs w:val="20"/>
        </w:rPr>
        <w:t xml:space="preserve">TCJA/OBBBA top-rate reversal (incomes &gt;$400K): +$1,500–$2,000B</w:t>
      </w:r>
    </w:p>
    <w:p>
      <w:pPr>
        <w:pStyle w:val="ListParagraph"/>
        <w:numPr>
          <w:ilvl w:val="0"/>
          <w:numId w:val="2"/>
        </w:numPr>
        <w:spacing w:after="40" w:before="40"/>
      </w:pPr>
      <w:r>
        <w:rPr>
          <w:rFonts w:ascii="Arial" w:cs="Arial" w:eastAsia="Arial" w:hAnsi="Arial"/>
          <w:sz w:val="20"/>
          <w:szCs w:val="20"/>
        </w:rPr>
        <w:t xml:space="preserve">Corporate rate increase (21% → 28%): +$700–$900B</w:t>
      </w:r>
    </w:p>
    <w:p>
      <w:pPr>
        <w:pStyle w:val="ListParagraph"/>
        <w:numPr>
          <w:ilvl w:val="0"/>
          <w:numId w:val="2"/>
        </w:numPr>
        <w:spacing w:after="40" w:before="40"/>
      </w:pPr>
      <w:r>
        <w:rPr>
          <w:rFonts w:ascii="Arial" w:cs="Arial" w:eastAsia="Arial" w:hAnsi="Arial"/>
          <w:sz w:val="20"/>
          <w:szCs w:val="20"/>
        </w:rPr>
        <w:t xml:space="preserve">GILTI/BEAT/offshore reform: +$400–600B</w:t>
      </w:r>
    </w:p>
    <w:p>
      <w:pPr>
        <w:pStyle w:val="ListParagraph"/>
        <w:numPr>
          <w:ilvl w:val="0"/>
          <w:numId w:val="2"/>
        </w:numPr>
        <w:spacing w:after="40" w:before="40"/>
      </w:pPr>
      <w:r>
        <w:rPr>
          <w:rFonts w:ascii="Arial" w:cs="Arial" w:eastAsia="Arial" w:hAnsi="Arial"/>
          <w:sz w:val="20"/>
          <w:szCs w:val="20"/>
        </w:rPr>
        <w:t xml:space="preserve">Stepped-up basis elimination: +$200–$300B</w:t>
      </w:r>
    </w:p>
    <w:p>
      <w:pPr>
        <w:pStyle w:val="ListParagraph"/>
        <w:numPr>
          <w:ilvl w:val="0"/>
          <w:numId w:val="2"/>
        </w:numPr>
        <w:spacing w:after="40" w:before="40"/>
      </w:pPr>
      <w:r>
        <w:rPr>
          <w:rFonts w:ascii="Arial" w:cs="Arial" w:eastAsia="Arial" w:hAnsi="Arial"/>
          <w:sz w:val="20"/>
          <w:szCs w:val="20"/>
        </w:rPr>
        <w:t xml:space="preserve">Wealth tax (2%/$50M+ and 4%/$1B+): +$2,000–$2,500B (contingent on legal viability)</w:t>
      </w:r>
    </w:p>
    <w:p>
      <w:pPr>
        <w:pStyle w:val="ListParagraph"/>
        <w:numPr>
          <w:ilvl w:val="0"/>
          <w:numId w:val="2"/>
        </w:numPr>
        <w:spacing w:after="40" w:before="40"/>
      </w:pPr>
      <w:r>
        <w:rPr>
          <w:rFonts w:ascii="Arial" w:cs="Arial" w:eastAsia="Arial" w:hAnsi="Arial"/>
          <w:sz w:val="20"/>
          <w:szCs w:val="20"/>
        </w:rPr>
        <w:t xml:space="preserve">Capital gains at ordinary income rates (&gt;$1M AGI): +$400–$600B</w:t>
      </w:r>
    </w:p>
    <w:p>
      <w:pPr>
        <w:pStyle w:val="ListParagraph"/>
        <w:numPr>
          <w:ilvl w:val="0"/>
          <w:numId w:val="2"/>
        </w:numPr>
        <w:spacing w:after="40" w:before="40"/>
      </w:pPr>
      <w:r>
        <w:rPr>
          <w:rFonts w:ascii="Arial" w:cs="Arial" w:eastAsia="Arial" w:hAnsi="Arial"/>
          <w:sz w:val="20"/>
          <w:szCs w:val="20"/>
        </w:rPr>
        <w:t xml:space="preserve">Unrealized gains at death (&gt;$5M): +$200–$350B</w:t>
      </w:r>
    </w:p>
    <w:p>
      <w:pPr>
        <w:pStyle w:val="ListParagraph"/>
        <w:numPr>
          <w:ilvl w:val="0"/>
          <w:numId w:val="2"/>
        </w:numPr>
        <w:spacing w:after="40" w:before="40"/>
      </w:pPr>
      <w:r>
        <w:rPr>
          <w:rFonts w:ascii="Arial" w:cs="Arial" w:eastAsia="Arial" w:hAnsi="Arial"/>
          <w:sz w:val="20"/>
          <w:szCs w:val="20"/>
        </w:rPr>
        <w:t xml:space="preserve">Financial transactions tax (0.1% stocks/bonds; 0.005% derivatives): +$700B–$1,000B</w:t>
      </w:r>
    </w:p>
    <w:p>
      <w:pPr>
        <w:pStyle w:val="ListParagraph"/>
        <w:numPr>
          <w:ilvl w:val="0"/>
          <w:numId w:val="2"/>
        </w:numPr>
        <w:spacing w:after="40" w:before="40"/>
      </w:pPr>
      <w:r>
        <w:rPr>
          <w:rFonts w:ascii="Arial" w:cs="Arial" w:eastAsia="Arial" w:hAnsi="Arial"/>
          <w:sz w:val="20"/>
          <w:szCs w:val="20"/>
        </w:rPr>
        <w:t xml:space="preserve">IRS enforcement and modernization (additional collections): +$200–$600B</w:t>
      </w:r>
    </w:p>
    <w:p>
      <w:pPr>
        <w:pStyle w:val="ListParagraph"/>
        <w:numPr>
          <w:ilvl w:val="0"/>
          <w:numId w:val="2"/>
        </w:numPr>
        <w:spacing w:after="40" w:before="40"/>
      </w:pPr>
      <w:r>
        <w:rPr>
          <w:rFonts w:ascii="Arial" w:cs="Arial" w:eastAsia="Arial" w:hAnsi="Arial"/>
          <w:sz w:val="20"/>
          <w:szCs w:val="20"/>
        </w:rPr>
        <w:t xml:space="preserve">Fossil fuel subsidy elimination: +$200–$300B</w:t>
      </w:r>
    </w:p>
    <w:p>
      <w:pPr>
        <w:pStyle w:val="ListParagraph"/>
        <w:numPr>
          <w:ilvl w:val="0"/>
          <w:numId w:val="2"/>
        </w:numPr>
        <w:spacing w:after="40" w:before="40"/>
      </w:pPr>
      <w:r>
        <w:rPr>
          <w:rFonts w:ascii="Arial" w:cs="Arial" w:eastAsia="Arial" w:hAnsi="Arial"/>
          <w:sz w:val="20"/>
          <w:szCs w:val="20"/>
        </w:rPr>
        <w:t xml:space="preserve">Carried interest loophole closure: +$130–$200B</w:t>
      </w:r>
    </w:p>
    <w:p>
      <w:pPr>
        <w:pStyle w:val="ListParagraph"/>
        <w:numPr>
          <w:ilvl w:val="0"/>
          <w:numId w:val="2"/>
        </w:numPr>
        <w:spacing w:after="40" w:before="40"/>
      </w:pPr>
      <w:r>
        <w:rPr>
          <w:rFonts w:ascii="Arial" w:cs="Arial" w:eastAsia="Arial" w:hAnsi="Arial"/>
          <w:sz w:val="20"/>
          <w:szCs w:val="20"/>
        </w:rPr>
        <w:t xml:space="preserve">Social Security payroll tax cap removal: +$1,000B+ (with offsetting future benefit obligations in the long run)</w:t>
      </w:r>
    </w:p>
    <w:p>
      <w:pPr>
        <w:pStyle w:val="ListParagraph"/>
        <w:numPr>
          <w:ilvl w:val="0"/>
          <w:numId w:val="2"/>
        </w:numPr>
        <w:spacing w:after="40" w:before="40"/>
      </w:pPr>
      <w:r>
        <w:rPr>
          <w:rFonts w:ascii="Arial" w:cs="Arial" w:eastAsia="Arial" w:hAnsi="Arial"/>
          <w:sz w:val="20"/>
          <w:szCs w:val="20"/>
        </w:rPr>
        <w:t xml:space="preserve">AI revenue levies (0.5% worker transition + 1% data labor): +$100–$300B (dependent on AI revenue growth)</w:t>
      </w:r>
    </w:p>
    <w:p>
      <w:pPr>
        <w:pStyle w:val="ListParagraph"/>
        <w:numPr>
          <w:ilvl w:val="0"/>
          <w:numId w:val="2"/>
        </w:numPr>
        <w:spacing w:after="40" w:before="40"/>
      </w:pPr>
      <w:r>
        <w:rPr>
          <w:rFonts w:ascii="Arial" w:cs="Arial" w:eastAsia="Arial" w:hAnsi="Arial"/>
          <w:sz w:val="20"/>
          <w:szCs w:val="20"/>
        </w:rPr>
        <w:t xml:space="preserve">Tariff refunds (IEEPA): -$166B (one-time mandatory outlay, not a revenue item — listed as negative)</w:t>
      </w:r>
    </w:p>
    <w:p>
      <w:pPr>
        <w:spacing w:after="60" w:before="60"/>
      </w:pPr>
    </w:p>
    <w:p>
      <w:pPr>
        <w:spacing w:after="40" w:before="60"/>
      </w:pPr>
      <w:r>
        <w:rPr>
          <w:rFonts w:ascii="Arial" w:cs="Arial" w:eastAsia="Arial" w:hAnsi="Arial"/>
          <w:b/>
          <w:bCs/>
          <w:sz w:val="20"/>
          <w:szCs w:val="20"/>
        </w:rPr>
        <w:t xml:space="preserve">MANDATORY SPENDING ITEMS (increase mandatory outlays):</w:t>
      </w:r>
    </w:p>
    <w:p>
      <w:pPr>
        <w:pStyle w:val="ListParagraph"/>
        <w:numPr>
          <w:ilvl w:val="0"/>
          <w:numId w:val="2"/>
        </w:numPr>
        <w:spacing w:after="40" w:before="40"/>
      </w:pPr>
      <w:r>
        <w:rPr>
          <w:rFonts w:ascii="Arial" w:cs="Arial" w:eastAsia="Arial" w:hAnsi="Arial"/>
          <w:sz w:val="20"/>
          <w:szCs w:val="20"/>
        </w:rPr>
        <w:t xml:space="preserve">Medicaid work requirement repeal + related: +$700B</w:t>
      </w:r>
    </w:p>
    <w:p>
      <w:pPr>
        <w:pStyle w:val="ListParagraph"/>
        <w:numPr>
          <w:ilvl w:val="0"/>
          <w:numId w:val="2"/>
        </w:numPr>
        <w:spacing w:after="40" w:before="40"/>
      </w:pPr>
      <w:r>
        <w:rPr>
          <w:rFonts w:ascii="Arial" w:cs="Arial" w:eastAsia="Arial" w:hAnsi="Arial"/>
          <w:sz w:val="20"/>
          <w:szCs w:val="20"/>
        </w:rPr>
        <w:t xml:space="preserve">ACA subsidy permanence and expansion: +$300–400B</w:t>
      </w:r>
    </w:p>
    <w:p>
      <w:pPr>
        <w:pStyle w:val="ListParagraph"/>
        <w:numPr>
          <w:ilvl w:val="0"/>
          <w:numId w:val="2"/>
        </w:numPr>
        <w:spacing w:after="40" w:before="40"/>
      </w:pPr>
      <w:r>
        <w:rPr>
          <w:rFonts w:ascii="Arial" w:cs="Arial" w:eastAsia="Arial" w:hAnsi="Arial"/>
          <w:sz w:val="20"/>
          <w:szCs w:val="20"/>
        </w:rPr>
        <w:t xml:space="preserve">Medicare PAYGO override: +$500B</w:t>
      </w:r>
    </w:p>
    <w:p>
      <w:pPr>
        <w:pStyle w:val="ListParagraph"/>
        <w:numPr>
          <w:ilvl w:val="0"/>
          <w:numId w:val="2"/>
        </w:numPr>
        <w:spacing w:after="40" w:before="40"/>
      </w:pPr>
      <w:r>
        <w:rPr>
          <w:rFonts w:ascii="Arial" w:cs="Arial" w:eastAsia="Arial" w:hAnsi="Arial"/>
          <w:sz w:val="20"/>
          <w:szCs w:val="20"/>
        </w:rPr>
        <w:t xml:space="preserve">Medicare drug negotiation (savings): -$400 to -$800B</w:t>
      </w:r>
    </w:p>
    <w:p>
      <w:pPr>
        <w:pStyle w:val="ListParagraph"/>
        <w:numPr>
          <w:ilvl w:val="0"/>
          <w:numId w:val="2"/>
        </w:numPr>
        <w:spacing w:after="40" w:before="40"/>
      </w:pPr>
      <w:r>
        <w:rPr>
          <w:rFonts w:ascii="Arial" w:cs="Arial" w:eastAsia="Arial" w:hAnsi="Arial"/>
          <w:sz w:val="20"/>
          <w:szCs w:val="20"/>
        </w:rPr>
        <w:t xml:space="preserve">AmeriCare public option: +$500–$800B (net of premiums)</w:t>
      </w:r>
    </w:p>
    <w:p>
      <w:pPr>
        <w:pStyle w:val="ListParagraph"/>
        <w:numPr>
          <w:ilvl w:val="0"/>
          <w:numId w:val="2"/>
        </w:numPr>
        <w:spacing w:after="40" w:before="40"/>
      </w:pPr>
      <w:r>
        <w:rPr>
          <w:rFonts w:ascii="Arial" w:cs="Arial" w:eastAsia="Arial" w:hAnsi="Arial"/>
          <w:sz w:val="20"/>
          <w:szCs w:val="20"/>
        </w:rPr>
        <w:t xml:space="preserve">Medicare dental/vision/hearing: +$250–$350B</w:t>
      </w:r>
    </w:p>
    <w:p>
      <w:pPr>
        <w:pStyle w:val="ListParagraph"/>
        <w:numPr>
          <w:ilvl w:val="0"/>
          <w:numId w:val="2"/>
        </w:numPr>
        <w:spacing w:after="40" w:before="40"/>
      </w:pPr>
      <w:r>
        <w:rPr>
          <w:rFonts w:ascii="Arial" w:cs="Arial" w:eastAsia="Arial" w:hAnsi="Arial"/>
          <w:sz w:val="20"/>
          <w:szCs w:val="20"/>
        </w:rPr>
        <w:t xml:space="preserve">Long-term care insurance program: +$400B (offset by payroll contributions)</w:t>
      </w:r>
    </w:p>
    <w:p>
      <w:pPr>
        <w:pStyle w:val="ListParagraph"/>
        <w:numPr>
          <w:ilvl w:val="0"/>
          <w:numId w:val="2"/>
        </w:numPr>
        <w:spacing w:after="40" w:before="40"/>
      </w:pPr>
      <w:r>
        <w:rPr>
          <w:rFonts w:ascii="Arial" w:cs="Arial" w:eastAsia="Arial" w:hAnsi="Arial"/>
          <w:sz w:val="20"/>
          <w:szCs w:val="20"/>
        </w:rPr>
        <w:t xml:space="preserve">Child Tax Credit permanence: +$900B–$1,100B</w:t>
      </w:r>
    </w:p>
    <w:p>
      <w:pPr>
        <w:pStyle w:val="ListParagraph"/>
        <w:numPr>
          <w:ilvl w:val="0"/>
          <w:numId w:val="2"/>
        </w:numPr>
        <w:spacing w:after="40" w:before="40"/>
      </w:pPr>
      <w:r>
        <w:rPr>
          <w:rFonts w:ascii="Arial" w:cs="Arial" w:eastAsia="Arial" w:hAnsi="Arial"/>
          <w:sz w:val="20"/>
          <w:szCs w:val="20"/>
        </w:rPr>
        <w:t xml:space="preserve">EITC expansion: +$200–$250B</w:t>
      </w:r>
    </w:p>
    <w:p>
      <w:pPr>
        <w:pStyle w:val="ListParagraph"/>
        <w:numPr>
          <w:ilvl w:val="0"/>
          <w:numId w:val="2"/>
        </w:numPr>
        <w:spacing w:after="40" w:before="40"/>
      </w:pPr>
      <w:r>
        <w:rPr>
          <w:rFonts w:ascii="Arial" w:cs="Arial" w:eastAsia="Arial" w:hAnsi="Arial"/>
          <w:sz w:val="20"/>
          <w:szCs w:val="20"/>
        </w:rPr>
        <w:t xml:space="preserve">Student debt relief (one-time): +$750B–$1,000B</w:t>
      </w:r>
    </w:p>
    <w:p>
      <w:pPr>
        <w:pStyle w:val="ListParagraph"/>
        <w:numPr>
          <w:ilvl w:val="0"/>
          <w:numId w:val="2"/>
        </w:numPr>
        <w:spacing w:after="40" w:before="40"/>
      </w:pPr>
      <w:r>
        <w:rPr>
          <w:rFonts w:ascii="Arial" w:cs="Arial" w:eastAsia="Arial" w:hAnsi="Arial"/>
          <w:sz w:val="20"/>
          <w:szCs w:val="20"/>
        </w:rPr>
        <w:t xml:space="preserve">IDR restoration: +$200–$300B</w:t>
      </w:r>
    </w:p>
    <w:p>
      <w:pPr>
        <w:pStyle w:val="ListParagraph"/>
        <w:numPr>
          <w:ilvl w:val="0"/>
          <w:numId w:val="2"/>
        </w:numPr>
        <w:spacing w:after="40" w:before="40"/>
      </w:pPr>
      <w:r>
        <w:rPr>
          <w:rFonts w:ascii="Arial" w:cs="Arial" w:eastAsia="Arial" w:hAnsi="Arial"/>
          <w:sz w:val="20"/>
          <w:szCs w:val="20"/>
        </w:rPr>
        <w:t xml:space="preserve">Carbon fee dividend: revenue-neutral (gross ~$2–4T over 10 years; fully offset by dividend outlays)</w:t>
      </w:r>
    </w:p>
    <w:p>
      <w:pPr>
        <w:pStyle w:val="ListParagraph"/>
        <w:numPr>
          <w:ilvl w:val="0"/>
          <w:numId w:val="2"/>
        </w:numPr>
        <w:spacing w:after="40" w:before="40"/>
      </w:pPr>
      <w:r>
        <w:rPr>
          <w:rFonts w:ascii="Arial" w:cs="Arial" w:eastAsia="Arial" w:hAnsi="Arial"/>
          <w:sz w:val="20"/>
          <w:szCs w:val="20"/>
        </w:rPr>
        <w:t xml:space="preserve">IEEPA tariff refunds: +$166B (one-time)</w:t>
      </w:r>
    </w:p>
    <w:p>
      <w:pPr>
        <w:pStyle w:val="ListParagraph"/>
        <w:numPr>
          <w:ilvl w:val="0"/>
          <w:numId w:val="2"/>
        </w:numPr>
        <w:spacing w:after="40" w:before="40"/>
      </w:pPr>
      <w:r>
        <w:rPr>
          <w:rFonts w:ascii="Arial" w:cs="Arial" w:eastAsia="Arial" w:hAnsi="Arial"/>
          <w:sz w:val="20"/>
          <w:szCs w:val="20"/>
        </w:rPr>
        <w:t xml:space="preserve">Comprehensive immigration reform (earned legalization): -$1,000 to -$1,500B over 20 years (net fiscally positive per CBO 2013 Gang of Eight precedent; near-term Year 1–5 may be modest net negative)</w:t>
      </w:r>
    </w:p>
    <w:p>
      <w:pPr>
        <w:spacing w:after="60" w:before="60"/>
      </w:pPr>
    </w:p>
    <w:p>
      <w:pPr>
        <w:spacing w:after="40" w:before="60"/>
      </w:pPr>
      <w:r>
        <w:rPr>
          <w:rFonts w:ascii="Arial" w:cs="Arial" w:eastAsia="Arial" w:hAnsi="Arial"/>
          <w:b/>
          <w:bCs/>
          <w:sz w:val="20"/>
          <w:szCs w:val="20"/>
        </w:rPr>
        <w:t xml:space="preserve">TAX EXPENDITURES (reduce revenues):</w:t>
      </w:r>
    </w:p>
    <w:p>
      <w:pPr>
        <w:pStyle w:val="ListParagraph"/>
        <w:numPr>
          <w:ilvl w:val="0"/>
          <w:numId w:val="2"/>
        </w:numPr>
        <w:spacing w:after="40" w:before="40"/>
      </w:pPr>
      <w:r>
        <w:rPr>
          <w:rFonts w:ascii="Arial" w:cs="Arial" w:eastAsia="Arial" w:hAnsi="Arial"/>
          <w:sz w:val="20"/>
          <w:szCs w:val="20"/>
        </w:rPr>
        <w:t xml:space="preserve">IRA clean energy credit restoration and extension: -$800B–$1,000B</w:t>
      </w:r>
    </w:p>
    <w:p>
      <w:pPr>
        <w:pStyle w:val="ListParagraph"/>
        <w:numPr>
          <w:ilvl w:val="0"/>
          <w:numId w:val="2"/>
        </w:numPr>
        <w:spacing w:after="40" w:before="40"/>
      </w:pPr>
      <w:r>
        <w:rPr>
          <w:rFonts w:ascii="Arial" w:cs="Arial" w:eastAsia="Arial" w:hAnsi="Arial"/>
          <w:sz w:val="20"/>
          <w:szCs w:val="20"/>
        </w:rPr>
        <w:t xml:space="preserve">LIHTC expansion (double + extend + missing middle tier): -$100–$150B</w:t>
      </w:r>
    </w:p>
    <w:p>
      <w:pPr>
        <w:pStyle w:val="ListParagraph"/>
        <w:numPr>
          <w:ilvl w:val="0"/>
          <w:numId w:val="2"/>
        </w:numPr>
        <w:spacing w:after="40" w:before="40"/>
      </w:pPr>
      <w:r>
        <w:rPr>
          <w:rFonts w:ascii="Arial" w:cs="Arial" w:eastAsia="Arial" w:hAnsi="Arial"/>
          <w:sz w:val="20"/>
          <w:szCs w:val="20"/>
        </w:rPr>
        <w:t xml:space="preserve">Second Chance Hiring Tax Credit: -$10B</w:t>
      </w:r>
    </w:p>
    <w:p>
      <w:pPr>
        <w:spacing w:after="60" w:before="60"/>
      </w:pPr>
    </w:p>
    <w:p>
      <w:pPr>
        <w:spacing w:after="40" w:before="60"/>
      </w:pPr>
      <w:r>
        <w:rPr>
          <w:rFonts w:ascii="Arial" w:cs="Arial" w:eastAsia="Arial" w:hAnsi="Arial"/>
          <w:b/>
          <w:bCs/>
          <w:sz w:val="20"/>
          <w:szCs w:val="20"/>
        </w:rPr>
        <w:t xml:space="preserve">DISCRETIONARY APPROPRIATIONS (top-line increases, annual):</w:t>
      </w:r>
    </w:p>
    <w:p>
      <w:pPr>
        <w:pStyle w:val="ListParagraph"/>
        <w:numPr>
          <w:ilvl w:val="0"/>
          <w:numId w:val="2"/>
        </w:numPr>
        <w:spacing w:after="40" w:before="40"/>
      </w:pPr>
      <w:r>
        <w:rPr>
          <w:rFonts w:ascii="Arial" w:cs="Arial" w:eastAsia="Arial" w:hAnsi="Arial"/>
          <w:sz w:val="20"/>
          <w:szCs w:val="20"/>
        </w:rPr>
        <w:t xml:space="preserve">Foreign aid restoration/expansion: +$35B/year vs. FY2025 (ramping to $65–70B total)</w:t>
      </w:r>
    </w:p>
    <w:p>
      <w:pPr>
        <w:pStyle w:val="ListParagraph"/>
        <w:numPr>
          <w:ilvl w:val="0"/>
          <w:numId w:val="2"/>
        </w:numPr>
        <w:spacing w:after="40" w:before="40"/>
      </w:pPr>
      <w:r>
        <w:rPr>
          <w:rFonts w:ascii="Arial" w:cs="Arial" w:eastAsia="Arial" w:hAnsi="Arial"/>
          <w:sz w:val="20"/>
          <w:szCs w:val="20"/>
        </w:rPr>
        <w:t xml:space="preserve">Defense (maintain 3–3.5% of GDP): scoring depends on baseline; not a new net increase per se</w:t>
      </w:r>
    </w:p>
    <w:p>
      <w:pPr>
        <w:pStyle w:val="ListParagraph"/>
        <w:numPr>
          <w:ilvl w:val="0"/>
          <w:numId w:val="2"/>
        </w:numPr>
        <w:spacing w:after="40" w:before="40"/>
      </w:pPr>
      <w:r>
        <w:rPr>
          <w:rFonts w:ascii="Arial" w:cs="Arial" w:eastAsia="Arial" w:hAnsi="Arial"/>
          <w:sz w:val="20"/>
          <w:szCs w:val="20"/>
        </w:rPr>
        <w:t xml:space="preserve">Education (Title I + pre-K + community college + teacher pay + IDEA + Head Start restoration): +$60–80B/year at full phase-in</w:t>
      </w:r>
    </w:p>
    <w:p>
      <w:pPr>
        <w:pStyle w:val="ListParagraph"/>
        <w:numPr>
          <w:ilvl w:val="0"/>
          <w:numId w:val="2"/>
        </w:numPr>
        <w:spacing w:after="40" w:before="40"/>
      </w:pPr>
      <w:r>
        <w:rPr>
          <w:rFonts w:ascii="Arial" w:cs="Arial" w:eastAsia="Arial" w:hAnsi="Arial"/>
          <w:sz w:val="20"/>
          <w:szCs w:val="20"/>
        </w:rPr>
        <w:t xml:space="preserve">Healthcare agencies (CDC, NIH, HRSA restoration/expansion): +$20–25B/year vs. DOGE-cut levels</w:t>
      </w:r>
    </w:p>
    <w:p>
      <w:pPr>
        <w:pStyle w:val="ListParagraph"/>
        <w:numPr>
          <w:ilvl w:val="0"/>
          <w:numId w:val="2"/>
        </w:numPr>
        <w:spacing w:after="40" w:before="40"/>
      </w:pPr>
      <w:r>
        <w:rPr>
          <w:rFonts w:ascii="Arial" w:cs="Arial" w:eastAsia="Arial" w:hAnsi="Arial"/>
          <w:sz w:val="20"/>
          <w:szCs w:val="20"/>
        </w:rPr>
        <w:t xml:space="preserve">Climate (Civilian Climate Corps + grid + resilience): +$50–60B/year at full build-out</w:t>
      </w:r>
    </w:p>
    <w:p>
      <w:pPr>
        <w:pStyle w:val="ListParagraph"/>
        <w:numPr>
          <w:ilvl w:val="0"/>
          <w:numId w:val="2"/>
        </w:numPr>
        <w:spacing w:after="40" w:before="40"/>
      </w:pPr>
      <w:r>
        <w:rPr>
          <w:rFonts w:ascii="Arial" w:cs="Arial" w:eastAsia="Arial" w:hAnsi="Arial"/>
          <w:sz w:val="20"/>
          <w:szCs w:val="20"/>
        </w:rPr>
        <w:t xml:space="preserve">Criminal justice (co-responders + reentry + CVI + stabilization): +$6–8B/year</w:t>
      </w:r>
    </w:p>
    <w:p>
      <w:pPr>
        <w:pStyle w:val="ListParagraph"/>
        <w:numPr>
          <w:ilvl w:val="0"/>
          <w:numId w:val="2"/>
        </w:numPr>
        <w:spacing w:after="40" w:before="40"/>
      </w:pPr>
      <w:r>
        <w:rPr>
          <w:rFonts w:ascii="Arial" w:cs="Arial" w:eastAsia="Arial" w:hAnsi="Arial"/>
          <w:sz w:val="20"/>
          <w:szCs w:val="20"/>
        </w:rPr>
        <w:t xml:space="preserve">Technology (AI Safety + Research Cloud + NSF + workforce): +$12–15B/year</w:t>
      </w:r>
    </w:p>
    <w:p>
      <w:pPr>
        <w:pStyle w:val="ListParagraph"/>
        <w:numPr>
          <w:ilvl w:val="0"/>
          <w:numId w:val="2"/>
        </w:numPr>
        <w:spacing w:after="40" w:before="40"/>
      </w:pPr>
      <w:r>
        <w:rPr>
          <w:rFonts w:ascii="Arial" w:cs="Arial" w:eastAsia="Arial" w:hAnsi="Arial"/>
          <w:sz w:val="20"/>
          <w:szCs w:val="20"/>
        </w:rPr>
        <w:t xml:space="preserve">Border technology + immigration courts + ATD: +$10–15B/year</w:t>
      </w:r>
    </w:p>
    <w:p>
      <w:pPr>
        <w:pStyle w:val="ListParagraph"/>
        <w:numPr>
          <w:ilvl w:val="0"/>
          <w:numId w:val="2"/>
        </w:numPr>
        <w:spacing w:after="40" w:before="40"/>
      </w:pPr>
      <w:r>
        <w:rPr>
          <w:rFonts w:ascii="Arial" w:cs="Arial" w:eastAsia="Arial" w:hAnsi="Arial"/>
          <w:sz w:val="20"/>
          <w:szCs w:val="20"/>
        </w:rPr>
        <w:t xml:space="preserve">Housing trust fund + rail + infrastructure grants: +$25–35B/year</w:t>
      </w:r>
    </w:p>
    <w:p>
      <w:pPr>
        <w:pStyle w:val="ListParagraph"/>
        <w:numPr>
          <w:ilvl w:val="0"/>
          <w:numId w:val="2"/>
        </w:numPr>
        <w:spacing w:after="40" w:before="40"/>
      </w:pPr>
      <w:r>
        <w:rPr>
          <w:rFonts w:ascii="Arial" w:cs="Arial" w:eastAsia="Arial" w:hAnsi="Arial"/>
          <w:sz w:val="20"/>
          <w:szCs w:val="20"/>
        </w:rPr>
        <w:t xml:space="preserve">Government modernization (USDS + tech fund + navigators): +$6–8B/year</w:t>
      </w:r>
    </w:p>
    <w:p>
      <w:pPr>
        <w:pStyle w:val="ListParagraph"/>
        <w:numPr>
          <w:ilvl w:val="0"/>
          <w:numId w:val="2"/>
        </w:numPr>
        <w:spacing w:after="40" w:before="40"/>
      </w:pPr>
      <w:r>
        <w:rPr>
          <w:rFonts w:ascii="Arial" w:cs="Arial" w:eastAsia="Arial" w:hAnsi="Arial"/>
          <w:sz w:val="20"/>
          <w:szCs w:val="20"/>
        </w:rPr>
        <w:t xml:space="preserve">Public media + digital literacy: +$2–3B/year</w:t>
      </w:r>
    </w:p>
    <w:p>
      <w:pPr>
        <w:pStyle w:val="ListParagraph"/>
        <w:numPr>
          <w:ilvl w:val="0"/>
          <w:numId w:val="2"/>
        </w:numPr>
        <w:spacing w:after="40" w:before="40"/>
      </w:pPr>
      <w:r>
        <w:rPr>
          <w:rFonts w:ascii="Arial" w:cs="Arial" w:eastAsia="Arial" w:hAnsi="Arial"/>
          <w:sz w:val="20"/>
          <w:szCs w:val="20"/>
        </w:rPr>
        <w:t xml:space="preserve">Title X + reproductive health: +$1–2B/year</w:t>
      </w:r>
    </w:p>
    <w:p>
      <w:pPr>
        <w:spacing w:after="60" w:before="60"/>
      </w:pPr>
    </w:p>
    <w:p>
      <w:pPr>
        <w:spacing w:after="60" w:before="60"/>
      </w:pPr>
      <w:r>
        <w:rPr>
          <w:rFonts w:ascii="Arial" w:cs="Arial" w:eastAsia="Arial" w:hAnsi="Arial"/>
          <w:sz w:val="20"/>
          <w:szCs w:val="20"/>
        </w:rPr>
        <w:t xml:space="preserve">NOTE: The above summary is not a complete CBO score; it is a reference grid for score simulator inputs. Individual items should be scored using the economic and fiscal assumptions appropriate to each provision. Key uncertainties for scoring purposes include: (1) the wealth tax's constitutional viability; (2) the behavioral response to capital gains rate changes; (3) the public option's enrollment projections; (4) the immigration reform's net fiscal trajectory over 10 vs. 20 years; and (5) AI levy revenues, which depend on projections of a rapidly growing and uncertain market.</w:t>
      </w:r>
    </w:p>
    <w:p>
      <w:pPr>
        <w:pBdr>
          <w:bottom w:val="single" w:color="AAAAAA" w:sz="4"/>
        </w:pBdr>
        <w:spacing w:after="120" w:before="120"/>
      </w:pPr>
    </w:p>
    <w:p>
      <w:pPr>
        <w:spacing w:after="60" w:before="60"/>
      </w:pPr>
    </w:p>
    <w:p>
      <w:pPr>
        <w:spacing w:after="120" w:before="240"/>
        <w:jc w:val="center"/>
      </w:pPr>
      <w:r>
        <w:rPr>
          <w:rFonts w:ascii="Arial" w:cs="Arial" w:eastAsia="Arial" w:hAnsi="Arial"/>
          <w:b/>
          <w:bCs/>
          <w:color w:val="888888"/>
          <w:sz w:val="20"/>
          <w:szCs w:val="20"/>
        </w:rPr>
        <w:t xml:space="preserve">— END OF DOCUMENT —</w:t>
      </w:r>
    </w:p>
    <w:p>
      <w:pPr>
        <w:spacing w:after="0" w:before="0"/>
        <w:jc w:val="center"/>
      </w:pPr>
      <w:r>
        <w:rPr>
          <w:rFonts w:ascii="Arial" w:cs="Arial" w:eastAsia="Arial" w:hAnsi="Arial"/>
          <w:i/>
          <w:iCs/>
          <w:color w:val="AAAAAA"/>
          <w:sz w:val="18"/>
          <w:szCs w:val="18"/>
        </w:rPr>
        <w:t xml:space="preserve">Project 2029 | CBO Score Inventory | For Internal Use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Project 2029 — CBO Score Inventory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2026-04-06T07:27:23.778Z</dcterms:created>
  <dcterms:modified xsi:type="dcterms:W3CDTF">2026-04-06T07:27:23.779Z</dcterms:modified>
</cp:coreProperties>
</file>

<file path=docProps/custom.xml><?xml version="1.0" encoding="utf-8"?>
<Properties xmlns="http://schemas.openxmlformats.org/officeDocument/2006/custom-properties" xmlns:vt="http://schemas.openxmlformats.org/officeDocument/2006/docPropsVTypes"/>
</file>