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rPr>
          <w:rFonts w:ascii="Arial" w:cs="Arial" w:eastAsia="Arial" w:hAnsi="Arial"/>
          <w:b/>
          <w:bCs/>
          <w:caps/>
          <w:color w:val="1B2A4A"/>
          <w:sz w:val="48"/>
          <w:szCs w:val="48"/>
        </w:rPr>
        <w:t xml:space="preserve">THE DOUBLE UNRAVELING</w:t>
      </w:r>
    </w:p>
    <w:p>
      <w:pPr>
        <w:pBdr>
          <w:bottom w:val="single" w:color="2E5FA3" w:sz="8" w:space="1"/>
        </w:pBdr>
        <w:spacing w:after="0" w:before="0"/>
      </w:pPr>
      <w:r>
        <w:t xml:space="preserve"/>
      </w:r>
    </w:p>
    <w:p>
      <w:pPr>
        <w:spacing w:after="60" w:before="120"/>
      </w:pPr>
      <w:r>
        <w:rPr>
          <w:rFonts w:ascii="Arial" w:cs="Arial" w:eastAsia="Arial" w:hAnsi="Arial"/>
          <w:b w:val="false"/>
          <w:bCs w:val="false"/>
          <w:color w:val="2E5FA3"/>
          <w:sz w:val="32"/>
          <w:szCs w:val="32"/>
        </w:rPr>
        <w:t xml:space="preserve">A Policy Prescription Framework</w:t>
      </w:r>
    </w:p>
    <w:p>
      <w:pPr>
        <w:spacing w:after="400" w:before="0"/>
      </w:pPr>
      <w:r>
        <w:rPr>
          <w:rFonts w:ascii="Georgia" w:cs="Georgia" w:eastAsia="Georgia" w:hAnsi="Georgia"/>
          <w:i/>
          <w:iCs/>
          <w:color w:val="6B7280"/>
          <w:sz w:val="24"/>
          <w:szCs w:val="24"/>
        </w:rPr>
        <w:t xml:space="preserve">29 Specific Actions to Interrupt the Climate-Democracy Feedback Loop</w:t>
      </w:r>
    </w:p>
    <w:p>
      <w:pPr>
        <w:spacing w:after="120" w:before="80"/>
      </w:pPr>
      <w:r>
        <w:rPr>
          <w:rFonts w:ascii="Georgia" w:cs="Georgia" w:eastAsia="Georgia" w:hAnsi="Georgia"/>
          <w:b w:val="false"/>
          <w:bCs w:val="false"/>
          <w:i w:val="false"/>
          <w:iCs w:val="false"/>
          <w:color w:val="1F2937"/>
          <w:sz w:val="22"/>
          <w:szCs w:val="22"/>
        </w:rPr>
        <w:t xml:space="preserve">This document translates the framework developed in "The Double Unraveling Reversal" into specific, actionable policy prescriptions. It is organized by the three pillars of the framework — (I) disaster governance that cannot be weaponized, (II) distributed economic stakes in the transition, and (III) long-horizon planning insulated from electoral cycling — and within each pillar by level of government: federal, state/local, and international (U.S. actors). Each prescription identifies a legislative vehicle or administrative pathway, a timing assessment, and the specific institutional vulnerability it addresses.</w:t>
      </w:r>
    </w:p>
    <w:p>
      <w:pPr>
        <w:spacing w:after="120" w:before="80"/>
      </w:pPr>
      <w:r>
        <w:rPr>
          <w:rFonts w:ascii="Georgia" w:cs="Georgia" w:eastAsia="Georgia" w:hAnsi="Georgia"/>
          <w:b w:val="false"/>
          <w:bCs w:val="false"/>
          <w:i w:val="false"/>
          <w:iCs w:val="false"/>
          <w:color w:val="1F2937"/>
          <w:sz w:val="22"/>
          <w:szCs w:val="22"/>
        </w:rPr>
        <w:t xml:space="preserve">Timing assessments use three categories: Immediate (achievable in the current Congress or under existing administrative authority); Medium-term (achievable in the next favorable Congress, roughly 2–4 years); and Long-term structural (requires sustained political coalition, 5–10+ year horizon). Prescriptions are numbered sequentially across all three pillars for cross-referencing.</w:t>
      </w:r>
    </w:p>
    <w:p>
      <w:pPr>
        <w:spacing w:after="0" w:before="0"/>
      </w:pPr>
      <w:r>
        <w:rPr>
          <w:sz w:val="40"/>
          <w:szCs w:val="40"/>
        </w:rPr>
        <w:t xml:space="preserve"/>
      </w:r>
    </w:p>
    <w:p>
      <w:pPr>
        <w:pBdr>
          <w:bottom w:val="single" w:color="CCCCCC" w:sz="2" w:space="1"/>
        </w:pBdr>
        <w:spacing w:after="0" w:before="0"/>
      </w:pPr>
      <w:r>
        <w:t xml:space="preserve"/>
      </w:r>
    </w:p>
    <w:p>
      <w:pPr>
        <w:spacing w:after="0" w:before="0"/>
      </w:pPr>
      <w:r>
        <w:rPr>
          <w:sz w:val="16"/>
          <w:szCs w:val="16"/>
        </w:rPr>
        <w:t xml:space="preserve"/>
      </w:r>
    </w:p>
    <w:p>
      <w:pPr>
        <w:spacing w:after="80" w:before="0"/>
      </w:pPr>
      <w:r>
        <w:rPr>
          <w:rFonts w:ascii="Arial" w:cs="Arial" w:eastAsia="Arial" w:hAnsi="Arial"/>
          <w:b/>
          <w:bCs/>
          <w:caps/>
          <w:color w:val="2E5FA3"/>
          <w:spacing w:val="60"/>
          <w:sz w:val="20"/>
          <w:szCs w:val="20"/>
        </w:rPr>
        <w:t xml:space="preserve">ORGANIZING PRINCIPLE</w:t>
      </w:r>
    </w:p>
    <w:p>
      <w:pPr>
        <w:pBdr>
          <w:bottom w:val="single" w:color="D6E4F7" w:sz="3" w:space="1"/>
        </w:pBdr>
        <w:spacing w:after="0" w:before="0"/>
      </w:pPr>
      <w:r>
        <w:t xml:space="preserve"/>
      </w:r>
    </w:p>
    <w:p>
      <w:pPr>
        <w:spacing w:after="0" w:before="0"/>
      </w:pPr>
      <w:r>
        <w:rPr>
          <w:sz w:val="4"/>
          <w:szCs w:val="4"/>
        </w:rPr>
        <w:t xml:space="preserve"/>
      </w:r>
    </w:p>
    <w:p>
      <w:pPr>
        <w:spacing w:after="120" w:before="80"/>
      </w:pPr>
      <w:r>
        <w:rPr>
          <w:rFonts w:ascii="Georgia" w:cs="Georgia" w:eastAsia="Georgia" w:hAnsi="Georgia"/>
          <w:b w:val="false"/>
          <w:bCs w:val="false"/>
          <w:i w:val="false"/>
          <w:iCs w:val="false"/>
          <w:color w:val="1F2937"/>
          <w:sz w:val="22"/>
          <w:szCs w:val="22"/>
        </w:rPr>
        <w:t xml:space="preserve">The federal government has spent four decades learning how to disable its own environmental and emergency management capacity, with each hostile administration escalating on its predecessor's template. Reagan cut EPA staff; Bush weaponized cost-benefit analysis and suppressed climate science; Trump I used the Congressional Review Act; Trump II has moved to eliminate statutory and scientific foundations entirely. The result is not a pendulum — it is a ratchet that only turns one direction.</w:t>
      </w:r>
    </w:p>
    <w:p>
      <w:pPr>
        <w:spacing w:after="120" w:before="80"/>
      </w:pPr>
      <w:r>
        <w:rPr>
          <w:rFonts w:ascii="Georgia" w:cs="Georgia" w:eastAsia="Georgia" w:hAnsi="Georgia"/>
          <w:b w:val="false"/>
          <w:bCs w:val="false"/>
          <w:i w:val="false"/>
          <w:iCs w:val="false"/>
          <w:color w:val="1F2937"/>
          <w:sz w:val="22"/>
          <w:szCs w:val="22"/>
        </w:rPr>
        <w:t xml:space="preserve">The prescriptions below are designed with that ratchet explicitly in mind. They prioritize institutional designs that create constituencies hard to dissolve (distributed economic beneficiaries), mechanisms that survive electoral cycling (statutory architecture with independent advisory bodies and judicial backstops), and funding structures insulated from executive discretion (dedicated revenue streams, formula-based distribution, automatic disbursement triggers). Where bipartisan political compromise requires omitting explicit climate language, that tradeoff is named and its costs acknowledged.</w:t>
      </w:r>
    </w:p>
    <w:p>
      <w:pPr>
        <w:spacing w:after="120" w:before="80"/>
      </w:pPr>
      <w:r>
        <w:rPr>
          <w:rFonts w:ascii="Georgia" w:cs="Georgia" w:eastAsia="Georgia" w:hAnsi="Georgia"/>
          <w:b w:val="false"/>
          <w:bCs w:val="false"/>
          <w:i w:val="false"/>
          <w:iCs w:val="false"/>
          <w:color w:val="1F2937"/>
          <w:sz w:val="22"/>
          <w:szCs w:val="22"/>
        </w:rPr>
        <w:t xml:space="preserve">The honest baseline: no federal long-horizon climate architecture is achievable in the current Congress. What is achievable now — particularly through the FEMA Act of 2025 — is the institutional plumbing that makes such architecture survivable when it becomes legislatively viable. State and local action, and the distributed economic stakes built through surviving IRA mechanisms, are the seedbed for the federal coalition that doesn't yet exist.</w:t>
      </w:r>
    </w:p>
    <w:p>
      <w:pPr>
        <w:spacing w:after="0" w:before="0"/>
      </w:pPr>
      <w:r>
        <w:rPr>
          <w:sz w:val="24"/>
          <w:szCs w:val="24"/>
        </w:rPr>
        <w:t xml:space="preserve"/>
      </w:r>
    </w:p>
    <w:p>
      <w:pPr>
        <w:spacing w:after="0" w:before="0"/>
      </w:pPr>
      <w:r>
        <w:rPr>
          <w:sz w:val="20"/>
          <w:szCs w:val="20"/>
        </w:rPr>
        <w:t xml:space="preserve"/>
      </w:r>
    </w:p>
    <w:p>
      <w:pPr>
        <w:spacing w:after="60" w:before="0"/>
      </w:pPr>
      <w:r>
        <w:rPr>
          <w:rFonts w:ascii="Arial" w:cs="Arial" w:eastAsia="Arial" w:hAnsi="Arial"/>
          <w:b/>
          <w:bCs/>
          <w:caps/>
          <w:color w:val="2E5FA3"/>
          <w:spacing w:val="80"/>
          <w:sz w:val="18"/>
          <w:szCs w:val="18"/>
        </w:rPr>
        <w:t xml:space="preserve">PILLAR I</w:t>
      </w:r>
    </w:p>
    <w:p>
      <w:pPr>
        <w:spacing w:after="100" w:before="0"/>
      </w:pPr>
      <w:r>
        <w:rPr>
          <w:rFonts w:ascii="Arial" w:cs="Arial" w:eastAsia="Arial" w:hAnsi="Arial"/>
          <w:b/>
          <w:bCs/>
          <w:color w:val="1B2A4A"/>
          <w:sz w:val="30"/>
          <w:szCs w:val="30"/>
        </w:rPr>
        <w:t xml:space="preserve">Disaster Governance That Cannot Be Weaponized</w:t>
      </w:r>
    </w:p>
    <w:p>
      <w:pPr>
        <w:spacing w:after="160" w:before="0"/>
      </w:pPr>
      <w:r>
        <w:rPr>
          <w:rFonts w:ascii="Georgia" w:cs="Georgia" w:eastAsia="Georgia" w:hAnsi="Georgia"/>
          <w:i/>
          <w:iCs/>
          <w:color w:val="6B7280"/>
          <w:sz w:val="22"/>
          <w:szCs w:val="22"/>
        </w:rPr>
        <w:t xml:space="preserve">Closing the gap between what Congress appropriates and what communities receive</w:t>
      </w:r>
    </w:p>
    <w:p>
      <w:pPr>
        <w:pBdr>
          <w:bottom w:val="single" w:color="2E5FA3" w:sz="6" w:space="1"/>
        </w:pBdr>
        <w:spacing w:after="0" w:before="0"/>
      </w:pPr>
      <w:r>
        <w:t xml:space="preserve"/>
      </w:r>
    </w:p>
    <w:p>
      <w:pPr>
        <w:spacing w:after="0" w:before="0"/>
      </w:pPr>
      <w:r>
        <w:rPr>
          <w:sz w:val="8"/>
          <w:szCs w:val="8"/>
        </w:rPr>
        <w:t xml:space="preserve"/>
      </w:r>
    </w:p>
    <w:p>
      <w:pPr>
        <w:spacing w:after="0" w:before="0"/>
      </w:pPr>
      <w:r>
        <w:rPr>
          <w:sz w:val="16"/>
          <w:szCs w:val="16"/>
        </w:rPr>
        <w:t xml:space="preserve"/>
      </w:r>
    </w:p>
    <w:p>
      <w:pPr>
        <w:spacing w:after="80" w:before="0"/>
      </w:pPr>
      <w:r>
        <w:rPr>
          <w:rFonts w:ascii="Arial" w:cs="Arial" w:eastAsia="Arial" w:hAnsi="Arial"/>
          <w:b/>
          <w:bCs/>
          <w:caps/>
          <w:color w:val="2E5FA3"/>
          <w:spacing w:val="60"/>
          <w:sz w:val="20"/>
          <w:szCs w:val="20"/>
        </w:rPr>
        <w:t xml:space="preserve">FEDERAL — IMMEDIATE (CURRENT CONGRESS)</w:t>
      </w:r>
    </w:p>
    <w:p>
      <w:pPr>
        <w:pBdr>
          <w:bottom w:val="single" w:color="D6E4F7" w:sz="3" w:space="1"/>
        </w:pBdr>
        <w:spacing w:after="0" w:before="0"/>
      </w:pPr>
      <w:r>
        <w:t xml:space="preserve"/>
      </w:r>
    </w:p>
    <w:p>
      <w:pPr>
        <w:spacing w:after="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5FA3" w:val="clear"/>
            <w:tcMar>
              <w:top w:type="dxa" w:w="120"/>
              <w:left w:type="dxa" w:w="120"/>
              <w:bottom w:type="dxa" w:w="120"/>
              <w:right w:type="dxa" w:w="80"/>
            </w:tcMar>
            <w:vAlign w:val="top"/>
          </w:tcPr>
          <w:p>
            <w:pPr>
              <w:jc w:val="center"/>
            </w:pPr>
            <w:r>
              <w:rPr>
                <w:rFonts w:ascii="Arial" w:cs="Arial" w:eastAsia="Arial" w:hAnsi="Arial"/>
                <w:b/>
                <w:bCs/>
                <w:color w:val="FFFFFF"/>
                <w:sz w:val="26"/>
                <w:szCs w:val="26"/>
              </w:rPr>
              <w:t xml:space="preserve">1</w:t>
            </w:r>
          </w:p>
        </w:tc>
        <w:tc>
          <w:tcPr>
            <w:tcW w:type="dxa" w:w="8760"/>
            <w:tcBorders>
              <w:top w:val="single" w:color="CCCCCC" w:sz="1"/>
              <w:left w:val="single" w:color="CCCCCC" w:sz="1"/>
              <w:bottom w:val="single" w:color="CCCCCC" w:sz="1"/>
              <w:right w:val="single" w:color="CCCCCC" w:sz="1"/>
            </w:tcBorders>
            <w:tcMar>
              <w:top w:type="dxa" w:w="120"/>
              <w:left w:type="dxa" w:w="160"/>
              <w:bottom w:type="dxa" w:w="120"/>
              <w:right w:type="dxa" w:w="120"/>
            </w:tcMar>
          </w:tcPr>
          <w:p>
            <w:pPr>
              <w:spacing w:after="80" w:before="0"/>
            </w:pPr>
            <w:r>
              <w:rPr>
                <w:rFonts w:ascii="Arial" w:cs="Arial" w:eastAsia="Arial" w:hAnsi="Arial"/>
                <w:b/>
                <w:bCs/>
                <w:color w:val="1B2A4A"/>
                <w:sz w:val="24"/>
                <w:szCs w:val="24"/>
              </w:rPr>
              <w:t xml:space="preserve">Pass the FEMA Act of 2025 (H.R. 4669) — but with three structural amendments</w:t>
            </w:r>
          </w:p>
          <w:p>
            <w:pPr>
              <w:spacing w:after="80" w:before="40"/>
            </w:pPr>
            <w:r>
              <w:rPr>
                <w:rFonts w:ascii="Georgia" w:cs="Georgia" w:eastAsia="Georgia" w:hAnsi="Georgia"/>
                <w:color w:val="1F2937"/>
                <w:sz w:val="21"/>
                <w:szCs w:val="21"/>
              </w:rPr>
              <w:t xml:space="preserve">H.R. 4669 passed the House Transportation and Infrastructure Committee 57-3 in September 2025 and has 47 bipartisan co-sponsors. It is the most viable near-term vehicle for institutionalizing anything in this framework. But as currently written, it has three critical gaps that leave it vulnerable to the very dynamics it purports to fix.</w:t>
            </w:r>
          </w:p>
          <w:p>
            <w:pPr>
              <w:spacing w:after="80" w:before="40"/>
            </w:pPr>
            <w:r>
              <w:rPr>
                <w:rFonts w:ascii="Georgia" w:cs="Georgia" w:eastAsia="Georgia" w:hAnsi="Georgia"/>
                <w:color w:val="1F2937"/>
                <w:sz w:val="21"/>
                <w:szCs w:val="21"/>
              </w:rPr>
              <w:t xml:space="preserve">Amendment 1 — Administrator independence: Add a fixed 6-year term for the FEMA Administrator with for-cause removal only. The University of Colorado Law Review analysis argues this requires for-cause protection, a specified tenure, independent budget authority, and adjudication authority. The bill currently creates "weak independence" — FEMA moves out of DHS but the Administrator remains an at-will presidential appointee. Without tenure protection, the first hostile administration can install a loyalist on Day 1.</w:t>
            </w:r>
          </w:p>
          <w:p>
            <w:pPr>
              <w:spacing w:after="80" w:before="40"/>
            </w:pPr>
            <w:r>
              <w:rPr>
                <w:rFonts w:ascii="Georgia" w:cs="Georgia" w:eastAsia="Georgia" w:hAnsi="Georgia"/>
                <w:color w:val="1F2937"/>
                <w:sz w:val="21"/>
                <w:szCs w:val="21"/>
              </w:rPr>
              <w:t xml:space="preserve">Amendment 2 — Mandatory climate risk integration: Amend Section 13(a) to require that all FEMA hazard mitigation guidance, risk assessment, and strategic planning incorporate best available climate science from NOAA's National Centers for Environmental Information. Prohibit political appointees from removing scientific designations from guidance documents without a 90-day peer review process. The second Trump administration removed all climate change references from FEMA hazard mitigation guidance in 2025 — this amendment would make that unlawful.</w:t>
            </w:r>
          </w:p>
          <w:p>
            <w:pPr>
              <w:spacing w:after="80" w:before="40"/>
            </w:pPr>
            <w:r>
              <w:rPr>
                <w:rFonts w:ascii="Georgia" w:cs="Georgia" w:eastAsia="Georgia" w:hAnsi="Georgia"/>
                <w:color w:val="1F2937"/>
                <w:sz w:val="21"/>
                <w:szCs w:val="21"/>
              </w:rPr>
              <w:t xml:space="preserve">Amendment 3 — Section 403 enforcement teeth: Section 403 prohibits political discrimination in disaster assistance but provides no enforcement mechanism. Add a private right of action for state attorneys general or governors to challenge declaration denials in federal district court with a 60-day expedited review timeline and written justification requirements. The documented pattern of Puerto Rico's aid being frozen — and two-thirds of BRIC counties losing funding having voted Republican — cannot be remedied by a prohibition with no enforcement.</w:t>
            </w:r>
          </w:p>
          <w:p>
            <w:pPr>
              <w:shd w:fill="FEF3C7" w:val="clear"/>
              <w:spacing w:after="0" w:before="100"/>
            </w:pPr>
            <w:r>
              <w:rPr>
                <w:rFonts w:ascii="Arial" w:cs="Arial" w:eastAsia="Arial" w:hAnsi="Arial"/>
                <w:b/>
                <w:bCs/>
                <w:color w:val="B45309"/>
                <w:sz w:val="19"/>
                <w:szCs w:val="19"/>
              </w:rPr>
              <w:t xml:space="preserve">Timing: </w:t>
            </w:r>
            <w:r>
              <w:rPr>
                <w:rFonts w:ascii="Arial" w:cs="Arial" w:eastAsia="Arial" w:hAnsi="Arial"/>
                <w:color w:val="1F2937"/>
                <w:sz w:val="19"/>
                <w:szCs w:val="19"/>
              </w:rPr>
              <w:t xml:space="preserve">Immediate — Current Congress  </w:t>
            </w:r>
            <w:r>
              <w:rPr>
                <w:rFonts w:ascii="Arial" w:cs="Arial" w:eastAsia="Arial" w:hAnsi="Arial"/>
                <w:b/>
                <w:bCs/>
                <w:color w:val="B45309"/>
                <w:sz w:val="19"/>
                <w:szCs w:val="19"/>
              </w:rPr>
              <w:t xml:space="preserve">Vehicle: </w:t>
            </w:r>
            <w:r>
              <w:rPr>
                <w:rFonts w:ascii="Arial" w:cs="Arial" w:eastAsia="Arial" w:hAnsi="Arial"/>
                <w:color w:val="1F2937"/>
                <w:sz w:val="19"/>
                <w:szCs w:val="19"/>
              </w:rPr>
              <w:t xml:space="preserve">H.R. 4669 (committee-reported); amendment introduction by co-sponsors</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5FA3" w:val="clear"/>
            <w:tcMar>
              <w:top w:type="dxa" w:w="120"/>
              <w:left w:type="dxa" w:w="120"/>
              <w:bottom w:type="dxa" w:w="120"/>
              <w:right w:type="dxa" w:w="80"/>
            </w:tcMar>
            <w:vAlign w:val="top"/>
          </w:tcPr>
          <w:p>
            <w:pPr>
              <w:jc w:val="center"/>
            </w:pPr>
            <w:r>
              <w:rPr>
                <w:rFonts w:ascii="Arial" w:cs="Arial" w:eastAsia="Arial" w:hAnsi="Arial"/>
                <w:b/>
                <w:bCs/>
                <w:color w:val="FFFFFF"/>
                <w:sz w:val="26"/>
                <w:szCs w:val="26"/>
              </w:rPr>
              <w:t xml:space="preserve">2</w:t>
            </w:r>
          </w:p>
        </w:tc>
        <w:tc>
          <w:tcPr>
            <w:tcW w:type="dxa" w:w="8760"/>
            <w:tcBorders>
              <w:top w:val="single" w:color="CCCCCC" w:sz="1"/>
              <w:left w:val="single" w:color="CCCCCC" w:sz="1"/>
              <w:bottom w:val="single" w:color="CCCCCC" w:sz="1"/>
              <w:right w:val="single" w:color="CCCCCC" w:sz="1"/>
            </w:tcBorders>
            <w:tcMar>
              <w:top w:type="dxa" w:w="120"/>
              <w:left w:type="dxa" w:w="160"/>
              <w:bottom w:type="dxa" w:w="120"/>
              <w:right w:type="dxa" w:w="120"/>
            </w:tcMar>
          </w:tcPr>
          <w:p>
            <w:pPr>
              <w:spacing w:after="80" w:before="0"/>
            </w:pPr>
            <w:r>
              <w:rPr>
                <w:rFonts w:ascii="Arial" w:cs="Arial" w:eastAsia="Arial" w:hAnsi="Arial"/>
                <w:b/>
                <w:bCs/>
                <w:color w:val="1B2A4A"/>
                <w:sz w:val="24"/>
                <w:szCs w:val="24"/>
              </w:rPr>
              <w:t xml:space="preserve">CDBG-DR Permanent Authorization Act</w:t>
            </w:r>
          </w:p>
          <w:p>
            <w:pPr>
              <w:spacing w:after="80" w:before="40"/>
            </w:pPr>
            <w:r>
              <w:rPr>
                <w:rFonts w:ascii="Georgia" w:cs="Georgia" w:eastAsia="Georgia" w:hAnsi="Georgia"/>
                <w:color w:val="1F2937"/>
                <w:sz w:val="21"/>
                <w:szCs w:val="21"/>
              </w:rPr>
              <w:t xml:space="preserve">HUD's Community Development Block Grant–Disaster Recovery program is the primary vehicle for long-term community recovery but lacks permanent statutory authorization. It requires a special congressional appropriation after each disaster, producing the 4.7-year average gap from disaster declaration to grant completion that has defined every major recovery since Katrina.</w:t>
            </w:r>
          </w:p>
          <w:p>
            <w:pPr>
              <w:spacing w:after="80" w:before="40"/>
            </w:pPr>
            <w:r>
              <w:rPr>
                <w:rFonts w:ascii="Georgia" w:cs="Georgia" w:eastAsia="Georgia" w:hAnsi="Georgia"/>
                <w:color w:val="1F2937"/>
                <w:sz w:val="21"/>
                <w:szCs w:val="21"/>
              </w:rPr>
              <w:t xml:space="preserve">The prescription: give CDBG-DR permanent statutory authorization under a reformed Title I of the Housing and Community Development Act, with a standing Disaster Recovery Fund capitalized at $5B and replenished by formula after major declarations. Critically, establish automatic disbursement triggers: within 90 days of a major disaster declaration, 50% of formula-based allocation disburses automatically to the affected state without OMB review.</w:t>
            </w:r>
          </w:p>
          <w:p>
            <w:pPr>
              <w:spacing w:after="80" w:before="40"/>
            </w:pPr>
            <w:r>
              <w:rPr>
                <w:rFonts w:ascii="Georgia" w:cs="Georgia" w:eastAsia="Georgia" w:hAnsi="Georgia"/>
                <w:color w:val="1F2937"/>
                <w:sz w:val="21"/>
                <w:szCs w:val="21"/>
              </w:rPr>
              <w:t xml:space="preserve">This directly closes the vulnerability exploited during Puerto Rico's post-Maria recovery, where OMB imposed interagency review requirements — never applied to Texas, Florida, or Missouri — that the HUD Inspector General called 'tantamount to holding disaster-relief funds hostage.' The automatic disbursement provision is the key: it moves the political intervention point from disbursement (where executive discretion is nearly unlimited) to formula design (where Congress sets the rules).</w:t>
            </w:r>
          </w:p>
          <w:p>
            <w:pPr>
              <w:shd w:fill="FEF3C7" w:val="clear"/>
              <w:spacing w:after="0" w:before="100"/>
            </w:pPr>
            <w:r>
              <w:rPr>
                <w:rFonts w:ascii="Arial" w:cs="Arial" w:eastAsia="Arial" w:hAnsi="Arial"/>
                <w:b/>
                <w:bCs/>
                <w:color w:val="B45309"/>
                <w:sz w:val="19"/>
                <w:szCs w:val="19"/>
              </w:rPr>
              <w:t xml:space="preserve">Timing: </w:t>
            </w:r>
            <w:r>
              <w:rPr>
                <w:rFonts w:ascii="Arial" w:cs="Arial" w:eastAsia="Arial" w:hAnsi="Arial"/>
                <w:color w:val="1F2937"/>
                <w:sz w:val="19"/>
                <w:szCs w:val="19"/>
              </w:rPr>
              <w:t xml:space="preserve">Immediate — amendable to existing FEMA Act or standalone  </w:t>
            </w:r>
            <w:r>
              <w:rPr>
                <w:rFonts w:ascii="Arial" w:cs="Arial" w:eastAsia="Arial" w:hAnsi="Arial"/>
                <w:b/>
                <w:bCs/>
                <w:color w:val="B45309"/>
                <w:sz w:val="19"/>
                <w:szCs w:val="19"/>
              </w:rPr>
              <w:t xml:space="preserve">Vehicle: </w:t>
            </w:r>
            <w:r>
              <w:rPr>
                <w:rFonts w:ascii="Arial" w:cs="Arial" w:eastAsia="Arial" w:hAnsi="Arial"/>
                <w:color w:val="1F2937"/>
                <w:sz w:val="19"/>
                <w:szCs w:val="19"/>
              </w:rPr>
              <w:t xml:space="preserve">Standalone bill or Title V addition to H.R. 4669; HUD jurisdiction</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5FA3" w:val="clear"/>
            <w:tcMar>
              <w:top w:type="dxa" w:w="120"/>
              <w:left w:type="dxa" w:w="120"/>
              <w:bottom w:type="dxa" w:w="120"/>
              <w:right w:type="dxa" w:w="80"/>
            </w:tcMar>
            <w:vAlign w:val="top"/>
          </w:tcPr>
          <w:p>
            <w:pPr>
              <w:jc w:val="center"/>
            </w:pPr>
            <w:r>
              <w:rPr>
                <w:rFonts w:ascii="Arial" w:cs="Arial" w:eastAsia="Arial" w:hAnsi="Arial"/>
                <w:b/>
                <w:bCs/>
                <w:color w:val="FFFFFF"/>
                <w:sz w:val="26"/>
                <w:szCs w:val="26"/>
              </w:rPr>
              <w:t xml:space="preserve">3</w:t>
            </w:r>
          </w:p>
        </w:tc>
        <w:tc>
          <w:tcPr>
            <w:tcW w:type="dxa" w:w="8760"/>
            <w:tcBorders>
              <w:top w:val="single" w:color="CCCCCC" w:sz="1"/>
              <w:left w:val="single" w:color="CCCCCC" w:sz="1"/>
              <w:bottom w:val="single" w:color="CCCCCC" w:sz="1"/>
              <w:right w:val="single" w:color="CCCCCC" w:sz="1"/>
            </w:tcBorders>
            <w:tcMar>
              <w:top w:type="dxa" w:w="120"/>
              <w:left w:type="dxa" w:w="160"/>
              <w:bottom w:type="dxa" w:w="120"/>
              <w:right w:type="dxa" w:w="120"/>
            </w:tcMar>
          </w:tcPr>
          <w:p>
            <w:pPr>
              <w:spacing w:after="80" w:before="0"/>
            </w:pPr>
            <w:r>
              <w:rPr>
                <w:rFonts w:ascii="Arial" w:cs="Arial" w:eastAsia="Arial" w:hAnsi="Arial"/>
                <w:b/>
                <w:bCs/>
                <w:color w:val="1B2A4A"/>
                <w:sz w:val="24"/>
                <w:szCs w:val="24"/>
              </w:rPr>
              <w:t xml:space="preserve">Critical Supply Chain Resilience Act — the Baxter IV lesson</w:t>
            </w:r>
          </w:p>
          <w:p>
            <w:pPr>
              <w:spacing w:after="80" w:before="40"/>
            </w:pPr>
            <w:r>
              <w:rPr>
                <w:rFonts w:ascii="Georgia" w:cs="Georgia" w:eastAsia="Georgia" w:hAnsi="Georgia"/>
                <w:color w:val="1F2937"/>
                <w:sz w:val="21"/>
                <w:szCs w:val="21"/>
              </w:rPr>
              <w:t xml:space="preserve">The Baxter IV saline shortage during Hurricane Helene was not a freak occurrence. A single manufacturing facility in Marion, North Carolina supplied roughly 60% of the nation's small-volume parenteral saline solutions. When it flooded, the supply chain failed nationwide. This is a documented single-point-of-failure vulnerability of the kind the Defense Production Act was designed to address — but DPA Title III has never been systematically applied to climate-disaster-exposed medical supply chains.</w:t>
            </w:r>
          </w:p>
          <w:p>
            <w:pPr>
              <w:spacing w:after="80" w:before="40"/>
            </w:pPr>
            <w:r>
              <w:rPr>
                <w:rFonts w:ascii="Georgia" w:cs="Georgia" w:eastAsia="Georgia" w:hAnsi="Georgia"/>
                <w:color w:val="1F2937"/>
                <w:sz w:val="21"/>
                <w:szCs w:val="21"/>
              </w:rPr>
              <w:t xml:space="preserve">The prescription: amend DPA Title III to require ASPR and FEMA to jointly identify the 50 medical products most exposed to single-facility, single-region supply chain concentration. For each identified product, require domestic manufacturing geographic redundancy — a second qualifying facility in a separate FEMA region. Provide preferential government contracting and low-interest financing for redundant facility construction. Authorize the Strategic National Stockpile to maintain 180-day reserves of the 20 most critical items.</w:t>
            </w:r>
          </w:p>
          <w:p>
            <w:pPr>
              <w:spacing w:after="80" w:before="40"/>
            </w:pPr>
            <w:r>
              <w:rPr>
                <w:rFonts w:ascii="Georgia" w:cs="Georgia" w:eastAsia="Georgia" w:hAnsi="Georgia"/>
                <w:color w:val="1F2937"/>
                <w:sz w:val="21"/>
                <w:szCs w:val="21"/>
              </w:rPr>
              <w:t xml:space="preserve">To climate-skeptic audiences, this is economic and national security policy, not climate policy. Supply chain resilience, domestic manufacturing, and reduced dependence on single-region production are goals that cut across ideological lines. The climate content is real — the driving mechanism is that climate disasters are increasingly likely to hit concentrated manufacturing infrastructure — but the policy is defensible entirely on national security and economic terms.</w:t>
            </w:r>
          </w:p>
          <w:p>
            <w:pPr>
              <w:shd w:fill="FEF3C7" w:val="clear"/>
              <w:spacing w:after="0" w:before="100"/>
            </w:pPr>
            <w:r>
              <w:rPr>
                <w:rFonts w:ascii="Arial" w:cs="Arial" w:eastAsia="Arial" w:hAnsi="Arial"/>
                <w:b/>
                <w:bCs/>
                <w:color w:val="B45309"/>
                <w:sz w:val="19"/>
                <w:szCs w:val="19"/>
              </w:rPr>
              <w:t xml:space="preserve">Timing: </w:t>
            </w:r>
            <w:r>
              <w:rPr>
                <w:rFonts w:ascii="Arial" w:cs="Arial" w:eastAsia="Arial" w:hAnsi="Arial"/>
                <w:color w:val="1F2937"/>
                <w:sz w:val="19"/>
                <w:szCs w:val="19"/>
              </w:rPr>
              <w:t xml:space="preserve">Immediate — bipartisan supply chain and defense procurement framing  </w:t>
            </w:r>
            <w:r>
              <w:rPr>
                <w:rFonts w:ascii="Arial" w:cs="Arial" w:eastAsia="Arial" w:hAnsi="Arial"/>
                <w:b/>
                <w:bCs/>
                <w:color w:val="B45309"/>
                <w:sz w:val="19"/>
                <w:szCs w:val="19"/>
              </w:rPr>
              <w:t xml:space="preserve">Vehicle: </w:t>
            </w:r>
            <w:r>
              <w:rPr>
                <w:rFonts w:ascii="Arial" w:cs="Arial" w:eastAsia="Arial" w:hAnsi="Arial"/>
                <w:color w:val="1F2937"/>
                <w:sz w:val="19"/>
                <w:szCs w:val="19"/>
              </w:rPr>
              <w:t xml:space="preserve">DPA Title III amendment; Senate Commerce or HASC jurisdiction</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5FA3" w:val="clear"/>
            <w:tcMar>
              <w:top w:type="dxa" w:w="120"/>
              <w:left w:type="dxa" w:w="120"/>
              <w:bottom w:type="dxa" w:w="120"/>
              <w:right w:type="dxa" w:w="80"/>
            </w:tcMar>
            <w:vAlign w:val="top"/>
          </w:tcPr>
          <w:p>
            <w:pPr>
              <w:jc w:val="center"/>
            </w:pPr>
            <w:r>
              <w:rPr>
                <w:rFonts w:ascii="Arial" w:cs="Arial" w:eastAsia="Arial" w:hAnsi="Arial"/>
                <w:b/>
                <w:bCs/>
                <w:color w:val="FFFFFF"/>
                <w:sz w:val="26"/>
                <w:szCs w:val="26"/>
              </w:rPr>
              <w:t xml:space="preserve">4</w:t>
            </w:r>
          </w:p>
        </w:tc>
        <w:tc>
          <w:tcPr>
            <w:tcW w:type="dxa" w:w="8760"/>
            <w:tcBorders>
              <w:top w:val="single" w:color="CCCCCC" w:sz="1"/>
              <w:left w:val="single" w:color="CCCCCC" w:sz="1"/>
              <w:bottom w:val="single" w:color="CCCCCC" w:sz="1"/>
              <w:right w:val="single" w:color="CCCCCC" w:sz="1"/>
            </w:tcBorders>
            <w:tcMar>
              <w:top w:type="dxa" w:w="120"/>
              <w:left w:type="dxa" w:w="160"/>
              <w:bottom w:type="dxa" w:w="120"/>
              <w:right w:type="dxa" w:w="120"/>
            </w:tcMar>
          </w:tcPr>
          <w:p>
            <w:pPr>
              <w:spacing w:after="80" w:before="0"/>
            </w:pPr>
            <w:r>
              <w:rPr>
                <w:rFonts w:ascii="Arial" w:cs="Arial" w:eastAsia="Arial" w:hAnsi="Arial"/>
                <w:b/>
                <w:bCs/>
                <w:color w:val="1B2A4A"/>
                <w:sz w:val="24"/>
                <w:szCs w:val="24"/>
              </w:rPr>
              <w:t xml:space="preserve">Federal Scientific Integrity Act</w:t>
            </w:r>
          </w:p>
          <w:p>
            <w:pPr>
              <w:spacing w:after="80" w:before="40"/>
            </w:pPr>
            <w:r>
              <w:rPr>
                <w:rFonts w:ascii="Georgia" w:cs="Georgia" w:eastAsia="Georgia" w:hAnsi="Georgia"/>
                <w:color w:val="1F2937"/>
                <w:sz w:val="21"/>
                <w:szCs w:val="21"/>
              </w:rPr>
              <w:t xml:space="preserve">The Bush administration made 294 documented edits to federal climate science reports. Philip Cooney, the American Petroleum Institute's former climate lobbyist, was the editor. He resigned the day after the New York Times exposed him and was hired by ExxonMobil. No criminal charge was possible because there was no law against what he did.</w:t>
            </w:r>
          </w:p>
          <w:p>
            <w:pPr>
              <w:spacing w:after="80" w:before="40"/>
            </w:pPr>
            <w:r>
              <w:rPr>
                <w:rFonts w:ascii="Georgia" w:cs="Georgia" w:eastAsia="Georgia" w:hAnsi="Georgia"/>
                <w:color w:val="1F2937"/>
                <w:sz w:val="21"/>
                <w:szCs w:val="21"/>
              </w:rPr>
              <w:t xml:space="preserve">The prescription: prohibit political appointees from directing the deletion, alteration, or suppression of findings in federally produced scientific reports without a written explanation published in the Federal Register within 10 days. Prohibit removal of federal scientific datasets from public access without 90-day congressional notification and the opportunity to transfer the data to an independent repository (e.g., NCAR, NIST, Smithsonian). Establish independent scientific integrity officers within NOAA, EPA, USGS, and NASA, appointed to 5-year terms by the relevant agency's inspector general rather than by political appointees.</w:t>
            </w:r>
          </w:p>
          <w:p>
            <w:pPr>
              <w:spacing w:after="80" w:before="40"/>
            </w:pPr>
            <w:r>
              <w:rPr>
                <w:rFonts w:ascii="Georgia" w:cs="Georgia" w:eastAsia="Georgia" w:hAnsi="Georgia"/>
                <w:color w:val="1F2937"/>
                <w:sz w:val="21"/>
                <w:szCs w:val="21"/>
              </w:rPr>
              <w:t xml:space="preserve">An estimated 10,109 STEM experts left federal positions in 2025 alone — 14% of the federal PhD workforce. The institutional knowledge loss is not recoverable by executive order in a future administration. The scientific integrity protections must be statutory so that rebuilding is possible at all.</w:t>
            </w:r>
          </w:p>
          <w:p>
            <w:pPr>
              <w:shd w:fill="FEF3C7" w:val="clear"/>
              <w:spacing w:after="0" w:before="100"/>
            </w:pPr>
            <w:r>
              <w:rPr>
                <w:rFonts w:ascii="Arial" w:cs="Arial" w:eastAsia="Arial" w:hAnsi="Arial"/>
                <w:b/>
                <w:bCs/>
                <w:color w:val="B45309"/>
                <w:sz w:val="19"/>
                <w:szCs w:val="19"/>
              </w:rPr>
              <w:t xml:space="preserve">Timing: </w:t>
            </w:r>
            <w:r>
              <w:rPr>
                <w:rFonts w:ascii="Arial" w:cs="Arial" w:eastAsia="Arial" w:hAnsi="Arial"/>
                <w:color w:val="1F2937"/>
                <w:sz w:val="19"/>
                <w:szCs w:val="19"/>
              </w:rPr>
              <w:t xml:space="preserve">Immediate — attach to FY2027 appropriations or standalone  </w:t>
            </w:r>
            <w:r>
              <w:rPr>
                <w:rFonts w:ascii="Arial" w:cs="Arial" w:eastAsia="Arial" w:hAnsi="Arial"/>
                <w:b/>
                <w:bCs/>
                <w:color w:val="B45309"/>
                <w:sz w:val="19"/>
                <w:szCs w:val="19"/>
              </w:rPr>
              <w:t xml:space="preserve">Vehicle: </w:t>
            </w:r>
            <w:r>
              <w:rPr>
                <w:rFonts w:ascii="Arial" w:cs="Arial" w:eastAsia="Arial" w:hAnsi="Arial"/>
                <w:color w:val="1F2937"/>
                <w:sz w:val="19"/>
                <w:szCs w:val="19"/>
              </w:rPr>
              <w:t xml:space="preserve">Standalone bill; Senate Commerce and House Science jurisdiction</w:t>
            </w:r>
          </w:p>
        </w:tc>
      </w:tr>
    </w:tbl>
    <w:p>
      <w:pPr>
        <w:spacing w:after="0" w:before="0"/>
      </w:pPr>
      <w:r>
        <w:rPr>
          <w:sz w:val="12"/>
          <w:szCs w:val="12"/>
        </w:rPr>
        <w:t xml:space="preserve"/>
      </w:r>
    </w:p>
    <w:p>
      <w:pPr>
        <w:spacing w:after="0" w:before="0"/>
      </w:pPr>
      <w:r>
        <w:rPr>
          <w:sz w:val="16"/>
          <w:szCs w:val="16"/>
        </w:rPr>
        <w:t xml:space="preserve"/>
      </w:r>
    </w:p>
    <w:p>
      <w:pPr>
        <w:spacing w:after="80" w:before="0"/>
      </w:pPr>
      <w:r>
        <w:rPr>
          <w:rFonts w:ascii="Arial" w:cs="Arial" w:eastAsia="Arial" w:hAnsi="Arial"/>
          <w:b/>
          <w:bCs/>
          <w:caps/>
          <w:color w:val="2E5FA3"/>
          <w:spacing w:val="60"/>
          <w:sz w:val="20"/>
          <w:szCs w:val="20"/>
        </w:rPr>
        <w:t xml:space="preserve">FEDERAL — MEDIUM TERM</w:t>
      </w:r>
    </w:p>
    <w:p>
      <w:pPr>
        <w:pBdr>
          <w:bottom w:val="single" w:color="D6E4F7" w:sz="3" w:space="1"/>
        </w:pBdr>
        <w:spacing w:after="0" w:before="0"/>
      </w:pPr>
      <w:r>
        <w:t xml:space="preserve"/>
      </w:r>
    </w:p>
    <w:p>
      <w:pPr>
        <w:spacing w:after="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5FA3" w:val="clear"/>
            <w:tcMar>
              <w:top w:type="dxa" w:w="120"/>
              <w:left w:type="dxa" w:w="120"/>
              <w:bottom w:type="dxa" w:w="120"/>
              <w:right w:type="dxa" w:w="80"/>
            </w:tcMar>
            <w:vAlign w:val="top"/>
          </w:tcPr>
          <w:p>
            <w:pPr>
              <w:jc w:val="center"/>
            </w:pPr>
            <w:r>
              <w:rPr>
                <w:rFonts w:ascii="Arial" w:cs="Arial" w:eastAsia="Arial" w:hAnsi="Arial"/>
                <w:b/>
                <w:bCs/>
                <w:color w:val="FFFFFF"/>
                <w:sz w:val="26"/>
                <w:szCs w:val="26"/>
              </w:rPr>
              <w:t xml:space="preserve">5</w:t>
            </w:r>
          </w:p>
        </w:tc>
        <w:tc>
          <w:tcPr>
            <w:tcW w:type="dxa" w:w="8760"/>
            <w:tcBorders>
              <w:top w:val="single" w:color="CCCCCC" w:sz="1"/>
              <w:left w:val="single" w:color="CCCCCC" w:sz="1"/>
              <w:bottom w:val="single" w:color="CCCCCC" w:sz="1"/>
              <w:right w:val="single" w:color="CCCCCC" w:sz="1"/>
            </w:tcBorders>
            <w:tcMar>
              <w:top w:type="dxa" w:w="120"/>
              <w:left w:type="dxa" w:w="160"/>
              <w:bottom w:type="dxa" w:w="120"/>
              <w:right w:type="dxa" w:w="120"/>
            </w:tcMar>
          </w:tcPr>
          <w:p>
            <w:pPr>
              <w:spacing w:after="80" w:before="0"/>
            </w:pPr>
            <w:r>
              <w:rPr>
                <w:rFonts w:ascii="Arial" w:cs="Arial" w:eastAsia="Arial" w:hAnsi="Arial"/>
                <w:b/>
                <w:bCs/>
                <w:color w:val="1B2A4A"/>
                <w:sz w:val="24"/>
                <w:szCs w:val="24"/>
              </w:rPr>
              <w:t xml:space="preserve">Stafford Act Formula Amendment: Replacing Discretion with Criteria</w:t>
            </w:r>
          </w:p>
          <w:p>
            <w:pPr>
              <w:spacing w:after="80" w:before="40"/>
            </w:pPr>
            <w:r>
              <w:rPr>
                <w:rFonts w:ascii="Georgia" w:cs="Georgia" w:eastAsia="Georgia" w:hAnsi="Georgia"/>
                <w:color w:val="1F2937"/>
                <w:sz w:val="21"/>
                <w:szCs w:val="21"/>
              </w:rPr>
              <w:t xml:space="preserve">The fundamental political vulnerability of disaster aid is that presidential disaster declarations are fully discretionary — competitive swing states receive roughly twice as many declarations as uncompetitive states, a finding documented across multiple peer-reviewed studies. The FEMA Act's Section 416 requires written justification for declaration denials, which is progress, but does not change the underlying authority.</w:t>
            </w:r>
          </w:p>
          <w:p>
            <w:pPr>
              <w:spacing w:after="80" w:before="40"/>
            </w:pPr>
            <w:r>
              <w:rPr>
                <w:rFonts w:ascii="Georgia" w:cs="Georgia" w:eastAsia="Georgia" w:hAnsi="Georgia"/>
                <w:color w:val="1F2937"/>
                <w:sz w:val="21"/>
                <w:szCs w:val="21"/>
              </w:rPr>
              <w:t xml:space="preserve">The prescription: amend Stafford Act Section 401 to create a tiered declaration system. Tier 1 — mandatory declaration: when FEMA's preliminary damage assessment documents losses exceeding 1% of state GDP or $500 per capita in the affected counties, a major disaster declaration is automatically effective within 30 days unless the President files a formal objection with congressional notification and specific findings of misassessment. Tier 2 — presumptive declaration: when losses exceed 0.5% of state GDP, the President must declare within 60 days or provide written justification reviewable in federal district court. Tier 3 — discretionary: below thresholds, current authority applies.</w:t>
            </w:r>
          </w:p>
          <w:p>
            <w:pPr>
              <w:spacing w:after="80" w:before="40"/>
            </w:pPr>
            <w:r>
              <w:rPr>
                <w:rFonts w:ascii="Georgia" w:cs="Georgia" w:eastAsia="Georgia" w:hAnsi="Georgia"/>
                <w:color w:val="1F2937"/>
                <w:sz w:val="21"/>
                <w:szCs w:val="21"/>
              </w:rPr>
              <w:t xml:space="preserve">This is not full depoliticization — that is probably constitutionally impossible given Article II. But it transforms political manipulation of Tier 1 and 2 situations from a quiet bureaucratic act into a visible political one, creating accountability costs that currently do not exist.</w:t>
            </w:r>
          </w:p>
          <w:p>
            <w:pPr>
              <w:shd w:fill="FEF3C7" w:val="clear"/>
              <w:spacing w:after="0" w:before="100"/>
            </w:pPr>
            <w:r>
              <w:rPr>
                <w:rFonts w:ascii="Arial" w:cs="Arial" w:eastAsia="Arial" w:hAnsi="Arial"/>
                <w:b/>
                <w:bCs/>
                <w:color w:val="B45309"/>
                <w:sz w:val="19"/>
                <w:szCs w:val="19"/>
              </w:rPr>
              <w:t xml:space="preserve">Timing: </w:t>
            </w:r>
            <w:r>
              <w:rPr>
                <w:rFonts w:ascii="Arial" w:cs="Arial" w:eastAsia="Arial" w:hAnsi="Arial"/>
                <w:color w:val="1F2937"/>
                <w:sz w:val="19"/>
                <w:szCs w:val="19"/>
              </w:rPr>
              <w:t xml:space="preserve">Medium-term — next favorable Congress  </w:t>
            </w:r>
            <w:r>
              <w:rPr>
                <w:rFonts w:ascii="Arial" w:cs="Arial" w:eastAsia="Arial" w:hAnsi="Arial"/>
                <w:b/>
                <w:bCs/>
                <w:color w:val="B45309"/>
                <w:sz w:val="19"/>
                <w:szCs w:val="19"/>
              </w:rPr>
              <w:t xml:space="preserve">Vehicle: </w:t>
            </w:r>
            <w:r>
              <w:rPr>
                <w:rFonts w:ascii="Arial" w:cs="Arial" w:eastAsia="Arial" w:hAnsi="Arial"/>
                <w:color w:val="1F2937"/>
                <w:sz w:val="19"/>
                <w:szCs w:val="19"/>
              </w:rPr>
              <w:t xml:space="preserve">Stafford Act amendment; Senate Homeland Security jurisdiction</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5FA3" w:val="clear"/>
            <w:tcMar>
              <w:top w:type="dxa" w:w="120"/>
              <w:left w:type="dxa" w:w="120"/>
              <w:bottom w:type="dxa" w:w="120"/>
              <w:right w:type="dxa" w:w="80"/>
            </w:tcMar>
            <w:vAlign w:val="top"/>
          </w:tcPr>
          <w:p>
            <w:pPr>
              <w:jc w:val="center"/>
            </w:pPr>
            <w:r>
              <w:rPr>
                <w:rFonts w:ascii="Arial" w:cs="Arial" w:eastAsia="Arial" w:hAnsi="Arial"/>
                <w:b/>
                <w:bCs/>
                <w:color w:val="FFFFFF"/>
                <w:sz w:val="26"/>
                <w:szCs w:val="26"/>
              </w:rPr>
              <w:t xml:space="preserve">6</w:t>
            </w:r>
          </w:p>
        </w:tc>
        <w:tc>
          <w:tcPr>
            <w:tcW w:type="dxa" w:w="8760"/>
            <w:tcBorders>
              <w:top w:val="single" w:color="CCCCCC" w:sz="1"/>
              <w:left w:val="single" w:color="CCCCCC" w:sz="1"/>
              <w:bottom w:val="single" w:color="CCCCCC" w:sz="1"/>
              <w:right w:val="single" w:color="CCCCCC" w:sz="1"/>
            </w:tcBorders>
            <w:tcMar>
              <w:top w:type="dxa" w:w="120"/>
              <w:left w:type="dxa" w:w="160"/>
              <w:bottom w:type="dxa" w:w="120"/>
              <w:right w:type="dxa" w:w="120"/>
            </w:tcMar>
          </w:tcPr>
          <w:p>
            <w:pPr>
              <w:spacing w:after="80" w:before="0"/>
            </w:pPr>
            <w:r>
              <w:rPr>
                <w:rFonts w:ascii="Arial" w:cs="Arial" w:eastAsia="Arial" w:hAnsi="Arial"/>
                <w:b/>
                <w:bCs/>
                <w:color w:val="1B2A4A"/>
                <w:sz w:val="24"/>
                <w:szCs w:val="24"/>
              </w:rPr>
              <w:t xml:space="preserve">National Hazard Resilience Investment Act: Closing the BRIC Vulnerability</w:t>
            </w:r>
          </w:p>
          <w:p>
            <w:pPr>
              <w:spacing w:after="80" w:before="40"/>
            </w:pPr>
            <w:r>
              <w:rPr>
                <w:rFonts w:ascii="Georgia" w:cs="Georgia" w:eastAsia="Georgia" w:hAnsi="Georgia"/>
                <w:color w:val="1F2937"/>
                <w:sz w:val="21"/>
                <w:szCs w:val="21"/>
              </w:rPr>
              <w:t xml:space="preserve">BRIC was terminated by executive fiat on April 4, 2025, despite generating $6–13 in returns per $1 invested and being created by a bipartisan law signed during Trump's first term. The design vulnerability was precise: competitive grant structure administered through a Notice of Funding Opportunity, meaning the entire pipeline could be shut by withdrawing the NOFO. $3.6 billion in awarded grants were frozen; as of spring 2026, a federal judge has ordered restoration and FEMA has taken 'no apparent steps' to comply.</w:t>
            </w:r>
          </w:p>
          <w:p>
            <w:pPr>
              <w:spacing w:after="80" w:before="40"/>
            </w:pPr>
            <w:r>
              <w:rPr>
                <w:rFonts w:ascii="Georgia" w:cs="Georgia" w:eastAsia="Georgia" w:hAnsi="Georgia"/>
                <w:color w:val="1F2937"/>
                <w:sz w:val="21"/>
                <w:szCs w:val="21"/>
              </w:rPr>
              <w:t xml:space="preserve">The prescription: amend Stafford Act Section 203 to restructure pre-disaster mitigation funding as a permanent mandatory appropriation at 0.75% of total federal disaster spending from the prior fiscal year, distributed by formula rather than competitive grant. (The FEMA Act already moves in this direction with its formula provisions in Section 302 — this builds on that structure.) Add statutory automatic disbursement: once a state's mitigation plan is approved, subsequent project awards within that plan are automatically disbursed within 60 days and cannot be administratively frozen without a formal rulemaking process subject to judicial review.</w:t>
            </w:r>
          </w:p>
          <w:p>
            <w:pPr>
              <w:spacing w:after="80" w:before="40"/>
            </w:pPr>
            <w:r>
              <w:rPr>
                <w:rFonts w:ascii="Georgia" w:cs="Georgia" w:eastAsia="Georgia" w:hAnsi="Georgia"/>
                <w:color w:val="1F2937"/>
                <w:sz w:val="21"/>
                <w:szCs w:val="21"/>
              </w:rPr>
              <w:t xml:space="preserve">Also close the gap for already-awarded grants: add language explicitly prohibiting the executive from refusing to disburse congressionally appropriated disaster mitigation funds that have received award notifications, and provide a federal cause of action for award recipients against whom such refusal is made.</w:t>
            </w:r>
          </w:p>
          <w:p>
            <w:pPr>
              <w:shd w:fill="FEF3C7" w:val="clear"/>
              <w:spacing w:after="0" w:before="100"/>
            </w:pPr>
            <w:r>
              <w:rPr>
                <w:rFonts w:ascii="Arial" w:cs="Arial" w:eastAsia="Arial" w:hAnsi="Arial"/>
                <w:b/>
                <w:bCs/>
                <w:color w:val="B45309"/>
                <w:sz w:val="19"/>
                <w:szCs w:val="19"/>
              </w:rPr>
              <w:t xml:space="preserve">Timing: </w:t>
            </w:r>
            <w:r>
              <w:rPr>
                <w:rFonts w:ascii="Arial" w:cs="Arial" w:eastAsia="Arial" w:hAnsi="Arial"/>
                <w:color w:val="1F2937"/>
                <w:sz w:val="19"/>
                <w:szCs w:val="19"/>
              </w:rPr>
              <w:t xml:space="preserve">Medium-term — can be built on FEMA Act foundation  </w:t>
            </w:r>
            <w:r>
              <w:rPr>
                <w:rFonts w:ascii="Arial" w:cs="Arial" w:eastAsia="Arial" w:hAnsi="Arial"/>
                <w:b/>
                <w:bCs/>
                <w:color w:val="B45309"/>
                <w:sz w:val="19"/>
                <w:szCs w:val="19"/>
              </w:rPr>
              <w:t xml:space="preserve">Vehicle: </w:t>
            </w:r>
            <w:r>
              <w:rPr>
                <w:rFonts w:ascii="Arial" w:cs="Arial" w:eastAsia="Arial" w:hAnsi="Arial"/>
                <w:color w:val="1F2937"/>
                <w:sz w:val="19"/>
                <w:szCs w:val="19"/>
              </w:rPr>
              <w:t xml:space="preserve">Stafford Act Section 203 amendment; may be incorporated into FEMA Act conference</w:t>
            </w:r>
          </w:p>
        </w:tc>
      </w:tr>
    </w:tbl>
    <w:p>
      <w:pPr>
        <w:spacing w:after="0" w:before="0"/>
      </w:pPr>
      <w:r>
        <w:rPr>
          <w:sz w:val="12"/>
          <w:szCs w:val="12"/>
        </w:rPr>
        <w:t xml:space="preserve"/>
      </w:r>
    </w:p>
    <w:p>
      <w:pPr>
        <w:spacing w:after="0" w:before="0"/>
      </w:pPr>
      <w:r>
        <w:rPr>
          <w:sz w:val="16"/>
          <w:szCs w:val="16"/>
        </w:rPr>
        <w:t xml:space="preserve"/>
      </w:r>
    </w:p>
    <w:p>
      <w:pPr>
        <w:spacing w:after="80" w:before="0"/>
      </w:pPr>
      <w:r>
        <w:rPr>
          <w:rFonts w:ascii="Arial" w:cs="Arial" w:eastAsia="Arial" w:hAnsi="Arial"/>
          <w:b/>
          <w:bCs/>
          <w:caps/>
          <w:color w:val="2E5FA3"/>
          <w:spacing w:val="60"/>
          <w:sz w:val="20"/>
          <w:szCs w:val="20"/>
        </w:rPr>
        <w:t xml:space="preserve">STATE AND LOCAL</w:t>
      </w:r>
    </w:p>
    <w:p>
      <w:pPr>
        <w:pBdr>
          <w:bottom w:val="single" w:color="D6E4F7" w:sz="3" w:space="1"/>
        </w:pBdr>
        <w:spacing w:after="0" w:before="0"/>
      </w:pPr>
      <w:r>
        <w:t xml:space="preserve"/>
      </w:r>
    </w:p>
    <w:p>
      <w:pPr>
        <w:spacing w:after="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5FA3" w:val="clear"/>
            <w:tcMar>
              <w:top w:type="dxa" w:w="120"/>
              <w:left w:type="dxa" w:w="120"/>
              <w:bottom w:type="dxa" w:w="120"/>
              <w:right w:type="dxa" w:w="80"/>
            </w:tcMar>
            <w:vAlign w:val="top"/>
          </w:tcPr>
          <w:p>
            <w:pPr>
              <w:jc w:val="center"/>
            </w:pPr>
            <w:r>
              <w:rPr>
                <w:rFonts w:ascii="Arial" w:cs="Arial" w:eastAsia="Arial" w:hAnsi="Arial"/>
                <w:b/>
                <w:bCs/>
                <w:color w:val="FFFFFF"/>
                <w:sz w:val="26"/>
                <w:szCs w:val="26"/>
              </w:rPr>
              <w:t xml:space="preserve">7</w:t>
            </w:r>
          </w:p>
        </w:tc>
        <w:tc>
          <w:tcPr>
            <w:tcW w:type="dxa" w:w="8760"/>
            <w:tcBorders>
              <w:top w:val="single" w:color="CCCCCC" w:sz="1"/>
              <w:left w:val="single" w:color="CCCCCC" w:sz="1"/>
              <w:bottom w:val="single" w:color="CCCCCC" w:sz="1"/>
              <w:right w:val="single" w:color="CCCCCC" w:sz="1"/>
            </w:tcBorders>
            <w:tcMar>
              <w:top w:type="dxa" w:w="120"/>
              <w:left w:type="dxa" w:w="160"/>
              <w:bottom w:type="dxa" w:w="120"/>
              <w:right w:type="dxa" w:w="120"/>
            </w:tcMar>
          </w:tcPr>
          <w:p>
            <w:pPr>
              <w:spacing w:after="80" w:before="0"/>
            </w:pPr>
            <w:r>
              <w:rPr>
                <w:rFonts w:ascii="Arial" w:cs="Arial" w:eastAsia="Arial" w:hAnsi="Arial"/>
                <w:b/>
                <w:bCs/>
                <w:color w:val="1B2A4A"/>
                <w:sz w:val="24"/>
                <w:szCs w:val="24"/>
              </w:rPr>
              <w:t xml:space="preserve">State Pre-Disaster Mitigation Funds: Voter-Protected, Locally Governed</w:t>
            </w:r>
          </w:p>
          <w:p>
            <w:pPr>
              <w:spacing w:after="80" w:before="40"/>
            </w:pPr>
            <w:r>
              <w:rPr>
                <w:rFonts w:ascii="Georgia" w:cs="Georgia" w:eastAsia="Georgia" w:hAnsi="Georgia"/>
                <w:color w:val="1F2937"/>
                <w:sz w:val="21"/>
                <w:szCs w:val="21"/>
              </w:rPr>
              <w:t xml:space="preserve">The Portland Clean Energy Community Benefits Fund — created by a 2018 voter referendum imposing a 1% gross receipts surcharge on large retailers, generating ~$90M annually — is the most durable U.S. model for climate resilience funding insulated from federal political cycling. Its key design features: revenue embedded in the tax code, not the appropriations process; voter approval (making council reversal politically costly); and community-appointed governance board (insulating from mayoral or gubernatorial capture).</w:t>
            </w:r>
          </w:p>
          <w:p>
            <w:pPr>
              <w:spacing w:after="80" w:before="40"/>
            </w:pPr>
            <w:r>
              <w:rPr>
                <w:rFonts w:ascii="Georgia" w:cs="Georgia" w:eastAsia="Georgia" w:hAnsi="Georgia"/>
                <w:color w:val="1F2937"/>
                <w:sz w:val="21"/>
                <w:szCs w:val="21"/>
              </w:rPr>
              <w:t xml:space="preserve">The prescription: states with significant disaster exposure should enact analogous funds through ballot initiative where possible. The surcharge mechanism can be adapted: a small surcharge on property insurance premiums (0.25% of premium) creates a politically legible connection between insurance risk and prevention investment, and reaches a broader tax base than the Portland retailer model. Target states for near-term initiative campaigns: Colorado, Nevada, Arizona, Michigan, Minnesota.</w:t>
            </w:r>
          </w:p>
          <w:p>
            <w:pPr>
              <w:spacing w:after="80" w:before="40"/>
            </w:pPr>
            <w:r>
              <w:rPr>
                <w:rFonts w:ascii="Georgia" w:cs="Georgia" w:eastAsia="Georgia" w:hAnsi="Georgia"/>
                <w:color w:val="1F2937"/>
                <w:sz w:val="21"/>
                <w:szCs w:val="21"/>
              </w:rPr>
              <w:t xml:space="preserve">Design requirement: any state-level fund should explicitly prohibit gubernatorial impoundment of fund revenues and require formula-based distribution to local governments rather than discretionary grants. The local government allocation restores the BRIC investment logic at the state level while eliminating the single point of federal political failure.</w:t>
            </w:r>
          </w:p>
          <w:p>
            <w:pPr>
              <w:shd w:fill="FEF3C7" w:val="clear"/>
              <w:spacing w:after="0" w:before="100"/>
            </w:pPr>
            <w:r>
              <w:rPr>
                <w:rFonts w:ascii="Arial" w:cs="Arial" w:eastAsia="Arial" w:hAnsi="Arial"/>
                <w:b/>
                <w:bCs/>
                <w:color w:val="B45309"/>
                <w:sz w:val="19"/>
                <w:szCs w:val="19"/>
              </w:rPr>
              <w:t xml:space="preserve">Timing: </w:t>
            </w:r>
            <w:r>
              <w:rPr>
                <w:rFonts w:ascii="Arial" w:cs="Arial" w:eastAsia="Arial" w:hAnsi="Arial"/>
                <w:color w:val="1F2937"/>
                <w:sz w:val="19"/>
                <w:szCs w:val="19"/>
              </w:rPr>
              <w:t xml:space="preserve">Immediate at state level — initiative campaigns possible 2026–2028  </w:t>
            </w:r>
            <w:r>
              <w:rPr>
                <w:rFonts w:ascii="Arial" w:cs="Arial" w:eastAsia="Arial" w:hAnsi="Arial"/>
                <w:b/>
                <w:bCs/>
                <w:color w:val="B45309"/>
                <w:sz w:val="19"/>
                <w:szCs w:val="19"/>
              </w:rPr>
              <w:t xml:space="preserve">Vehicle: </w:t>
            </w:r>
            <w:r>
              <w:rPr>
                <w:rFonts w:ascii="Arial" w:cs="Arial" w:eastAsia="Arial" w:hAnsi="Arial"/>
                <w:color w:val="1F2937"/>
                <w:sz w:val="19"/>
                <w:szCs w:val="19"/>
              </w:rPr>
              <w:t xml:space="preserve">State ballot initiative; model legislation available from Georgetown Climate Center</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5FA3" w:val="clear"/>
            <w:tcMar>
              <w:top w:type="dxa" w:w="120"/>
              <w:left w:type="dxa" w:w="120"/>
              <w:bottom w:type="dxa" w:w="120"/>
              <w:right w:type="dxa" w:w="80"/>
            </w:tcMar>
            <w:vAlign w:val="top"/>
          </w:tcPr>
          <w:p>
            <w:pPr>
              <w:jc w:val="center"/>
            </w:pPr>
            <w:r>
              <w:rPr>
                <w:rFonts w:ascii="Arial" w:cs="Arial" w:eastAsia="Arial" w:hAnsi="Arial"/>
                <w:b/>
                <w:bCs/>
                <w:color w:val="FFFFFF"/>
                <w:sz w:val="26"/>
                <w:szCs w:val="26"/>
              </w:rPr>
              <w:t xml:space="preserve">8</w:t>
            </w:r>
          </w:p>
        </w:tc>
        <w:tc>
          <w:tcPr>
            <w:tcW w:type="dxa" w:w="8760"/>
            <w:tcBorders>
              <w:top w:val="single" w:color="CCCCCC" w:sz="1"/>
              <w:left w:val="single" w:color="CCCCCC" w:sz="1"/>
              <w:bottom w:val="single" w:color="CCCCCC" w:sz="1"/>
              <w:right w:val="single" w:color="CCCCCC" w:sz="1"/>
            </w:tcBorders>
            <w:tcMar>
              <w:top w:type="dxa" w:w="120"/>
              <w:left w:type="dxa" w:w="160"/>
              <w:bottom w:type="dxa" w:w="120"/>
              <w:right w:type="dxa" w:w="120"/>
            </w:tcMar>
          </w:tcPr>
          <w:p>
            <w:pPr>
              <w:spacing w:after="80" w:before="0"/>
            </w:pPr>
            <w:r>
              <w:rPr>
                <w:rFonts w:ascii="Arial" w:cs="Arial" w:eastAsia="Arial" w:hAnsi="Arial"/>
                <w:b/>
                <w:bCs/>
                <w:color w:val="1B2A4A"/>
                <w:sz w:val="24"/>
                <w:szCs w:val="24"/>
              </w:rPr>
              <w:t xml:space="preserve">Municipal Resilience Funds: The Charlotte-Mecklenburg Model</w:t>
            </w:r>
          </w:p>
          <w:p>
            <w:pPr>
              <w:spacing w:after="80" w:before="40"/>
            </w:pPr>
            <w:r>
              <w:rPr>
                <w:rFonts w:ascii="Georgia" w:cs="Georgia" w:eastAsia="Georgia" w:hAnsi="Georgia"/>
                <w:color w:val="1F2937"/>
                <w:sz w:val="21"/>
                <w:szCs w:val="21"/>
              </w:rPr>
              <w:t xml:space="preserve">Charlotte-Mecklenburg's flood risk buyout program, funded by local stormwater utility fees, has run continuously for decades and purchased thousands of flood-prone parcels. It predates every federal climate program and has survived every federal political transition. The mechanism — a utility fee dedicated by local ordinance to a specific infrastructure purpose — is the most politically durable funding structure available to local governments.</w:t>
            </w:r>
          </w:p>
          <w:p>
            <w:pPr>
              <w:spacing w:after="80" w:before="40"/>
            </w:pPr>
            <w:r>
              <w:rPr>
                <w:rFonts w:ascii="Georgia" w:cs="Georgia" w:eastAsia="Georgia" w:hAnsi="Georgia"/>
                <w:color w:val="1F2937"/>
                <w:sz w:val="21"/>
                <w:szCs w:val="21"/>
              </w:rPr>
              <w:t xml:space="preserve">The prescription: state legislatures should authorize local governments to create dedicated Climate Resilience Utility fees, collected alongside existing utility billing infrastructure, dedicated to pre-disaster mitigation, climate adaptation, and community resilience investments. Include explicit provisions protecting the fund from mayoral impoundment or city council reallocation without a supermajority vote and 90-day public notice.</w:t>
            </w:r>
          </w:p>
          <w:p>
            <w:pPr>
              <w:spacing w:after="80" w:before="40"/>
            </w:pPr>
            <w:r>
              <w:rPr>
                <w:rFonts w:ascii="Georgia" w:cs="Georgia" w:eastAsia="Georgia" w:hAnsi="Georgia"/>
                <w:color w:val="1F2937"/>
                <w:sz w:val="21"/>
                <w:szCs w:val="21"/>
              </w:rPr>
              <w:t xml:space="preserve">Equity design requirement: fee structure should be progressive (tiered by property value or income) and include renter protections. The Harris County, Texas buyout experience documents that less affluent homeowners move three times farther post-relocation than wealthier ones — a managed retreat program without equity provisions produces displacement, not resilience.</w:t>
            </w:r>
          </w:p>
          <w:p>
            <w:pPr>
              <w:shd w:fill="FEF3C7" w:val="clear"/>
              <w:spacing w:after="0" w:before="100"/>
            </w:pPr>
            <w:r>
              <w:rPr>
                <w:rFonts w:ascii="Arial" w:cs="Arial" w:eastAsia="Arial" w:hAnsi="Arial"/>
                <w:b/>
                <w:bCs/>
                <w:color w:val="B45309"/>
                <w:sz w:val="19"/>
                <w:szCs w:val="19"/>
              </w:rPr>
              <w:t xml:space="preserve">Timing: </w:t>
            </w:r>
            <w:r>
              <w:rPr>
                <w:rFonts w:ascii="Arial" w:cs="Arial" w:eastAsia="Arial" w:hAnsi="Arial"/>
                <w:color w:val="1F2937"/>
                <w:sz w:val="19"/>
                <w:szCs w:val="19"/>
              </w:rPr>
              <w:t xml:space="preserve">Immediate at local level  </w:t>
            </w:r>
            <w:r>
              <w:rPr>
                <w:rFonts w:ascii="Arial" w:cs="Arial" w:eastAsia="Arial" w:hAnsi="Arial"/>
                <w:b/>
                <w:bCs/>
                <w:color w:val="B45309"/>
                <w:sz w:val="19"/>
                <w:szCs w:val="19"/>
              </w:rPr>
              <w:t xml:space="preserve">Vehicle: </w:t>
            </w:r>
            <w:r>
              <w:rPr>
                <w:rFonts w:ascii="Arial" w:cs="Arial" w:eastAsia="Arial" w:hAnsi="Arial"/>
                <w:color w:val="1F2937"/>
                <w:sz w:val="19"/>
                <w:szCs w:val="19"/>
              </w:rPr>
              <w:t xml:space="preserve">State enabling legislation plus local ordinance; FEMA technical assistance</w:t>
            </w:r>
          </w:p>
        </w:tc>
      </w:tr>
    </w:tbl>
    <w:p>
      <w:pPr>
        <w:spacing w:after="0" w:before="0"/>
      </w:pPr>
      <w:r>
        <w:rPr>
          <w:sz w:val="12"/>
          <w:szCs w:val="12"/>
        </w:rPr>
        <w:t xml:space="preserve"/>
      </w:r>
    </w:p>
    <w:p>
      <w:pPr>
        <w:spacing w:after="0" w:before="0"/>
      </w:pPr>
      <w:r>
        <w:rPr>
          <w:sz w:val="16"/>
          <w:szCs w:val="16"/>
        </w:rPr>
        <w:t xml:space="preserve"/>
      </w:r>
    </w:p>
    <w:p>
      <w:pPr>
        <w:spacing w:after="80" w:before="0"/>
      </w:pPr>
      <w:r>
        <w:rPr>
          <w:rFonts w:ascii="Arial" w:cs="Arial" w:eastAsia="Arial" w:hAnsi="Arial"/>
          <w:b/>
          <w:bCs/>
          <w:caps/>
          <w:color w:val="2E5FA3"/>
          <w:spacing w:val="60"/>
          <w:sz w:val="20"/>
          <w:szCs w:val="20"/>
        </w:rPr>
        <w:t xml:space="preserve">INTERNATIONAL</w:t>
      </w:r>
    </w:p>
    <w:p>
      <w:pPr>
        <w:pBdr>
          <w:bottom w:val="single" w:color="D6E4F7" w:sz="3" w:space="1"/>
        </w:pBdr>
        <w:spacing w:after="0" w:before="0"/>
      </w:pPr>
      <w:r>
        <w:t xml:space="preserve"/>
      </w:r>
    </w:p>
    <w:p>
      <w:pPr>
        <w:spacing w:after="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5FA3" w:val="clear"/>
            <w:tcMar>
              <w:top w:type="dxa" w:w="120"/>
              <w:left w:type="dxa" w:w="120"/>
              <w:bottom w:type="dxa" w:w="120"/>
              <w:right w:type="dxa" w:w="80"/>
            </w:tcMar>
            <w:vAlign w:val="top"/>
          </w:tcPr>
          <w:p>
            <w:pPr>
              <w:jc w:val="center"/>
            </w:pPr>
            <w:r>
              <w:rPr>
                <w:rFonts w:ascii="Arial" w:cs="Arial" w:eastAsia="Arial" w:hAnsi="Arial"/>
                <w:b/>
                <w:bCs/>
                <w:color w:val="FFFFFF"/>
                <w:sz w:val="26"/>
                <w:szCs w:val="26"/>
              </w:rPr>
              <w:t xml:space="preserve">9</w:t>
            </w:r>
          </w:p>
        </w:tc>
        <w:tc>
          <w:tcPr>
            <w:tcW w:type="dxa" w:w="8760"/>
            <w:tcBorders>
              <w:top w:val="single" w:color="CCCCCC" w:sz="1"/>
              <w:left w:val="single" w:color="CCCCCC" w:sz="1"/>
              <w:bottom w:val="single" w:color="CCCCCC" w:sz="1"/>
              <w:right w:val="single" w:color="CCCCCC" w:sz="1"/>
            </w:tcBorders>
            <w:tcMar>
              <w:top w:type="dxa" w:w="120"/>
              <w:left w:type="dxa" w:w="160"/>
              <w:bottom w:type="dxa" w:w="120"/>
              <w:right w:type="dxa" w:w="120"/>
            </w:tcMar>
          </w:tcPr>
          <w:p>
            <w:pPr>
              <w:spacing w:after="80" w:before="0"/>
            </w:pPr>
            <w:r>
              <w:rPr>
                <w:rFonts w:ascii="Arial" w:cs="Arial" w:eastAsia="Arial" w:hAnsi="Arial"/>
                <w:b/>
                <w:bCs/>
                <w:color w:val="1B2A4A"/>
                <w:sz w:val="24"/>
                <w:szCs w:val="24"/>
              </w:rPr>
              <w:t xml:space="preserve">Bilateral Critical Infrastructure Resilience Partnerships</w:t>
            </w:r>
          </w:p>
          <w:p>
            <w:pPr>
              <w:spacing w:after="80" w:before="40"/>
            </w:pPr>
            <w:r>
              <w:rPr>
                <w:rFonts w:ascii="Georgia" w:cs="Georgia" w:eastAsia="Georgia" w:hAnsi="Georgia"/>
                <w:color w:val="1F2937"/>
                <w:sz w:val="21"/>
                <w:szCs w:val="21"/>
              </w:rPr>
              <w:t xml:space="preserve">The Baxter IV supply chain failure was a domestic problem with an obvious bilateral solution: the U.S. and EU already cooperate on pharmaceutical regulation through ICH guidelines and have established bilateral trade frameworks. A formal Critical Infrastructure Resilience Partnership with the EU, Japan, and Canada — covering essential medical supplies, emergency communications equipment, and disaster response materials — would address single-point-of-failure vulnerabilities that climate disasters are increasingly likely to expose.</w:t>
            </w:r>
          </w:p>
          <w:p>
            <w:pPr>
              <w:spacing w:after="80" w:before="40"/>
            </w:pPr>
            <w:r>
              <w:rPr>
                <w:rFonts w:ascii="Georgia" w:cs="Georgia" w:eastAsia="Georgia" w:hAnsi="Georgia"/>
                <w:color w:val="1F2937"/>
                <w:sz w:val="21"/>
                <w:szCs w:val="21"/>
              </w:rPr>
              <w:t xml:space="preserve">The prescription: the State Department and USTR should negotiate bilateral agreements with EU, Japan, Canada, and South Korea establishing mutual stockpile access for essential emergency supplies during declared disasters. These agreements require no Senate ratification (they are executive agreements in the trade facilitation category) and are achievable administratively.</w:t>
            </w:r>
          </w:p>
          <w:p>
            <w:pPr>
              <w:spacing w:after="80" w:before="40"/>
            </w:pPr>
            <w:r>
              <w:rPr>
                <w:rFonts w:ascii="Georgia" w:cs="Georgia" w:eastAsia="Georgia" w:hAnsi="Georgia"/>
                <w:color w:val="1F2937"/>
                <w:sz w:val="21"/>
                <w:szCs w:val="21"/>
              </w:rPr>
              <w:t xml:space="preserve">Separately, the U.S. should restore its participation in WMO's Global Hydrological Status and Outlook System (HydroSOS) and the Copernicus Emergency Management Service data-sharing partnership with the EU, both degraded since 2025. International climate data sharing is not a climate advocacy position — it is operational capacity for disaster response.</w:t>
            </w:r>
          </w:p>
          <w:p>
            <w:pPr>
              <w:shd w:fill="FEF3C7" w:val="clear"/>
              <w:spacing w:after="0" w:before="100"/>
            </w:pPr>
            <w:r>
              <w:rPr>
                <w:rFonts w:ascii="Arial" w:cs="Arial" w:eastAsia="Arial" w:hAnsi="Arial"/>
                <w:b/>
                <w:bCs/>
                <w:color w:val="B45309"/>
                <w:sz w:val="19"/>
                <w:szCs w:val="19"/>
              </w:rPr>
              <w:t xml:space="preserve">Timing: </w:t>
            </w:r>
            <w:r>
              <w:rPr>
                <w:rFonts w:ascii="Arial" w:cs="Arial" w:eastAsia="Arial" w:hAnsi="Arial"/>
                <w:color w:val="1F2937"/>
                <w:sz w:val="19"/>
                <w:szCs w:val="19"/>
              </w:rPr>
              <w:t xml:space="preserve">Immediate — executive agreement, no Senate ratification required  </w:t>
            </w:r>
            <w:r>
              <w:rPr>
                <w:rFonts w:ascii="Arial" w:cs="Arial" w:eastAsia="Arial" w:hAnsi="Arial"/>
                <w:b/>
                <w:bCs/>
                <w:color w:val="B45309"/>
                <w:sz w:val="19"/>
                <w:szCs w:val="19"/>
              </w:rPr>
              <w:t xml:space="preserve">Vehicle: </w:t>
            </w:r>
            <w:r>
              <w:rPr>
                <w:rFonts w:ascii="Arial" w:cs="Arial" w:eastAsia="Arial" w:hAnsi="Arial"/>
                <w:color w:val="1F2937"/>
                <w:sz w:val="19"/>
                <w:szCs w:val="19"/>
              </w:rPr>
              <w:t xml:space="preserve">State Department / USTR executive agreement authority</w:t>
            </w:r>
          </w:p>
        </w:tc>
      </w:tr>
    </w:tbl>
    <w:p>
      <w:pPr>
        <w:spacing w:after="0" w:before="0"/>
      </w:pPr>
      <w:r>
        <w:rPr>
          <w:sz w:val="12"/>
          <w:szCs w:val="12"/>
        </w:rPr>
        <w:t xml:space="preserve"/>
      </w:r>
    </w:p>
    <w:p>
      <w:pPr>
        <w:spacing w:after="0" w:before="0"/>
      </w:pPr>
      <w:r>
        <w:rPr>
          <w:sz w:val="24"/>
          <w:szCs w:val="24"/>
        </w:rPr>
        <w:t xml:space="preserve"/>
      </w:r>
    </w:p>
    <w:p>
      <w:pPr>
        <w:spacing w:after="0" w:before="0"/>
      </w:pPr>
      <w:r>
        <w:rPr>
          <w:sz w:val="20"/>
          <w:szCs w:val="20"/>
        </w:rPr>
        <w:t xml:space="preserve"/>
      </w:r>
    </w:p>
    <w:p>
      <w:pPr>
        <w:spacing w:after="60" w:before="0"/>
      </w:pPr>
      <w:r>
        <w:rPr>
          <w:rFonts w:ascii="Arial" w:cs="Arial" w:eastAsia="Arial" w:hAnsi="Arial"/>
          <w:b/>
          <w:bCs/>
          <w:caps/>
          <w:color w:val="2E5FA3"/>
          <w:spacing w:val="80"/>
          <w:sz w:val="18"/>
          <w:szCs w:val="18"/>
        </w:rPr>
        <w:t xml:space="preserve">PILLAR II</w:t>
      </w:r>
    </w:p>
    <w:p>
      <w:pPr>
        <w:spacing w:after="100" w:before="0"/>
      </w:pPr>
      <w:r>
        <w:rPr>
          <w:rFonts w:ascii="Arial" w:cs="Arial" w:eastAsia="Arial" w:hAnsi="Arial"/>
          <w:b/>
          <w:bCs/>
          <w:color w:val="1B2A4A"/>
          <w:sz w:val="30"/>
          <w:szCs w:val="30"/>
        </w:rPr>
        <w:t xml:space="preserve">Distributed Economic Stakes in the Transition</w:t>
      </w:r>
    </w:p>
    <w:p>
      <w:pPr>
        <w:spacing w:after="160" w:before="0"/>
      </w:pPr>
      <w:r>
        <w:rPr>
          <w:rFonts w:ascii="Georgia" w:cs="Georgia" w:eastAsia="Georgia" w:hAnsi="Georgia"/>
          <w:i/>
          <w:iCs/>
          <w:color w:val="6B7280"/>
          <w:sz w:val="22"/>
          <w:szCs w:val="22"/>
        </w:rPr>
        <w:t xml:space="preserve">Building constituencies for climate action that survive the next hostile administration</w:t>
      </w:r>
    </w:p>
    <w:p>
      <w:pPr>
        <w:pBdr>
          <w:bottom w:val="single" w:color="2E5FA3" w:sz="6" w:space="1"/>
        </w:pBdr>
        <w:spacing w:after="0" w:before="0"/>
      </w:pPr>
      <w:r>
        <w:t xml:space="preserve"/>
      </w:r>
    </w:p>
    <w:p>
      <w:pPr>
        <w:spacing w:after="0" w:before="0"/>
      </w:pPr>
      <w:r>
        <w:rPr>
          <w:sz w:val="8"/>
          <w:szCs w:val="8"/>
        </w:rPr>
        <w:t xml:space="preserve"/>
      </w:r>
    </w:p>
    <w:p>
      <w:pPr>
        <w:spacing w:after="0" w:before="0"/>
      </w:pPr>
      <w:r>
        <w:rPr>
          <w:sz w:val="16"/>
          <w:szCs w:val="16"/>
        </w:rPr>
        <w:t xml:space="preserve"/>
      </w:r>
    </w:p>
    <w:p>
      <w:pPr>
        <w:spacing w:after="80" w:before="0"/>
      </w:pPr>
      <w:r>
        <w:rPr>
          <w:rFonts w:ascii="Arial" w:cs="Arial" w:eastAsia="Arial" w:hAnsi="Arial"/>
          <w:b/>
          <w:bCs/>
          <w:caps/>
          <w:color w:val="2E5FA3"/>
          <w:spacing w:val="60"/>
          <w:sz w:val="20"/>
          <w:szCs w:val="20"/>
        </w:rPr>
        <w:t xml:space="preserve">FEDERAL — IMMEDIATE</w:t>
      </w:r>
    </w:p>
    <w:p>
      <w:pPr>
        <w:pBdr>
          <w:bottom w:val="single" w:color="D6E4F7" w:sz="3" w:space="1"/>
        </w:pBdr>
        <w:spacing w:after="0" w:before="0"/>
      </w:pPr>
      <w:r>
        <w:t xml:space="preserve"/>
      </w:r>
    </w:p>
    <w:p>
      <w:pPr>
        <w:spacing w:after="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5FA3" w:val="clear"/>
            <w:tcMar>
              <w:top w:type="dxa" w:w="120"/>
              <w:left w:type="dxa" w:w="120"/>
              <w:bottom w:type="dxa" w:w="120"/>
              <w:right w:type="dxa" w:w="80"/>
            </w:tcMar>
            <w:vAlign w:val="top"/>
          </w:tcPr>
          <w:p>
            <w:pPr>
              <w:jc w:val="center"/>
            </w:pPr>
            <w:r>
              <w:rPr>
                <w:rFonts w:ascii="Arial" w:cs="Arial" w:eastAsia="Arial" w:hAnsi="Arial"/>
                <w:b/>
                <w:bCs/>
                <w:color w:val="FFFFFF"/>
                <w:sz w:val="26"/>
                <w:szCs w:val="26"/>
              </w:rPr>
              <w:t xml:space="preserve">10</w:t>
            </w:r>
          </w:p>
        </w:tc>
        <w:tc>
          <w:tcPr>
            <w:tcW w:type="dxa" w:w="8760"/>
            <w:tcBorders>
              <w:top w:val="single" w:color="CCCCCC" w:sz="1"/>
              <w:left w:val="single" w:color="CCCCCC" w:sz="1"/>
              <w:bottom w:val="single" w:color="CCCCCC" w:sz="1"/>
              <w:right w:val="single" w:color="CCCCCC" w:sz="1"/>
            </w:tcBorders>
            <w:tcMar>
              <w:top w:type="dxa" w:w="120"/>
              <w:left w:type="dxa" w:w="160"/>
              <w:bottom w:type="dxa" w:w="120"/>
              <w:right w:type="dxa" w:w="120"/>
            </w:tcMar>
          </w:tcPr>
          <w:p>
            <w:pPr>
              <w:spacing w:after="80" w:before="0"/>
            </w:pPr>
            <w:r>
              <w:rPr>
                <w:rFonts w:ascii="Arial" w:cs="Arial" w:eastAsia="Arial" w:hAnsi="Arial"/>
                <w:b/>
                <w:bCs/>
                <w:color w:val="1B2A4A"/>
                <w:sz w:val="24"/>
                <w:szCs w:val="24"/>
              </w:rPr>
              <w:t xml:space="preserve">Defend and Deepen Surviving IRA Tax Credits — The 18-Republican Coalition</w:t>
            </w:r>
          </w:p>
          <w:p>
            <w:pPr>
              <w:spacing w:after="80" w:before="40"/>
            </w:pPr>
            <w:r>
              <w:rPr>
                <w:rFonts w:ascii="Georgia" w:cs="Georgia" w:eastAsia="Georgia" w:hAnsi="Georgia"/>
                <w:color w:val="1F2937"/>
                <w:sz w:val="21"/>
                <w:szCs w:val="21"/>
              </w:rPr>
              <w:t xml:space="preserve">The single most important political science finding for this framework is the IRA's partial survival: full repeal was blocked by 18 House Republicans representing clean energy districts, because roughly 71% of IRA-funded projects located in Republican-held congressional districts. Meckling's policy sequencing theory predicted this — industrial policy builds advocacy coalitions that subsequently defend regulatory commitments. The lesson must be institutionalized.</w:t>
            </w:r>
          </w:p>
          <w:p>
            <w:pPr>
              <w:spacing w:after="80" w:before="40"/>
            </w:pPr>
            <w:r>
              <w:rPr>
                <w:rFonts w:ascii="Georgia" w:cs="Georgia" w:eastAsia="Georgia" w:hAnsi="Georgia"/>
                <w:color w:val="1F2937"/>
                <w:sz w:val="21"/>
                <w:szCs w:val="21"/>
              </w:rPr>
              <w:t xml:space="preserve">The Investment Tax Credit (ITC, Section 48) and Production Tax Credit (PTC, Section 45) for wind and solar partially survived the One Big Beautiful Bill Act (signed July 2025), though with accelerated phase-outs and new restrictions. The immediate prescription: climate advocates should explicitly support the electoral prospects of the 18 House Republicans who defended IRA credits, treat them as coalition partners rather than adversaries on the narrow question of credit survival, and direct political resources accordingly.</w:t>
            </w:r>
          </w:p>
          <w:p>
            <w:pPr>
              <w:spacing w:after="80" w:before="40"/>
            </w:pPr>
            <w:r>
              <w:rPr>
                <w:rFonts w:ascii="Georgia" w:cs="Georgia" w:eastAsia="Georgia" w:hAnsi="Georgia"/>
                <w:color w:val="1F2937"/>
                <w:sz w:val="21"/>
                <w:szCs w:val="21"/>
              </w:rPr>
              <w:t xml:space="preserve">Legislative add: any bill extending or modifying surviving tax credits should include a Community Ownership Carve-Out — any project claiming ITC or PTC should allow community co-ownership of up to 20% without losing credit eligibility. This extends the distributed beneficiary logic to communities rather than just private investors, creating local ownership constituencies in addition to investment industry constituencies.</w:t>
            </w:r>
          </w:p>
          <w:p>
            <w:pPr>
              <w:shd w:fill="FEF3C7" w:val="clear"/>
              <w:spacing w:after="0" w:before="100"/>
            </w:pPr>
            <w:r>
              <w:rPr>
                <w:rFonts w:ascii="Arial" w:cs="Arial" w:eastAsia="Arial" w:hAnsi="Arial"/>
                <w:b/>
                <w:bCs/>
                <w:color w:val="B45309"/>
                <w:sz w:val="19"/>
                <w:szCs w:val="19"/>
              </w:rPr>
              <w:t xml:space="preserve">Timing: </w:t>
            </w:r>
            <w:r>
              <w:rPr>
                <w:rFonts w:ascii="Arial" w:cs="Arial" w:eastAsia="Arial" w:hAnsi="Arial"/>
                <w:color w:val="1F2937"/>
                <w:sz w:val="19"/>
                <w:szCs w:val="19"/>
              </w:rPr>
              <w:t xml:space="preserve">Immediate — legislative and electoral strategy  </w:t>
            </w:r>
            <w:r>
              <w:rPr>
                <w:rFonts w:ascii="Arial" w:cs="Arial" w:eastAsia="Arial" w:hAnsi="Arial"/>
                <w:b/>
                <w:bCs/>
                <w:color w:val="B45309"/>
                <w:sz w:val="19"/>
                <w:szCs w:val="19"/>
              </w:rPr>
              <w:t xml:space="preserve">Vehicle: </w:t>
            </w:r>
            <w:r>
              <w:rPr>
                <w:rFonts w:ascii="Arial" w:cs="Arial" w:eastAsia="Arial" w:hAnsi="Arial"/>
                <w:color w:val="1F2937"/>
                <w:sz w:val="19"/>
                <w:szCs w:val="19"/>
              </w:rPr>
              <w:t xml:space="preserve">Tax extenders legislation; ITC/PTC modification; Section 48/45 amendment</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5FA3" w:val="clear"/>
            <w:tcMar>
              <w:top w:type="dxa" w:w="120"/>
              <w:left w:type="dxa" w:w="120"/>
              <w:bottom w:type="dxa" w:w="120"/>
              <w:right w:type="dxa" w:w="80"/>
            </w:tcMar>
            <w:vAlign w:val="top"/>
          </w:tcPr>
          <w:p>
            <w:pPr>
              <w:jc w:val="center"/>
            </w:pPr>
            <w:r>
              <w:rPr>
                <w:rFonts w:ascii="Arial" w:cs="Arial" w:eastAsia="Arial" w:hAnsi="Arial"/>
                <w:b/>
                <w:bCs/>
                <w:color w:val="FFFFFF"/>
                <w:sz w:val="26"/>
                <w:szCs w:val="26"/>
              </w:rPr>
              <w:t xml:space="preserve">11</w:t>
            </w:r>
          </w:p>
        </w:tc>
        <w:tc>
          <w:tcPr>
            <w:tcW w:type="dxa" w:w="8760"/>
            <w:tcBorders>
              <w:top w:val="single" w:color="CCCCCC" w:sz="1"/>
              <w:left w:val="single" w:color="CCCCCC" w:sz="1"/>
              <w:bottom w:val="single" w:color="CCCCCC" w:sz="1"/>
              <w:right w:val="single" w:color="CCCCCC" w:sz="1"/>
            </w:tcBorders>
            <w:tcMar>
              <w:top w:type="dxa" w:w="120"/>
              <w:left w:type="dxa" w:w="160"/>
              <w:bottom w:type="dxa" w:w="120"/>
              <w:right w:type="dxa" w:w="120"/>
            </w:tcMar>
          </w:tcPr>
          <w:p>
            <w:pPr>
              <w:spacing w:after="80" w:before="0"/>
            </w:pPr>
            <w:r>
              <w:rPr>
                <w:rFonts w:ascii="Arial" w:cs="Arial" w:eastAsia="Arial" w:hAnsi="Arial"/>
                <w:b/>
                <w:bCs/>
                <w:color w:val="1B2A4A"/>
                <w:sz w:val="24"/>
                <w:szCs w:val="24"/>
              </w:rPr>
              <w:t xml:space="preserve">Energy Transition Worker Security Act</w:t>
            </w:r>
          </w:p>
          <w:p>
            <w:pPr>
              <w:spacing w:after="80" w:before="40"/>
            </w:pPr>
            <w:r>
              <w:rPr>
                <w:rFonts w:ascii="Georgia" w:cs="Georgia" w:eastAsia="Georgia" w:hAnsi="Georgia"/>
                <w:color w:val="1F2937"/>
                <w:sz w:val="21"/>
                <w:szCs w:val="21"/>
              </w:rPr>
              <w:t xml:space="preserve">Trade Adjustment Assistance (TAA) covers workers displaced by trade competition but has never been extended to workers displaced by the energy transition. Coal miners, oil and gas workers, and natural gas plant employees face structural displacement from economic forces largely outside their control. The absence of a dedicated transition support program is both a policy failure and a political failure — it ensures that workers in transition communities remain a reliable constituency for anti-climate politicians.</w:t>
            </w:r>
          </w:p>
          <w:p>
            <w:pPr>
              <w:spacing w:after="80" w:before="40"/>
            </w:pPr>
            <w:r>
              <w:rPr>
                <w:rFonts w:ascii="Georgia" w:cs="Georgia" w:eastAsia="Georgia" w:hAnsi="Georgia"/>
                <w:color w:val="1F2937"/>
                <w:sz w:val="21"/>
                <w:szCs w:val="21"/>
              </w:rPr>
              <w:t xml:space="preserve">The prescription: create an Energy Transition Worker Assistance (ETWA) program, modeled on TAA, with: wage insurance covering 75% of the differential between old and new wages for up to 3 years; portable healthcare bridge coverage for up to 18 months; retraining subsidies of up to $15,000 for certified energy transition programs; and priority placement in federally funded clean energy infrastructure projects.</w:t>
            </w:r>
          </w:p>
          <w:p>
            <w:pPr>
              <w:spacing w:after="80" w:before="40"/>
            </w:pPr>
            <w:r>
              <w:rPr>
                <w:rFonts w:ascii="Georgia" w:cs="Georgia" w:eastAsia="Georgia" w:hAnsi="Georgia"/>
                <w:color w:val="1F2937"/>
                <w:sz w:val="21"/>
                <w:szCs w:val="21"/>
              </w:rPr>
              <w:t xml:space="preserve">Funding mechanism: a small severance fee on fossil fuel extraction operations (distinct from a carbon price, and framed as an industry responsibility for worker transition costs) creates explicit linkage between transition costs and their cause. At $0.50/barrel of oil and equivalent for gas and coal, this generates roughly $3B/year — sufficient to support 150,000–200,000 workers annually.</w:t>
            </w:r>
          </w:p>
          <w:p>
            <w:pPr>
              <w:spacing w:after="80" w:before="40"/>
            </w:pPr>
            <w:r>
              <w:rPr>
                <w:rFonts w:ascii="Georgia" w:cs="Georgia" w:eastAsia="Georgia" w:hAnsi="Georgia"/>
                <w:color w:val="1F2937"/>
                <w:sz w:val="21"/>
                <w:szCs w:val="21"/>
              </w:rPr>
              <w:t xml:space="preserve">Framing: to climate-skeptic working-class voters, this is the deal that has never been offered. You are being asked to accept changes to an economy that has structured itself around your labor. Here is a specific program that protects your income, your healthcare, and your training during that change. This is not climate advocacy — it is labor policy with a climate funding mechanism.</w:t>
            </w:r>
          </w:p>
          <w:p>
            <w:pPr>
              <w:shd w:fill="FEF3C7" w:val="clear"/>
              <w:spacing w:after="0" w:before="100"/>
            </w:pPr>
            <w:r>
              <w:rPr>
                <w:rFonts w:ascii="Arial" w:cs="Arial" w:eastAsia="Arial" w:hAnsi="Arial"/>
                <w:b/>
                <w:bCs/>
                <w:color w:val="B45309"/>
                <w:sz w:val="19"/>
                <w:szCs w:val="19"/>
              </w:rPr>
              <w:t xml:space="preserve">Timing: </w:t>
            </w:r>
            <w:r>
              <w:rPr>
                <w:rFonts w:ascii="Arial" w:cs="Arial" w:eastAsia="Arial" w:hAnsi="Arial"/>
                <w:color w:val="1F2937"/>
                <w:sz w:val="19"/>
                <w:szCs w:val="19"/>
              </w:rPr>
              <w:t xml:space="preserve">Medium-term to Immediate — can attach to any workforce or energy legislation  </w:t>
            </w:r>
            <w:r>
              <w:rPr>
                <w:rFonts w:ascii="Arial" w:cs="Arial" w:eastAsia="Arial" w:hAnsi="Arial"/>
                <w:b/>
                <w:bCs/>
                <w:color w:val="B45309"/>
                <w:sz w:val="19"/>
                <w:szCs w:val="19"/>
              </w:rPr>
              <w:t xml:space="preserve">Vehicle: </w:t>
            </w:r>
            <w:r>
              <w:rPr>
                <w:rFonts w:ascii="Arial" w:cs="Arial" w:eastAsia="Arial" w:hAnsi="Arial"/>
                <w:color w:val="1F2937"/>
                <w:sz w:val="19"/>
                <w:szCs w:val="19"/>
              </w:rPr>
              <w:t xml:space="preserve">Standalone or attachment to FAA/surface transportation reauthorization; Senate HELP jurisdiction</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5FA3" w:val="clear"/>
            <w:tcMar>
              <w:top w:type="dxa" w:w="120"/>
              <w:left w:type="dxa" w:w="120"/>
              <w:bottom w:type="dxa" w:w="120"/>
              <w:right w:type="dxa" w:w="80"/>
            </w:tcMar>
            <w:vAlign w:val="top"/>
          </w:tcPr>
          <w:p>
            <w:pPr>
              <w:jc w:val="center"/>
            </w:pPr>
            <w:r>
              <w:rPr>
                <w:rFonts w:ascii="Arial" w:cs="Arial" w:eastAsia="Arial" w:hAnsi="Arial"/>
                <w:b/>
                <w:bCs/>
                <w:color w:val="FFFFFF"/>
                <w:sz w:val="26"/>
                <w:szCs w:val="26"/>
              </w:rPr>
              <w:t xml:space="preserve">12</w:t>
            </w:r>
          </w:p>
        </w:tc>
        <w:tc>
          <w:tcPr>
            <w:tcW w:type="dxa" w:w="8760"/>
            <w:tcBorders>
              <w:top w:val="single" w:color="CCCCCC" w:sz="1"/>
              <w:left w:val="single" w:color="CCCCCC" w:sz="1"/>
              <w:bottom w:val="single" w:color="CCCCCC" w:sz="1"/>
              <w:right w:val="single" w:color="CCCCCC" w:sz="1"/>
            </w:tcBorders>
            <w:tcMar>
              <w:top w:type="dxa" w:w="120"/>
              <w:left w:type="dxa" w:w="160"/>
              <w:bottom w:type="dxa" w:w="120"/>
              <w:right w:type="dxa" w:w="120"/>
            </w:tcMar>
          </w:tcPr>
          <w:p>
            <w:pPr>
              <w:spacing w:after="80" w:before="0"/>
            </w:pPr>
            <w:r>
              <w:rPr>
                <w:rFonts w:ascii="Arial" w:cs="Arial" w:eastAsia="Arial" w:hAnsi="Arial"/>
                <w:b/>
                <w:bCs/>
                <w:color w:val="1B2A4A"/>
                <w:sz w:val="24"/>
                <w:szCs w:val="24"/>
              </w:rPr>
              <w:t xml:space="preserve">Rural Clean Energy Access Act: Expanding USDA REAP</w:t>
            </w:r>
          </w:p>
          <w:p>
            <w:pPr>
              <w:spacing w:after="80" w:before="40"/>
            </w:pPr>
            <w:r>
              <w:rPr>
                <w:rFonts w:ascii="Georgia" w:cs="Georgia" w:eastAsia="Georgia" w:hAnsi="Georgia"/>
                <w:color w:val="1F2937"/>
                <w:sz w:val="21"/>
                <w:szCs w:val="21"/>
              </w:rPr>
              <w:t xml:space="preserve">USDA's Rural Energy for America Program (REAP) provides grants and loan guarantees for renewable energy and efficiency projects on agricultural operations and rural small businesses. It is one of the few federal clean energy programs with genuine rural Republican constituency support — it helps farmers cut operating costs, reduces dependence on centralized grid infrastructure that fails in disasters, and is administered by USDA rather than EPA, which matters for political reception.</w:t>
            </w:r>
          </w:p>
          <w:p>
            <w:pPr>
              <w:spacing w:after="80" w:before="40"/>
            </w:pPr>
            <w:r>
              <w:rPr>
                <w:rFonts w:ascii="Georgia" w:cs="Georgia" w:eastAsia="Georgia" w:hAnsi="Georgia"/>
                <w:color w:val="1F2937"/>
                <w:sz w:val="21"/>
                <w:szCs w:val="21"/>
              </w:rPr>
              <w:t xml:space="preserve">The prescription: expand REAP from its current $2B authorization to $10B permanent mandatory authorization at $2B/year. Require that 40% of funds support community-owned energy projects (co-ops, rural electric co-ops, municipal utilities). Add an explicit energy resilience track for projects that provide backup power during federally declared disasters.</w:t>
            </w:r>
          </w:p>
          <w:p>
            <w:pPr>
              <w:spacing w:after="80" w:before="40"/>
            </w:pPr>
            <w:r>
              <w:rPr>
                <w:rFonts w:ascii="Georgia" w:cs="Georgia" w:eastAsia="Georgia" w:hAnsi="Georgia"/>
                <w:color w:val="1F2937"/>
                <w:sz w:val="21"/>
                <w:szCs w:val="21"/>
              </w:rPr>
              <w:t xml:space="preserve">The energy security framing is not rhetorical cover — it is analytically accurate. Rural communities are disproportionately dependent on single transmission lines, face longer outage durations after disasters, and have the most to gain from distributed generation that does not depend on centralized grid infrastructure. This prescription addresses real rural energy vulnerability while building the distributed manufacturing and installation workforce that Meckling's sequencing theory identifies as the prerequisite for durable climate policy.</w:t>
            </w:r>
          </w:p>
          <w:p>
            <w:pPr>
              <w:shd w:fill="FEF3C7" w:val="clear"/>
              <w:spacing w:after="0" w:before="100"/>
            </w:pPr>
            <w:r>
              <w:rPr>
                <w:rFonts w:ascii="Arial" w:cs="Arial" w:eastAsia="Arial" w:hAnsi="Arial"/>
                <w:b/>
                <w:bCs/>
                <w:color w:val="B45309"/>
                <w:sz w:val="19"/>
                <w:szCs w:val="19"/>
              </w:rPr>
              <w:t xml:space="preserve">Timing: </w:t>
            </w:r>
            <w:r>
              <w:rPr>
                <w:rFonts w:ascii="Arial" w:cs="Arial" w:eastAsia="Arial" w:hAnsi="Arial"/>
                <w:color w:val="1F2937"/>
                <w:sz w:val="19"/>
                <w:szCs w:val="19"/>
              </w:rPr>
              <w:t xml:space="preserve">Immediate — strong bipartisan agricultural support  </w:t>
            </w:r>
            <w:r>
              <w:rPr>
                <w:rFonts w:ascii="Arial" w:cs="Arial" w:eastAsia="Arial" w:hAnsi="Arial"/>
                <w:b/>
                <w:bCs/>
                <w:color w:val="B45309"/>
                <w:sz w:val="19"/>
                <w:szCs w:val="19"/>
              </w:rPr>
              <w:t xml:space="preserve">Vehicle: </w:t>
            </w:r>
            <w:r>
              <w:rPr>
                <w:rFonts w:ascii="Arial" w:cs="Arial" w:eastAsia="Arial" w:hAnsi="Arial"/>
                <w:color w:val="1F2937"/>
                <w:sz w:val="19"/>
                <w:szCs w:val="19"/>
              </w:rPr>
              <w:t xml:space="preserve">Farm Bill reauthorization; USDA jurisdiction</w:t>
            </w:r>
          </w:p>
        </w:tc>
      </w:tr>
    </w:tbl>
    <w:p>
      <w:pPr>
        <w:spacing w:after="0" w:before="0"/>
      </w:pPr>
      <w:r>
        <w:rPr>
          <w:sz w:val="12"/>
          <w:szCs w:val="12"/>
        </w:rPr>
        <w:t xml:space="preserve"/>
      </w:r>
    </w:p>
    <w:p>
      <w:pPr>
        <w:spacing w:after="0" w:before="0"/>
      </w:pPr>
      <w:r>
        <w:rPr>
          <w:sz w:val="16"/>
          <w:szCs w:val="16"/>
        </w:rPr>
        <w:t xml:space="preserve"/>
      </w:r>
    </w:p>
    <w:p>
      <w:pPr>
        <w:spacing w:after="80" w:before="0"/>
      </w:pPr>
      <w:r>
        <w:rPr>
          <w:rFonts w:ascii="Arial" w:cs="Arial" w:eastAsia="Arial" w:hAnsi="Arial"/>
          <w:b/>
          <w:bCs/>
          <w:caps/>
          <w:color w:val="2E5FA3"/>
          <w:spacing w:val="60"/>
          <w:sz w:val="20"/>
          <w:szCs w:val="20"/>
        </w:rPr>
        <w:t xml:space="preserve">FEDERAL — MEDIUM TERM</w:t>
      </w:r>
    </w:p>
    <w:p>
      <w:pPr>
        <w:pBdr>
          <w:bottom w:val="single" w:color="D6E4F7" w:sz="3" w:space="1"/>
        </w:pBdr>
        <w:spacing w:after="0" w:before="0"/>
      </w:pPr>
      <w:r>
        <w:t xml:space="preserve"/>
      </w:r>
    </w:p>
    <w:p>
      <w:pPr>
        <w:spacing w:after="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5FA3" w:val="clear"/>
            <w:tcMar>
              <w:top w:type="dxa" w:w="120"/>
              <w:left w:type="dxa" w:w="120"/>
              <w:bottom w:type="dxa" w:w="120"/>
              <w:right w:type="dxa" w:w="80"/>
            </w:tcMar>
            <w:vAlign w:val="top"/>
          </w:tcPr>
          <w:p>
            <w:pPr>
              <w:jc w:val="center"/>
            </w:pPr>
            <w:r>
              <w:rPr>
                <w:rFonts w:ascii="Arial" w:cs="Arial" w:eastAsia="Arial" w:hAnsi="Arial"/>
                <w:b/>
                <w:bCs/>
                <w:color w:val="FFFFFF"/>
                <w:sz w:val="26"/>
                <w:szCs w:val="26"/>
              </w:rPr>
              <w:t xml:space="preserve">13</w:t>
            </w:r>
          </w:p>
        </w:tc>
        <w:tc>
          <w:tcPr>
            <w:tcW w:type="dxa" w:w="8760"/>
            <w:tcBorders>
              <w:top w:val="single" w:color="CCCCCC" w:sz="1"/>
              <w:left w:val="single" w:color="CCCCCC" w:sz="1"/>
              <w:bottom w:val="single" w:color="CCCCCC" w:sz="1"/>
              <w:right w:val="single" w:color="CCCCCC" w:sz="1"/>
            </w:tcBorders>
            <w:tcMar>
              <w:top w:type="dxa" w:w="120"/>
              <w:left w:type="dxa" w:w="160"/>
              <w:bottom w:type="dxa" w:w="120"/>
              <w:right w:type="dxa" w:w="120"/>
            </w:tcMar>
          </w:tcPr>
          <w:p>
            <w:pPr>
              <w:spacing w:after="80" w:before="0"/>
            </w:pPr>
            <w:r>
              <w:rPr>
                <w:rFonts w:ascii="Arial" w:cs="Arial" w:eastAsia="Arial" w:hAnsi="Arial"/>
                <w:b/>
                <w:bCs/>
                <w:color w:val="1B2A4A"/>
                <w:sz w:val="24"/>
                <w:szCs w:val="24"/>
              </w:rPr>
              <w:t xml:space="preserve">National Climate Resilience Bank</w:t>
            </w:r>
          </w:p>
          <w:p>
            <w:pPr>
              <w:spacing w:after="80" w:before="40"/>
            </w:pPr>
            <w:r>
              <w:rPr>
                <w:rFonts w:ascii="Georgia" w:cs="Georgia" w:eastAsia="Georgia" w:hAnsi="Georgia"/>
                <w:color w:val="1F2937"/>
                <w:sz w:val="21"/>
                <w:szCs w:val="21"/>
              </w:rPr>
              <w:t xml:space="preserve">The New York Green Bank, capitalized at roughly $1B, has leveraged over $5 of private investment per $1 of public capital and financed more than $4B in clean energy and resilience projects since 2014. The model works: public capital takes early risk, establishes market infrastructure, and attracts private capital that would not otherwise flow to these sectors.</w:t>
            </w:r>
          </w:p>
          <w:p>
            <w:pPr>
              <w:spacing w:after="80" w:before="40"/>
            </w:pPr>
            <w:r>
              <w:rPr>
                <w:rFonts w:ascii="Georgia" w:cs="Georgia" w:eastAsia="Georgia" w:hAnsi="Georgia"/>
                <w:color w:val="1F2937"/>
                <w:sz w:val="21"/>
                <w:szCs w:val="21"/>
              </w:rPr>
              <w:t xml:space="preserve">The prescription: create a National Climate Resilience Bank capitalized at $50B through Treasury, with a statutory mandate to maintain geographic distribution — minimum 35% of investment in congressional districts with below-median household income, and minimum 30% in congressional districts currently held by Republicans. Both requirements are essential: the equity requirement addresses the critique that climate investment benefits wealthy communities; the Republican-district requirement creates the distributed constituency that is the primary defense against future rollback.</w:t>
            </w:r>
          </w:p>
          <w:p>
            <w:pPr>
              <w:spacing w:after="80" w:before="40"/>
            </w:pPr>
            <w:r>
              <w:rPr>
                <w:rFonts w:ascii="Georgia" w:cs="Georgia" w:eastAsia="Georgia" w:hAnsi="Georgia"/>
                <w:color w:val="1F2937"/>
                <w:sz w:val="21"/>
                <w:szCs w:val="21"/>
              </w:rPr>
              <w:t xml:space="preserve">Investment priority: distributed energy resilience (community solar, battery storage, microgrids), flood-resistant affordable housing, water infrastructure in climate-stressed regions, and supply chain redundancy investments. The Bank should be structured as a government-sponsored enterprise on the Fannie Mae model — with an explicit federal backstop but day-to-day operations insulated from OMB review.</w:t>
            </w:r>
          </w:p>
          <w:p>
            <w:pPr>
              <w:shd w:fill="FEF3C7" w:val="clear"/>
              <w:spacing w:after="0" w:before="100"/>
            </w:pPr>
            <w:r>
              <w:rPr>
                <w:rFonts w:ascii="Arial" w:cs="Arial" w:eastAsia="Arial" w:hAnsi="Arial"/>
                <w:b/>
                <w:bCs/>
                <w:color w:val="B45309"/>
                <w:sz w:val="19"/>
                <w:szCs w:val="19"/>
              </w:rPr>
              <w:t xml:space="preserve">Timing: </w:t>
            </w:r>
            <w:r>
              <w:rPr>
                <w:rFonts w:ascii="Arial" w:cs="Arial" w:eastAsia="Arial" w:hAnsi="Arial"/>
                <w:color w:val="1F2937"/>
                <w:sz w:val="19"/>
                <w:szCs w:val="19"/>
              </w:rPr>
              <w:t xml:space="preserve">Medium-term — significant capitalization required  </w:t>
            </w:r>
            <w:r>
              <w:rPr>
                <w:rFonts w:ascii="Arial" w:cs="Arial" w:eastAsia="Arial" w:hAnsi="Arial"/>
                <w:b/>
                <w:bCs/>
                <w:color w:val="B45309"/>
                <w:sz w:val="19"/>
                <w:szCs w:val="19"/>
              </w:rPr>
              <w:t xml:space="preserve">Vehicle: </w:t>
            </w:r>
            <w:r>
              <w:rPr>
                <w:rFonts w:ascii="Arial" w:cs="Arial" w:eastAsia="Arial" w:hAnsi="Arial"/>
                <w:color w:val="1F2937"/>
                <w:sz w:val="19"/>
                <w:szCs w:val="19"/>
              </w:rPr>
              <w:t xml:space="preserve">Standalone legislation or infrastructure package; Senate Banking / House Financial Services jurisdiction</w:t>
            </w:r>
          </w:p>
        </w:tc>
      </w:tr>
    </w:tbl>
    <w:p>
      <w:pPr>
        <w:spacing w:after="0" w:before="0"/>
      </w:pPr>
      <w:r>
        <w:rPr>
          <w:sz w:val="12"/>
          <w:szCs w:val="12"/>
        </w:rPr>
        <w:t xml:space="preserve"/>
      </w:r>
    </w:p>
    <w:p>
      <w:pPr>
        <w:spacing w:after="0" w:before="0"/>
      </w:pPr>
      <w:r>
        <w:rPr>
          <w:sz w:val="16"/>
          <w:szCs w:val="16"/>
        </w:rPr>
        <w:t xml:space="preserve"/>
      </w:r>
    </w:p>
    <w:p>
      <w:pPr>
        <w:spacing w:after="80" w:before="0"/>
      </w:pPr>
      <w:r>
        <w:rPr>
          <w:rFonts w:ascii="Arial" w:cs="Arial" w:eastAsia="Arial" w:hAnsi="Arial"/>
          <w:b/>
          <w:bCs/>
          <w:caps/>
          <w:color w:val="2E5FA3"/>
          <w:spacing w:val="60"/>
          <w:sz w:val="20"/>
          <w:szCs w:val="20"/>
        </w:rPr>
        <w:t xml:space="preserve">STATE AND LOCAL</w:t>
      </w:r>
    </w:p>
    <w:p>
      <w:pPr>
        <w:pBdr>
          <w:bottom w:val="single" w:color="D6E4F7" w:sz="3" w:space="1"/>
        </w:pBdr>
        <w:spacing w:after="0" w:before="0"/>
      </w:pPr>
      <w:r>
        <w:t xml:space="preserve"/>
      </w:r>
    </w:p>
    <w:p>
      <w:pPr>
        <w:spacing w:after="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5FA3" w:val="clear"/>
            <w:tcMar>
              <w:top w:type="dxa" w:w="120"/>
              <w:left w:type="dxa" w:w="120"/>
              <w:bottom w:type="dxa" w:w="120"/>
              <w:right w:type="dxa" w:w="80"/>
            </w:tcMar>
            <w:vAlign w:val="top"/>
          </w:tcPr>
          <w:p>
            <w:pPr>
              <w:jc w:val="center"/>
            </w:pPr>
            <w:r>
              <w:rPr>
                <w:rFonts w:ascii="Arial" w:cs="Arial" w:eastAsia="Arial" w:hAnsi="Arial"/>
                <w:b/>
                <w:bCs/>
                <w:color w:val="FFFFFF"/>
                <w:sz w:val="26"/>
                <w:szCs w:val="26"/>
              </w:rPr>
              <w:t xml:space="preserve">14</w:t>
            </w:r>
          </w:p>
        </w:tc>
        <w:tc>
          <w:tcPr>
            <w:tcW w:type="dxa" w:w="8760"/>
            <w:tcBorders>
              <w:top w:val="single" w:color="CCCCCC" w:sz="1"/>
              <w:left w:val="single" w:color="CCCCCC" w:sz="1"/>
              <w:bottom w:val="single" w:color="CCCCCC" w:sz="1"/>
              <w:right w:val="single" w:color="CCCCCC" w:sz="1"/>
            </w:tcBorders>
            <w:tcMar>
              <w:top w:type="dxa" w:w="120"/>
              <w:left w:type="dxa" w:w="160"/>
              <w:bottom w:type="dxa" w:w="120"/>
              <w:right w:type="dxa" w:w="120"/>
            </w:tcMar>
          </w:tcPr>
          <w:p>
            <w:pPr>
              <w:spacing w:after="80" w:before="0"/>
            </w:pPr>
            <w:r>
              <w:rPr>
                <w:rFonts w:ascii="Arial" w:cs="Arial" w:eastAsia="Arial" w:hAnsi="Arial"/>
                <w:b/>
                <w:bCs/>
                <w:color w:val="1B2A4A"/>
                <w:sz w:val="24"/>
                <w:szCs w:val="24"/>
              </w:rPr>
              <w:t xml:space="preserve">State Climate Investment Programs: Replicating and Extending IRA Benefits</w:t>
            </w:r>
          </w:p>
          <w:p>
            <w:pPr>
              <w:spacing w:after="80" w:before="40"/>
            </w:pPr>
            <w:r>
              <w:rPr>
                <w:rFonts w:ascii="Georgia" w:cs="Georgia" w:eastAsia="Georgia" w:hAnsi="Georgia"/>
                <w:color w:val="1F2937"/>
                <w:sz w:val="21"/>
                <w:szCs w:val="21"/>
              </w:rPr>
              <w:t xml:space="preserve">The IRA's clean energy tax credits are most durable where states have created matching or complementary programs that create additional local constituencies. New York's Climate Leadership and Community Protection Act (CLCPA) with its 40% investment-in-disadvantaged-communities requirement is the model — it creates a state-level constituency for the investment that is independent of the federal program's survival.</w:t>
            </w:r>
          </w:p>
          <w:p>
            <w:pPr>
              <w:spacing w:after="80" w:before="40"/>
            </w:pPr>
            <w:r>
              <w:rPr>
                <w:rFonts w:ascii="Georgia" w:cs="Georgia" w:eastAsia="Georgia" w:hAnsi="Georgia"/>
                <w:color w:val="1F2937"/>
                <w:sz w:val="21"/>
                <w:szCs w:val="21"/>
              </w:rPr>
              <w:t xml:space="preserve">The prescription: state legislatures in high-climate-exposure states should enact matching programs for surviving federal clean energy tax credits, particularly community solar (which has genuine cross-partisan support in rural areas where rooftop solar is impractical) and distributed storage. California, Washington, Colorado, Minnesota, New York, New Jersey, and Michigan have the legislative capacity to move now. Illinois, Pennsylvania, and Wisconsin are the medium-term targets — they have climate exposure and competitive legislative chambers.</w:t>
            </w:r>
          </w:p>
          <w:p>
            <w:pPr>
              <w:spacing w:after="80" w:before="40"/>
            </w:pPr>
            <w:r>
              <w:rPr>
                <w:rFonts w:ascii="Georgia" w:cs="Georgia" w:eastAsia="Georgia" w:hAnsi="Georgia"/>
                <w:color w:val="1F2937"/>
                <w:sz w:val="21"/>
                <w:szCs w:val="21"/>
              </w:rPr>
              <w:t xml:space="preserve">Design requirement: state programs should explicitly authorize community-owned energy projects (co-ops, community land trusts, municipal utilities) to access the same incentives as private developers, and should require workforce agreements ensuring local hiring. This creates labor constituency support that extends beyond environmental advocates.</w:t>
            </w:r>
          </w:p>
          <w:p>
            <w:pPr>
              <w:shd w:fill="FEF3C7" w:val="clear"/>
              <w:spacing w:after="0" w:before="100"/>
            </w:pPr>
            <w:r>
              <w:rPr>
                <w:rFonts w:ascii="Arial" w:cs="Arial" w:eastAsia="Arial" w:hAnsi="Arial"/>
                <w:b/>
                <w:bCs/>
                <w:color w:val="B45309"/>
                <w:sz w:val="19"/>
                <w:szCs w:val="19"/>
              </w:rPr>
              <w:t xml:space="preserve">Timing: </w:t>
            </w:r>
            <w:r>
              <w:rPr>
                <w:rFonts w:ascii="Arial" w:cs="Arial" w:eastAsia="Arial" w:hAnsi="Arial"/>
                <w:color w:val="1F2937"/>
                <w:sz w:val="19"/>
                <w:szCs w:val="19"/>
              </w:rPr>
              <w:t xml:space="preserve">Immediate at state level  </w:t>
            </w:r>
            <w:r>
              <w:rPr>
                <w:rFonts w:ascii="Arial" w:cs="Arial" w:eastAsia="Arial" w:hAnsi="Arial"/>
                <w:b/>
                <w:bCs/>
                <w:color w:val="B45309"/>
                <w:sz w:val="19"/>
                <w:szCs w:val="19"/>
              </w:rPr>
              <w:t xml:space="preserve">Vehicle: </w:t>
            </w:r>
            <w:r>
              <w:rPr>
                <w:rFonts w:ascii="Arial" w:cs="Arial" w:eastAsia="Arial" w:hAnsi="Arial"/>
                <w:color w:val="1F2937"/>
                <w:sz w:val="19"/>
                <w:szCs w:val="19"/>
              </w:rPr>
              <w:t xml:space="preserve">State legislation; modeled on CLCPA and Washington State Climate Commitment Act</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5FA3" w:val="clear"/>
            <w:tcMar>
              <w:top w:type="dxa" w:w="120"/>
              <w:left w:type="dxa" w:w="120"/>
              <w:bottom w:type="dxa" w:w="120"/>
              <w:right w:type="dxa" w:w="80"/>
            </w:tcMar>
            <w:vAlign w:val="top"/>
          </w:tcPr>
          <w:p>
            <w:pPr>
              <w:jc w:val="center"/>
            </w:pPr>
            <w:r>
              <w:rPr>
                <w:rFonts w:ascii="Arial" w:cs="Arial" w:eastAsia="Arial" w:hAnsi="Arial"/>
                <w:b/>
                <w:bCs/>
                <w:color w:val="FFFFFF"/>
                <w:sz w:val="26"/>
                <w:szCs w:val="26"/>
              </w:rPr>
              <w:t xml:space="preserve">15</w:t>
            </w:r>
          </w:p>
        </w:tc>
        <w:tc>
          <w:tcPr>
            <w:tcW w:type="dxa" w:w="8760"/>
            <w:tcBorders>
              <w:top w:val="single" w:color="CCCCCC" w:sz="1"/>
              <w:left w:val="single" w:color="CCCCCC" w:sz="1"/>
              <w:bottom w:val="single" w:color="CCCCCC" w:sz="1"/>
              <w:right w:val="single" w:color="CCCCCC" w:sz="1"/>
            </w:tcBorders>
            <w:tcMar>
              <w:top w:type="dxa" w:w="120"/>
              <w:left w:type="dxa" w:w="160"/>
              <w:bottom w:type="dxa" w:w="120"/>
              <w:right w:type="dxa" w:w="120"/>
            </w:tcMar>
          </w:tcPr>
          <w:p>
            <w:pPr>
              <w:spacing w:after="80" w:before="0"/>
            </w:pPr>
            <w:r>
              <w:rPr>
                <w:rFonts w:ascii="Arial" w:cs="Arial" w:eastAsia="Arial" w:hAnsi="Arial"/>
                <w:b/>
                <w:bCs/>
                <w:color w:val="1B2A4A"/>
                <w:sz w:val="24"/>
                <w:szCs w:val="24"/>
              </w:rPr>
              <w:t xml:space="preserve">Community Benefit Agreements for Clean Energy Siting</w:t>
            </w:r>
          </w:p>
          <w:p>
            <w:pPr>
              <w:spacing w:after="80" w:before="40"/>
            </w:pPr>
            <w:r>
              <w:rPr>
                <w:rFonts w:ascii="Georgia" w:cs="Georgia" w:eastAsia="Georgia" w:hAnsi="Georgia"/>
                <w:color w:val="1F2937"/>
                <w:sz w:val="21"/>
                <w:szCs w:val="21"/>
              </w:rPr>
              <w:t xml:space="preserve">Utility-scale clean energy development — wind and solar farms, battery storage facilities, transmission lines — regularly locates in rural communities that receive the land-use impacts while most economic benefits flow to distant investors and ratepayers. This pattern creates legitimate local resentment that can be politically mobilized against the projects themselves.</w:t>
            </w:r>
          </w:p>
          <w:p>
            <w:pPr>
              <w:spacing w:after="80" w:before="40"/>
            </w:pPr>
            <w:r>
              <w:rPr>
                <w:rFonts w:ascii="Georgia" w:cs="Georgia" w:eastAsia="Georgia" w:hAnsi="Georgia"/>
                <w:color w:val="1F2937"/>
                <w:sz w:val="21"/>
                <w:szCs w:val="21"/>
              </w:rPr>
              <w:t xml:space="preserve">The prescription: states should require Community Benefit Agreement negotiations for any utility-scale clean energy project above 50 MW seeking state permitting approval. CBAs must include: local hiring preferences with specific apprenticeship ratios; community co-ownership options (right of first refusal for local governments, co-ops, or community trusts to acquire up to 15% equity); host community compensation funds for roads, schools, and emergency services; and decommissioning bonds.</w:t>
            </w:r>
          </w:p>
          <w:p>
            <w:pPr>
              <w:spacing w:after="80" w:before="40"/>
            </w:pPr>
            <w:r>
              <w:rPr>
                <w:rFonts w:ascii="Georgia" w:cs="Georgia" w:eastAsia="Georgia" w:hAnsi="Georgia"/>
                <w:color w:val="1F2937"/>
                <w:sz w:val="21"/>
                <w:szCs w:val="21"/>
              </w:rPr>
              <w:t xml:space="preserve">This is not an anti-development provision — it is an anti-resentment provision. The objective is to make clean energy development a local economic benefit rather than a local economic intrusion, building the community-level constituency that Stokes' 'Short Circuiting Policy' demonstrates is the essential defense against organized utility industry rollback.</w:t>
            </w:r>
          </w:p>
          <w:p>
            <w:pPr>
              <w:shd w:fill="FEF3C7" w:val="clear"/>
              <w:spacing w:after="0" w:before="100"/>
            </w:pPr>
            <w:r>
              <w:rPr>
                <w:rFonts w:ascii="Arial" w:cs="Arial" w:eastAsia="Arial" w:hAnsi="Arial"/>
                <w:b/>
                <w:bCs/>
                <w:color w:val="B45309"/>
                <w:sz w:val="19"/>
                <w:szCs w:val="19"/>
              </w:rPr>
              <w:t xml:space="preserve">Timing: </w:t>
            </w:r>
            <w:r>
              <w:rPr>
                <w:rFonts w:ascii="Arial" w:cs="Arial" w:eastAsia="Arial" w:hAnsi="Arial"/>
                <w:color w:val="1F2937"/>
                <w:sz w:val="19"/>
                <w:szCs w:val="19"/>
              </w:rPr>
              <w:t xml:space="preserve">Immediate at state level  </w:t>
            </w:r>
            <w:r>
              <w:rPr>
                <w:rFonts w:ascii="Arial" w:cs="Arial" w:eastAsia="Arial" w:hAnsi="Arial"/>
                <w:b/>
                <w:bCs/>
                <w:color w:val="B45309"/>
                <w:sz w:val="19"/>
                <w:szCs w:val="19"/>
              </w:rPr>
              <w:t xml:space="preserve">Vehicle: </w:t>
            </w:r>
            <w:r>
              <w:rPr>
                <w:rFonts w:ascii="Arial" w:cs="Arial" w:eastAsia="Arial" w:hAnsi="Arial"/>
                <w:color w:val="1F2937"/>
                <w:sz w:val="19"/>
                <w:szCs w:val="19"/>
              </w:rPr>
              <w:t xml:space="preserve">State siting and permitting reform; PUC jurisdiction</w:t>
            </w:r>
          </w:p>
        </w:tc>
      </w:tr>
    </w:tbl>
    <w:p>
      <w:pPr>
        <w:spacing w:after="0" w:before="0"/>
      </w:pPr>
      <w:r>
        <w:rPr>
          <w:sz w:val="12"/>
          <w:szCs w:val="12"/>
        </w:rPr>
        <w:t xml:space="preserve"/>
      </w:r>
    </w:p>
    <w:p>
      <w:pPr>
        <w:spacing w:after="0" w:before="0"/>
      </w:pPr>
      <w:r>
        <w:rPr>
          <w:sz w:val="16"/>
          <w:szCs w:val="16"/>
        </w:rPr>
        <w:t xml:space="preserve"/>
      </w:r>
    </w:p>
    <w:p>
      <w:pPr>
        <w:spacing w:after="80" w:before="0"/>
      </w:pPr>
      <w:r>
        <w:rPr>
          <w:rFonts w:ascii="Arial" w:cs="Arial" w:eastAsia="Arial" w:hAnsi="Arial"/>
          <w:b/>
          <w:bCs/>
          <w:caps/>
          <w:color w:val="2E5FA3"/>
          <w:spacing w:val="60"/>
          <w:sz w:val="20"/>
          <w:szCs w:val="20"/>
        </w:rPr>
        <w:t xml:space="preserve">INTERNATIONAL</w:t>
      </w:r>
    </w:p>
    <w:p>
      <w:pPr>
        <w:pBdr>
          <w:bottom w:val="single" w:color="D6E4F7" w:sz="3" w:space="1"/>
        </w:pBdr>
        <w:spacing w:after="0" w:before="0"/>
      </w:pPr>
      <w:r>
        <w:t xml:space="preserve"/>
      </w:r>
    </w:p>
    <w:p>
      <w:pPr>
        <w:spacing w:after="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5FA3" w:val="clear"/>
            <w:tcMar>
              <w:top w:type="dxa" w:w="120"/>
              <w:left w:type="dxa" w:w="120"/>
              <w:bottom w:type="dxa" w:w="120"/>
              <w:right w:type="dxa" w:w="80"/>
            </w:tcMar>
            <w:vAlign w:val="top"/>
          </w:tcPr>
          <w:p>
            <w:pPr>
              <w:jc w:val="center"/>
            </w:pPr>
            <w:r>
              <w:rPr>
                <w:rFonts w:ascii="Arial" w:cs="Arial" w:eastAsia="Arial" w:hAnsi="Arial"/>
                <w:b/>
                <w:bCs/>
                <w:color w:val="FFFFFF"/>
                <w:sz w:val="26"/>
                <w:szCs w:val="26"/>
              </w:rPr>
              <w:t xml:space="preserve">16</w:t>
            </w:r>
          </w:p>
        </w:tc>
        <w:tc>
          <w:tcPr>
            <w:tcW w:type="dxa" w:w="8760"/>
            <w:tcBorders>
              <w:top w:val="single" w:color="CCCCCC" w:sz="1"/>
              <w:left w:val="single" w:color="CCCCCC" w:sz="1"/>
              <w:bottom w:val="single" w:color="CCCCCC" w:sz="1"/>
              <w:right w:val="single" w:color="CCCCCC" w:sz="1"/>
            </w:tcBorders>
            <w:tcMar>
              <w:top w:type="dxa" w:w="120"/>
              <w:left w:type="dxa" w:w="160"/>
              <w:bottom w:type="dxa" w:w="120"/>
              <w:right w:type="dxa" w:w="120"/>
            </w:tcMar>
          </w:tcPr>
          <w:p>
            <w:pPr>
              <w:spacing w:after="80" w:before="0"/>
            </w:pPr>
            <w:r>
              <w:rPr>
                <w:rFonts w:ascii="Arial" w:cs="Arial" w:eastAsia="Arial" w:hAnsi="Arial"/>
                <w:b/>
                <w:bCs/>
                <w:color w:val="1B2A4A"/>
                <w:sz w:val="24"/>
                <w:szCs w:val="24"/>
              </w:rPr>
              <w:t xml:space="preserve">Green Climate Fund: Fulfilling and Expanding U.S. Commitments</w:t>
            </w:r>
          </w:p>
          <w:p>
            <w:pPr>
              <w:spacing w:after="80" w:before="40"/>
            </w:pPr>
            <w:r>
              <w:rPr>
                <w:rFonts w:ascii="Georgia" w:cs="Georgia" w:eastAsia="Georgia" w:hAnsi="Georgia"/>
                <w:color w:val="1F2937"/>
                <w:sz w:val="21"/>
                <w:szCs w:val="21"/>
              </w:rPr>
              <w:t xml:space="preserve">The Obama administration pledged $3 billion to the Green Climate Fund; only $1 billion was delivered. The Trump I administration contributed nothing. The Biden administration paid $1 billion. Trump II has effectively zeroed U.S. contributions. The cumulative credibility damage to U.S. climate finance commitments is severe — two withdrawals from Paris, systematic non-payment of pledges — and must be addressed structurally, not just through renewed executive commitment that the next administration will reverse.</w:t>
            </w:r>
          </w:p>
          <w:p>
            <w:pPr>
              <w:spacing w:after="80" w:before="40"/>
            </w:pPr>
            <w:r>
              <w:rPr>
                <w:rFonts w:ascii="Georgia" w:cs="Georgia" w:eastAsia="Georgia" w:hAnsi="Georgia"/>
                <w:color w:val="1F2937"/>
                <w:sz w:val="21"/>
                <w:szCs w:val="21"/>
              </w:rPr>
              <w:t xml:space="preserve">The prescription: the next favorable administration should fulfill the outstanding $2B Obama-era commitment, make a new pledge consistent with the GCF's 2024–2027 resource mobilization target ($12B from developed countries), and pursue statutory authorization of U.S. GCF contributions analogous to the authorization structure for MDB contributions. Statutory authorization requires an appropriations vote to change — it is not as strong as the UK CCA model, but it is significantly harder to reverse than executive commitment alone.</w:t>
            </w:r>
          </w:p>
          <w:p>
            <w:pPr>
              <w:spacing w:after="80" w:before="40"/>
            </w:pPr>
            <w:r>
              <w:rPr>
                <w:rFonts w:ascii="Georgia" w:cs="Georgia" w:eastAsia="Georgia" w:hAnsi="Georgia"/>
                <w:color w:val="1F2937"/>
                <w:sz w:val="21"/>
                <w:szCs w:val="21"/>
              </w:rPr>
              <w:t xml:space="preserve">The strategic argument beyond climate: climate-vulnerable countries experiencing loss and damage become source countries for climate migration flows that fuel the nativist backlash that the essay documents as a mechanism for democratic erosion in receiving countries. Early investment in climate resilience abroad is cheaper than managing migration-driven political polarization at home. This is the international version of the pre-disaster mitigation ROI argument.</w:t>
            </w:r>
          </w:p>
          <w:p>
            <w:pPr>
              <w:shd w:fill="FEF3C7" w:val="clear"/>
              <w:spacing w:after="0" w:before="100"/>
            </w:pPr>
            <w:r>
              <w:rPr>
                <w:rFonts w:ascii="Arial" w:cs="Arial" w:eastAsia="Arial" w:hAnsi="Arial"/>
                <w:b/>
                <w:bCs/>
                <w:color w:val="B45309"/>
                <w:sz w:val="19"/>
                <w:szCs w:val="19"/>
              </w:rPr>
              <w:t xml:space="preserve">Timing: </w:t>
            </w:r>
            <w:r>
              <w:rPr>
                <w:rFonts w:ascii="Arial" w:cs="Arial" w:eastAsia="Arial" w:hAnsi="Arial"/>
                <w:color w:val="1F2937"/>
                <w:sz w:val="19"/>
                <w:szCs w:val="19"/>
              </w:rPr>
              <w:t xml:space="preserve">Immediate by executive action; medium-term for statutory authorization  </w:t>
            </w:r>
            <w:r>
              <w:rPr>
                <w:rFonts w:ascii="Arial" w:cs="Arial" w:eastAsia="Arial" w:hAnsi="Arial"/>
                <w:b/>
                <w:bCs/>
                <w:color w:val="B45309"/>
                <w:sz w:val="19"/>
                <w:szCs w:val="19"/>
              </w:rPr>
              <w:t xml:space="preserve">Vehicle: </w:t>
            </w:r>
            <w:r>
              <w:rPr>
                <w:rFonts w:ascii="Arial" w:cs="Arial" w:eastAsia="Arial" w:hAnsi="Arial"/>
                <w:color w:val="1F2937"/>
                <w:sz w:val="19"/>
                <w:szCs w:val="19"/>
              </w:rPr>
              <w:t xml:space="preserve">Executive pledge; supplemental appropriations; Senate Foreign Relations authorization</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5FA3" w:val="clear"/>
            <w:tcMar>
              <w:top w:type="dxa" w:w="120"/>
              <w:left w:type="dxa" w:w="120"/>
              <w:bottom w:type="dxa" w:w="120"/>
              <w:right w:type="dxa" w:w="80"/>
            </w:tcMar>
            <w:vAlign w:val="top"/>
          </w:tcPr>
          <w:p>
            <w:pPr>
              <w:jc w:val="center"/>
            </w:pPr>
            <w:r>
              <w:rPr>
                <w:rFonts w:ascii="Arial" w:cs="Arial" w:eastAsia="Arial" w:hAnsi="Arial"/>
                <w:b/>
                <w:bCs/>
                <w:color w:val="FFFFFF"/>
                <w:sz w:val="26"/>
                <w:szCs w:val="26"/>
              </w:rPr>
              <w:t xml:space="preserve">17</w:t>
            </w:r>
          </w:p>
        </w:tc>
        <w:tc>
          <w:tcPr>
            <w:tcW w:type="dxa" w:w="8760"/>
            <w:tcBorders>
              <w:top w:val="single" w:color="CCCCCC" w:sz="1"/>
              <w:left w:val="single" w:color="CCCCCC" w:sz="1"/>
              <w:bottom w:val="single" w:color="CCCCCC" w:sz="1"/>
              <w:right w:val="single" w:color="CCCCCC" w:sz="1"/>
            </w:tcBorders>
            <w:tcMar>
              <w:top w:type="dxa" w:w="120"/>
              <w:left w:type="dxa" w:w="160"/>
              <w:bottom w:type="dxa" w:w="120"/>
              <w:right w:type="dxa" w:w="120"/>
            </w:tcMar>
          </w:tcPr>
          <w:p>
            <w:pPr>
              <w:spacing w:after="80" w:before="0"/>
            </w:pPr>
            <w:r>
              <w:rPr>
                <w:rFonts w:ascii="Arial" w:cs="Arial" w:eastAsia="Arial" w:hAnsi="Arial"/>
                <w:b/>
                <w:bCs/>
                <w:color w:val="1B2A4A"/>
                <w:sz w:val="24"/>
                <w:szCs w:val="24"/>
              </w:rPr>
              <w:t xml:space="preserve">Carbon Border Adjustment Coordination with the EU</w:t>
            </w:r>
          </w:p>
          <w:p>
            <w:pPr>
              <w:spacing w:after="80" w:before="40"/>
            </w:pPr>
            <w:r>
              <w:rPr>
                <w:rFonts w:ascii="Georgia" w:cs="Georgia" w:eastAsia="Georgia" w:hAnsi="Georgia"/>
                <w:color w:val="1F2937"/>
                <w:sz w:val="21"/>
                <w:szCs w:val="21"/>
              </w:rPr>
              <w:t xml:space="preserve">The EU's Carbon Border Adjustment Mechanism (CBAM) took full effect in 2026. It imposes a carbon price on imports of steel, aluminum, cement, fertilizers, chemicals, and electricity from countries without equivalent carbon pricing. U.S. producers in these sectors are now facing competitive disadvantage in EU markets — a concrete economic consequence of U.S. climate policy inaction that affects industries with bipartisan congressional representation.</w:t>
            </w:r>
          </w:p>
          <w:p>
            <w:pPr>
              <w:spacing w:after="80" w:before="40"/>
            </w:pPr>
            <w:r>
              <w:rPr>
                <w:rFonts w:ascii="Georgia" w:cs="Georgia" w:eastAsia="Georgia" w:hAnsi="Georgia"/>
                <w:color w:val="1F2937"/>
                <w:sz w:val="21"/>
                <w:szCs w:val="21"/>
              </w:rPr>
              <w:t xml:space="preserve">The prescription: USTR and State Department should negotiate mutual recognition agreements with the EU under which U.S. producers meeting equivalent emissions standards through sector-specific regulation are exempt from CBAM tariffs. This does not require a U.S. carbon price — it requires demonstrating sectoral emissions performance equivalent to EU standards. The negotiations create domestic industry incentive to support U.S. climate standards (steel and aluminum manufacturers would rather meet domestic standards than pay EU border tariffs), building exactly the business constituency that Meckling's sequencing theory identifies as necessary for durable policy.</w:t>
            </w:r>
          </w:p>
          <w:p>
            <w:pPr>
              <w:spacing w:after="80" w:before="40"/>
            </w:pPr>
            <w:r>
              <w:rPr>
                <w:rFonts w:ascii="Georgia" w:cs="Georgia" w:eastAsia="Georgia" w:hAnsi="Georgia"/>
                <w:color w:val="1F2937"/>
                <w:sz w:val="21"/>
                <w:szCs w:val="21"/>
              </w:rPr>
              <w:t xml:space="preserve">The framing: this is a trade negotiation, not a climate agreement. U.S. manufacturers are losing market access because U.S. policy has failed to match EU standards. The remedy is sector-specific performance standards that restore market access — a competitive and economic argument that is available to both parties.</w:t>
            </w:r>
          </w:p>
          <w:p>
            <w:pPr>
              <w:shd w:fill="FEF3C7" w:val="clear"/>
              <w:spacing w:after="0" w:before="100"/>
            </w:pPr>
            <w:r>
              <w:rPr>
                <w:rFonts w:ascii="Arial" w:cs="Arial" w:eastAsia="Arial" w:hAnsi="Arial"/>
                <w:b/>
                <w:bCs/>
                <w:color w:val="B45309"/>
                <w:sz w:val="19"/>
                <w:szCs w:val="19"/>
              </w:rPr>
              <w:t xml:space="preserve">Timing: </w:t>
            </w:r>
            <w:r>
              <w:rPr>
                <w:rFonts w:ascii="Arial" w:cs="Arial" w:eastAsia="Arial" w:hAnsi="Arial"/>
                <w:color w:val="1F2937"/>
                <w:sz w:val="19"/>
                <w:szCs w:val="19"/>
              </w:rPr>
              <w:t xml:space="preserve">Immediate — executive agreement authority for trade negotiations  </w:t>
            </w:r>
            <w:r>
              <w:rPr>
                <w:rFonts w:ascii="Arial" w:cs="Arial" w:eastAsia="Arial" w:hAnsi="Arial"/>
                <w:b/>
                <w:bCs/>
                <w:color w:val="B45309"/>
                <w:sz w:val="19"/>
                <w:szCs w:val="19"/>
              </w:rPr>
              <w:t xml:space="preserve">Vehicle: </w:t>
            </w:r>
            <w:r>
              <w:rPr>
                <w:rFonts w:ascii="Arial" w:cs="Arial" w:eastAsia="Arial" w:hAnsi="Arial"/>
                <w:color w:val="1F2937"/>
                <w:sz w:val="19"/>
                <w:szCs w:val="19"/>
              </w:rPr>
              <w:t xml:space="preserve">USTR negotiating authority; no Senate ratification required for mutual recognition agreements</w:t>
            </w:r>
          </w:p>
        </w:tc>
      </w:tr>
    </w:tbl>
    <w:p>
      <w:pPr>
        <w:spacing w:after="0" w:before="0"/>
      </w:pPr>
      <w:r>
        <w:rPr>
          <w:sz w:val="12"/>
          <w:szCs w:val="12"/>
        </w:rPr>
        <w:t xml:space="preserve"/>
      </w:r>
    </w:p>
    <w:p>
      <w:pPr>
        <w:spacing w:after="0" w:before="0"/>
      </w:pPr>
      <w:r>
        <w:rPr>
          <w:sz w:val="24"/>
          <w:szCs w:val="24"/>
        </w:rPr>
        <w:t xml:space="preserve"/>
      </w:r>
    </w:p>
    <w:p>
      <w:pPr>
        <w:spacing w:after="0" w:before="0"/>
      </w:pPr>
      <w:r>
        <w:rPr>
          <w:sz w:val="20"/>
          <w:szCs w:val="20"/>
        </w:rPr>
        <w:t xml:space="preserve"/>
      </w:r>
    </w:p>
    <w:p>
      <w:pPr>
        <w:spacing w:after="60" w:before="0"/>
      </w:pPr>
      <w:r>
        <w:rPr>
          <w:rFonts w:ascii="Arial" w:cs="Arial" w:eastAsia="Arial" w:hAnsi="Arial"/>
          <w:b/>
          <w:bCs/>
          <w:caps/>
          <w:color w:val="2E5FA3"/>
          <w:spacing w:val="80"/>
          <w:sz w:val="18"/>
          <w:szCs w:val="18"/>
        </w:rPr>
        <w:t xml:space="preserve">PILLAR III</w:t>
      </w:r>
    </w:p>
    <w:p>
      <w:pPr>
        <w:spacing w:after="100" w:before="0"/>
      </w:pPr>
      <w:r>
        <w:rPr>
          <w:rFonts w:ascii="Arial" w:cs="Arial" w:eastAsia="Arial" w:hAnsi="Arial"/>
          <w:b/>
          <w:bCs/>
          <w:color w:val="1B2A4A"/>
          <w:sz w:val="30"/>
          <w:szCs w:val="30"/>
        </w:rPr>
        <w:t xml:space="preserve">Long-Horizon Planning Insulated from Electoral Cycling</w:t>
      </w:r>
    </w:p>
    <w:p>
      <w:pPr>
        <w:spacing w:after="160" w:before="0"/>
      </w:pPr>
      <w:r>
        <w:rPr>
          <w:rFonts w:ascii="Georgia" w:cs="Georgia" w:eastAsia="Georgia" w:hAnsi="Georgia"/>
          <w:i/>
          <w:iCs/>
          <w:color w:val="6B7280"/>
          <w:sz w:val="22"/>
          <w:szCs w:val="22"/>
        </w:rPr>
        <w:t xml:space="preserve">Building the structural architecture that survives the next hostile administration</w:t>
      </w:r>
    </w:p>
    <w:p>
      <w:pPr>
        <w:pBdr>
          <w:bottom w:val="single" w:color="2E5FA3" w:sz="6" w:space="1"/>
        </w:pBdr>
        <w:spacing w:after="0" w:before="0"/>
      </w:pPr>
      <w:r>
        <w:t xml:space="preserve"/>
      </w:r>
    </w:p>
    <w:p>
      <w:pPr>
        <w:spacing w:after="0" w:before="0"/>
      </w:pPr>
      <w:r>
        <w:rPr>
          <w:sz w:val="8"/>
          <w:szCs w:val="8"/>
        </w:rPr>
        <w:t xml:space="preserve"/>
      </w:r>
    </w:p>
    <w:p>
      <w:pPr>
        <w:spacing w:after="0" w:before="0"/>
      </w:pPr>
      <w:r>
        <w:rPr>
          <w:sz w:val="16"/>
          <w:szCs w:val="16"/>
        </w:rPr>
        <w:t xml:space="preserve"/>
      </w:r>
    </w:p>
    <w:p>
      <w:pPr>
        <w:spacing w:after="80" w:before="0"/>
      </w:pPr>
      <w:r>
        <w:rPr>
          <w:rFonts w:ascii="Arial" w:cs="Arial" w:eastAsia="Arial" w:hAnsi="Arial"/>
          <w:b/>
          <w:bCs/>
          <w:caps/>
          <w:color w:val="2E5FA3"/>
          <w:spacing w:val="60"/>
          <w:sz w:val="20"/>
          <w:szCs w:val="20"/>
        </w:rPr>
        <w:t xml:space="preserve">FEDERAL — IMMEDIATE</w:t>
      </w:r>
    </w:p>
    <w:p>
      <w:pPr>
        <w:pBdr>
          <w:bottom w:val="single" w:color="D6E4F7" w:sz="3" w:space="1"/>
        </w:pBdr>
        <w:spacing w:after="0" w:before="0"/>
      </w:pPr>
      <w:r>
        <w:t xml:space="preserve"/>
      </w:r>
    </w:p>
    <w:p>
      <w:pPr>
        <w:spacing w:after="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5FA3" w:val="clear"/>
            <w:tcMar>
              <w:top w:type="dxa" w:w="120"/>
              <w:left w:type="dxa" w:w="120"/>
              <w:bottom w:type="dxa" w:w="120"/>
              <w:right w:type="dxa" w:w="80"/>
            </w:tcMar>
            <w:vAlign w:val="top"/>
          </w:tcPr>
          <w:p>
            <w:pPr>
              <w:jc w:val="center"/>
            </w:pPr>
            <w:r>
              <w:rPr>
                <w:rFonts w:ascii="Arial" w:cs="Arial" w:eastAsia="Arial" w:hAnsi="Arial"/>
                <w:b/>
                <w:bCs/>
                <w:color w:val="FFFFFF"/>
                <w:sz w:val="26"/>
                <w:szCs w:val="26"/>
              </w:rPr>
              <w:t xml:space="preserve">18</w:t>
            </w:r>
          </w:p>
        </w:tc>
        <w:tc>
          <w:tcPr>
            <w:tcW w:type="dxa" w:w="8760"/>
            <w:tcBorders>
              <w:top w:val="single" w:color="CCCCCC" w:sz="1"/>
              <w:left w:val="single" w:color="CCCCCC" w:sz="1"/>
              <w:bottom w:val="single" w:color="CCCCCC" w:sz="1"/>
              <w:right w:val="single" w:color="CCCCCC" w:sz="1"/>
            </w:tcBorders>
            <w:tcMar>
              <w:top w:type="dxa" w:w="120"/>
              <w:left w:type="dxa" w:w="160"/>
              <w:bottom w:type="dxa" w:w="120"/>
              <w:right w:type="dxa" w:w="120"/>
            </w:tcMar>
          </w:tcPr>
          <w:p>
            <w:pPr>
              <w:spacing w:after="80" w:before="0"/>
            </w:pPr>
            <w:r>
              <w:rPr>
                <w:rFonts w:ascii="Arial" w:cs="Arial" w:eastAsia="Arial" w:hAnsi="Arial"/>
                <w:b/>
                <w:bCs/>
                <w:color w:val="1B2A4A"/>
                <w:sz w:val="24"/>
                <w:szCs w:val="24"/>
              </w:rPr>
              <w:t xml:space="preserve">National Climate Assessment: Restore Statutory Basis and Independent Peer Review</w:t>
            </w:r>
          </w:p>
          <w:p>
            <w:pPr>
              <w:spacing w:after="80" w:before="40"/>
            </w:pPr>
            <w:r>
              <w:rPr>
                <w:rFonts w:ascii="Georgia" w:cs="Georgia" w:eastAsia="Georgia" w:hAnsi="Georgia"/>
                <w:color w:val="1F2937"/>
                <w:sz w:val="21"/>
                <w:szCs w:val="21"/>
              </w:rPr>
              <w:t xml:space="preserve">The National Climate Assessment is the most comprehensive synthesis of U.S. climate science, produced by a federal interagency process and reviewed by the National Academy of Sciences. In 2025, the scientists working on the sixth NCA were dismissed. The NCA has no permanent statutory basis — it rests on executive order and the Global Change Research Act, which can be effectively nullified without explicit repeal.</w:t>
            </w:r>
          </w:p>
          <w:p>
            <w:pPr>
              <w:spacing w:after="80" w:before="40"/>
            </w:pPr>
            <w:r>
              <w:rPr>
                <w:rFonts w:ascii="Georgia" w:cs="Georgia" w:eastAsia="Georgia" w:hAnsi="Georgia"/>
                <w:color w:val="1F2937"/>
                <w:sz w:val="21"/>
                <w:szCs w:val="21"/>
              </w:rPr>
              <w:t xml:space="preserve">The prescription: amend the Global Change Research Act to explicitly mandate NCA publication every five years; establish an independent 13-member NCA Review Board appointed by the National Academy of Sciences (not by political appointees) with authority to certify that the published assessment accurately reflects the scientific literature; and prohibit modification of NCA findings by political appointees without a documented peer review process that the Review Board may contest publicly.</w:t>
            </w:r>
          </w:p>
          <w:p>
            <w:pPr>
              <w:spacing w:after="80" w:before="40"/>
            </w:pPr>
            <w:r>
              <w:rPr>
                <w:rFonts w:ascii="Georgia" w:cs="Georgia" w:eastAsia="Georgia" w:hAnsi="Georgia"/>
                <w:color w:val="1F2937"/>
                <w:sz w:val="21"/>
                <w:szCs w:val="21"/>
              </w:rPr>
              <w:t xml:space="preserve">This does not make the NCA politically invulnerable — a determined Congress can always amend the statute. But it makes suppression of the NCA a visible political act requiring explicit legislative action rather than a quiet administrative decision, which substantially raises the political cost.</w:t>
            </w:r>
          </w:p>
          <w:p>
            <w:pPr>
              <w:shd w:fill="FEF3C7" w:val="clear"/>
              <w:spacing w:after="0" w:before="100"/>
            </w:pPr>
            <w:r>
              <w:rPr>
                <w:rFonts w:ascii="Arial" w:cs="Arial" w:eastAsia="Arial" w:hAnsi="Arial"/>
                <w:b/>
                <w:bCs/>
                <w:color w:val="B45309"/>
                <w:sz w:val="19"/>
                <w:szCs w:val="19"/>
              </w:rPr>
              <w:t xml:space="preserve">Timing: </w:t>
            </w:r>
            <w:r>
              <w:rPr>
                <w:rFonts w:ascii="Arial" w:cs="Arial" w:eastAsia="Arial" w:hAnsi="Arial"/>
                <w:color w:val="1F2937"/>
                <w:sz w:val="19"/>
                <w:szCs w:val="19"/>
              </w:rPr>
              <w:t xml:space="preserve">Immediate — amendable to appropriations or S&amp;T legislation  </w:t>
            </w:r>
            <w:r>
              <w:rPr>
                <w:rFonts w:ascii="Arial" w:cs="Arial" w:eastAsia="Arial" w:hAnsi="Arial"/>
                <w:b/>
                <w:bCs/>
                <w:color w:val="B45309"/>
                <w:sz w:val="19"/>
                <w:szCs w:val="19"/>
              </w:rPr>
              <w:t xml:space="preserve">Vehicle: </w:t>
            </w:r>
            <w:r>
              <w:rPr>
                <w:rFonts w:ascii="Arial" w:cs="Arial" w:eastAsia="Arial" w:hAnsi="Arial"/>
                <w:color w:val="1F2937"/>
                <w:sz w:val="19"/>
                <w:szCs w:val="19"/>
              </w:rPr>
              <w:t xml:space="preserve">GCRA amendment; Senate Commerce Science and Technology jurisdiction</w:t>
            </w:r>
          </w:p>
        </w:tc>
      </w:tr>
    </w:tbl>
    <w:p>
      <w:pPr>
        <w:spacing w:after="0" w:before="0"/>
      </w:pPr>
      <w:r>
        <w:rPr>
          <w:sz w:val="12"/>
          <w:szCs w:val="12"/>
        </w:rPr>
        <w:t xml:space="preserve"/>
      </w:r>
    </w:p>
    <w:p>
      <w:pPr>
        <w:spacing w:after="0" w:before="0"/>
      </w:pPr>
      <w:r>
        <w:rPr>
          <w:sz w:val="16"/>
          <w:szCs w:val="16"/>
        </w:rPr>
        <w:t xml:space="preserve"/>
      </w:r>
    </w:p>
    <w:p>
      <w:pPr>
        <w:spacing w:after="80" w:before="0"/>
      </w:pPr>
      <w:r>
        <w:rPr>
          <w:rFonts w:ascii="Arial" w:cs="Arial" w:eastAsia="Arial" w:hAnsi="Arial"/>
          <w:b/>
          <w:bCs/>
          <w:caps/>
          <w:color w:val="2E5FA3"/>
          <w:spacing w:val="60"/>
          <w:sz w:val="20"/>
          <w:szCs w:val="20"/>
        </w:rPr>
        <w:t xml:space="preserve">FEDERAL — MEDIUM TERM</w:t>
      </w:r>
    </w:p>
    <w:p>
      <w:pPr>
        <w:pBdr>
          <w:bottom w:val="single" w:color="D6E4F7" w:sz="3" w:space="1"/>
        </w:pBdr>
        <w:spacing w:after="0" w:before="0"/>
      </w:pPr>
      <w:r>
        <w:t xml:space="preserve"/>
      </w:r>
    </w:p>
    <w:p>
      <w:pPr>
        <w:spacing w:after="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5FA3" w:val="clear"/>
            <w:tcMar>
              <w:top w:type="dxa" w:w="120"/>
              <w:left w:type="dxa" w:w="120"/>
              <w:bottom w:type="dxa" w:w="120"/>
              <w:right w:type="dxa" w:w="80"/>
            </w:tcMar>
            <w:vAlign w:val="top"/>
          </w:tcPr>
          <w:p>
            <w:pPr>
              <w:jc w:val="center"/>
            </w:pPr>
            <w:r>
              <w:rPr>
                <w:rFonts w:ascii="Arial" w:cs="Arial" w:eastAsia="Arial" w:hAnsi="Arial"/>
                <w:b/>
                <w:bCs/>
                <w:color w:val="FFFFFF"/>
                <w:sz w:val="26"/>
                <w:szCs w:val="26"/>
              </w:rPr>
              <w:t xml:space="preserve">19</w:t>
            </w:r>
          </w:p>
        </w:tc>
        <w:tc>
          <w:tcPr>
            <w:tcW w:type="dxa" w:w="8760"/>
            <w:tcBorders>
              <w:top w:val="single" w:color="CCCCCC" w:sz="1"/>
              <w:left w:val="single" w:color="CCCCCC" w:sz="1"/>
              <w:bottom w:val="single" w:color="CCCCCC" w:sz="1"/>
              <w:right w:val="single" w:color="CCCCCC" w:sz="1"/>
            </w:tcBorders>
            <w:tcMar>
              <w:top w:type="dxa" w:w="120"/>
              <w:left w:type="dxa" w:w="160"/>
              <w:bottom w:type="dxa" w:w="120"/>
              <w:right w:type="dxa" w:w="120"/>
            </w:tcMar>
          </w:tcPr>
          <w:p>
            <w:pPr>
              <w:spacing w:after="80" w:before="0"/>
            </w:pPr>
            <w:r>
              <w:rPr>
                <w:rFonts w:ascii="Arial" w:cs="Arial" w:eastAsia="Arial" w:hAnsi="Arial"/>
                <w:b/>
                <w:bCs/>
                <w:color w:val="1B2A4A"/>
                <w:sz w:val="24"/>
                <w:szCs w:val="24"/>
              </w:rPr>
              <w:t xml:space="preserve">Climate Advisory Council Act: The U.S. Equivalent of the UK Committee on Climate Change</w:t>
            </w:r>
          </w:p>
          <w:p>
            <w:pPr>
              <w:spacing w:after="80" w:before="40"/>
            </w:pPr>
            <w:r>
              <w:rPr>
                <w:rFonts w:ascii="Georgia" w:cs="Georgia" w:eastAsia="Georgia" w:hAnsi="Georgia"/>
                <w:color w:val="1F2937"/>
                <w:sz w:val="21"/>
                <w:szCs w:val="21"/>
              </w:rPr>
              <w:t xml:space="preserve">The most important structural reform available to a future Congress is the one that the United States most conspicuously lacks: a statutory independent advisory body with authority to set multi-year carbon budgets, to which the government must publicly respond. The UK's Committee on Climate Change spans multiple parliaments, has for-cause removal protections, and has been the institutional anchor for the UK's 54% emissions reduction since 1990. No equivalent exists in U.S. federal law.</w:t>
            </w:r>
          </w:p>
          <w:p>
            <w:pPr>
              <w:spacing w:after="80" w:before="40"/>
            </w:pPr>
            <w:r>
              <w:rPr>
                <w:rFonts w:ascii="Georgia" w:cs="Georgia" w:eastAsia="Georgia" w:hAnsi="Georgia"/>
                <w:color w:val="1F2937"/>
                <w:sz w:val="21"/>
                <w:szCs w:val="21"/>
              </w:rPr>
              <w:t xml:space="preserve">The prescription: establish by statute a 9-member Climate Advisory Council with the following design features: Appointment — 3 members appointed by the President, 3 by Senate leadership (bipartisan), 3 by House leadership (bipartisan); all requiring demonstrated scientific or economic expertise in climate, energy, or public finance. Terms — staggered 7-year terms, for-cause removal only, confirmed by Senate. Authority — publish 10-year carbon budgets on a 5-year rolling basis, spanning at least two full election cycles; produce annual progress assessments against targets; government must respond publicly within 90 days with a compliance plan or a written explanation, published in the Federal Register.</w:t>
            </w:r>
          </w:p>
          <w:p>
            <w:pPr>
              <w:spacing w:after="80" w:before="40"/>
            </w:pPr>
            <w:r>
              <w:rPr>
                <w:rFonts w:ascii="Georgia" w:cs="Georgia" w:eastAsia="Georgia" w:hAnsi="Georgia"/>
                <w:color w:val="1F2937"/>
                <w:sz w:val="21"/>
                <w:szCs w:val="21"/>
              </w:rPr>
              <w:t xml:space="preserve">Judicial backstop: any state attorney general may petition the U.S. Court of Appeals for the D.C. Circuit to compel government response if the 90-day deadline is not met. The judicial backstop is not for compulsion of specific policies — that would raise serious separation of powers concerns — but for compulsion of the response requirement. This preserves democratic legitimacy (the Council recommends rather than dictates) while creating reputational and procedural costs for non-compliance.</w:t>
            </w:r>
          </w:p>
          <w:p>
            <w:pPr>
              <w:spacing w:after="80" w:before="40"/>
            </w:pPr>
            <w:r>
              <w:rPr>
                <w:rFonts w:ascii="Georgia" w:cs="Georgia" w:eastAsia="Georgia" w:hAnsi="Georgia"/>
                <w:color w:val="1F2937"/>
                <w:sz w:val="21"/>
                <w:szCs w:val="21"/>
              </w:rPr>
              <w:t xml:space="preserve">Funding: mandatory appropriation of $75M/year indexed to inflation, structured as a permanent appropriation not subject to annual discretionary process (analogous to the mandatory appropriation structure for federal court operations).</w:t>
            </w:r>
          </w:p>
          <w:p>
            <w:pPr>
              <w:shd w:fill="FEF3C7" w:val="clear"/>
              <w:spacing w:after="0" w:before="100"/>
            </w:pPr>
            <w:r>
              <w:rPr>
                <w:rFonts w:ascii="Arial" w:cs="Arial" w:eastAsia="Arial" w:hAnsi="Arial"/>
                <w:b/>
                <w:bCs/>
                <w:color w:val="B45309"/>
                <w:sz w:val="19"/>
                <w:szCs w:val="19"/>
              </w:rPr>
              <w:t xml:space="preserve">Timing: </w:t>
            </w:r>
            <w:r>
              <w:rPr>
                <w:rFonts w:ascii="Arial" w:cs="Arial" w:eastAsia="Arial" w:hAnsi="Arial"/>
                <w:color w:val="1F2937"/>
                <w:sz w:val="19"/>
                <w:szCs w:val="19"/>
              </w:rPr>
              <w:t xml:space="preserve">Medium-term — requires favorable Congress  </w:t>
            </w:r>
            <w:r>
              <w:rPr>
                <w:rFonts w:ascii="Arial" w:cs="Arial" w:eastAsia="Arial" w:hAnsi="Arial"/>
                <w:b/>
                <w:bCs/>
                <w:color w:val="B45309"/>
                <w:sz w:val="19"/>
                <w:szCs w:val="19"/>
              </w:rPr>
              <w:t xml:space="preserve">Vehicle: </w:t>
            </w:r>
            <w:r>
              <w:rPr>
                <w:rFonts w:ascii="Arial" w:cs="Arial" w:eastAsia="Arial" w:hAnsi="Arial"/>
                <w:color w:val="1F2937"/>
                <w:sz w:val="19"/>
                <w:szCs w:val="19"/>
              </w:rPr>
              <w:t xml:space="preserve">Standalone bill; Senate Environment and Public Works; House Energy and Commerce</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5FA3" w:val="clear"/>
            <w:tcMar>
              <w:top w:type="dxa" w:w="120"/>
              <w:left w:type="dxa" w:w="120"/>
              <w:bottom w:type="dxa" w:w="120"/>
              <w:right w:type="dxa" w:w="80"/>
            </w:tcMar>
            <w:vAlign w:val="top"/>
          </w:tcPr>
          <w:p>
            <w:pPr>
              <w:jc w:val="center"/>
            </w:pPr>
            <w:r>
              <w:rPr>
                <w:rFonts w:ascii="Arial" w:cs="Arial" w:eastAsia="Arial" w:hAnsi="Arial"/>
                <w:b/>
                <w:bCs/>
                <w:color w:val="FFFFFF"/>
                <w:sz w:val="26"/>
                <w:szCs w:val="26"/>
              </w:rPr>
              <w:t xml:space="preserve">20</w:t>
            </w:r>
          </w:p>
        </w:tc>
        <w:tc>
          <w:tcPr>
            <w:tcW w:type="dxa" w:w="8760"/>
            <w:tcBorders>
              <w:top w:val="single" w:color="CCCCCC" w:sz="1"/>
              <w:left w:val="single" w:color="CCCCCC" w:sz="1"/>
              <w:bottom w:val="single" w:color="CCCCCC" w:sz="1"/>
              <w:right w:val="single" w:color="CCCCCC" w:sz="1"/>
            </w:tcBorders>
            <w:tcMar>
              <w:top w:type="dxa" w:w="120"/>
              <w:left w:type="dxa" w:w="160"/>
              <w:bottom w:type="dxa" w:w="120"/>
              <w:right w:type="dxa" w:w="120"/>
            </w:tcMar>
          </w:tcPr>
          <w:p>
            <w:pPr>
              <w:spacing w:after="80" w:before="0"/>
            </w:pPr>
            <w:r>
              <w:rPr>
                <w:rFonts w:ascii="Arial" w:cs="Arial" w:eastAsia="Arial" w:hAnsi="Arial"/>
                <w:b/>
                <w:bCs/>
                <w:color w:val="1B2A4A"/>
                <w:sz w:val="24"/>
                <w:szCs w:val="24"/>
              </w:rPr>
              <w:t xml:space="preserve">Statutory EPA Greenhouse Gas Authority: Post-Loper Bright Reconstruction</w:t>
            </w:r>
          </w:p>
          <w:p>
            <w:pPr>
              <w:spacing w:after="80" w:before="40"/>
            </w:pPr>
            <w:r>
              <w:rPr>
                <w:rFonts w:ascii="Georgia" w:cs="Georgia" w:eastAsia="Georgia" w:hAnsi="Georgia"/>
                <w:color w:val="1F2937"/>
                <w:sz w:val="21"/>
                <w:szCs w:val="21"/>
              </w:rPr>
              <w:t xml:space="preserve">The 2022 West Virginia v. EPA ruling established the major questions doctrine, effectively prohibiting EPA from undertaking 'transformative' regulatory actions without explicit congressional authorization. The 2024 Loper Bright ruling eliminated Chevron deference, removing courts' obligation to defer to EPA's reasonable statutory interpretations. The February 2026 rescission of EPA's Endangerment Finding eliminated the administrative legal foundation for GHG regulation under existing Clean Air Act authority. The regulatory pathway for federal climate action is now effectively closed absent new legislation.</w:t>
            </w:r>
          </w:p>
          <w:p>
            <w:pPr>
              <w:spacing w:after="80" w:before="40"/>
            </w:pPr>
            <w:r>
              <w:rPr>
                <w:rFonts w:ascii="Georgia" w:cs="Georgia" w:eastAsia="Georgia" w:hAnsi="Georgia"/>
                <w:color w:val="1F2937"/>
                <w:sz w:val="21"/>
                <w:szCs w:val="21"/>
              </w:rPr>
              <w:t xml:space="preserve">The prescription: amend Clean Air Act Section 108 to explicitly list carbon dioxide, methane, nitrous oxide, and HFCs as criteria air pollutants requiring National Ambient Air Quality Standards (NAAQS). Separately, add a new Clean Air Act Title VII explicitly authorizing EPA to establish GHG emission performance standards for major source categories, with a statutory direction to set standards consistent with U.S. nationally determined contributions under the Paris Agreement.</w:t>
            </w:r>
          </w:p>
          <w:p>
            <w:pPr>
              <w:spacing w:after="80" w:before="40"/>
            </w:pPr>
            <w:r>
              <w:rPr>
                <w:rFonts w:ascii="Georgia" w:cs="Georgia" w:eastAsia="Georgia" w:hAnsi="Georgia"/>
                <w:color w:val="1F2937"/>
                <w:sz w:val="21"/>
                <w:szCs w:val="21"/>
              </w:rPr>
              <w:t xml:space="preserve">Framing: this should be presented not as new climate legislation but as 'restoring EPA's authority that courts have constrained.' The major questions doctrine identified a gap in statutory authorization; this fills that gap. The Endangerment Finding was an administrative determination vulnerable to administrative reversal; this converts it to a statutory mandate. The framing distinction matters because it frames the ask as institutional repair rather than new policy — which is both accurate and more politically legible.</w:t>
            </w:r>
          </w:p>
          <w:p>
            <w:pPr>
              <w:spacing w:after="80" w:before="40"/>
            </w:pPr>
            <w:r>
              <w:rPr>
                <w:rFonts w:ascii="Georgia" w:cs="Georgia" w:eastAsia="Georgia" w:hAnsi="Georgia"/>
                <w:color w:val="1F2937"/>
                <w:sz w:val="21"/>
                <w:szCs w:val="21"/>
              </w:rPr>
              <w:t xml:space="preserve">The honest assessment: this requires a favorable Congress willing to override the current Supreme Court's direction of travel. It is not achievable in the current Congress. Its function here is to be on the shelf, fully drafted and analyzed, when the political window opens — because without it, any administrative climate action remains vulnerable to the next judicial challenge.</w:t>
            </w:r>
          </w:p>
          <w:p>
            <w:pPr>
              <w:shd w:fill="FEF3C7" w:val="clear"/>
              <w:spacing w:after="0" w:before="100"/>
            </w:pPr>
            <w:r>
              <w:rPr>
                <w:rFonts w:ascii="Arial" w:cs="Arial" w:eastAsia="Arial" w:hAnsi="Arial"/>
                <w:b/>
                <w:bCs/>
                <w:color w:val="B45309"/>
                <w:sz w:val="19"/>
                <w:szCs w:val="19"/>
              </w:rPr>
              <w:t xml:space="preserve">Timing: </w:t>
            </w:r>
            <w:r>
              <w:rPr>
                <w:rFonts w:ascii="Arial" w:cs="Arial" w:eastAsia="Arial" w:hAnsi="Arial"/>
                <w:color w:val="1F2937"/>
                <w:sz w:val="19"/>
                <w:szCs w:val="19"/>
              </w:rPr>
              <w:t xml:space="preserve">Long-term structural — requires favorable Congress and likely favorable Supreme Court composition  </w:t>
            </w:r>
            <w:r>
              <w:rPr>
                <w:rFonts w:ascii="Arial" w:cs="Arial" w:eastAsia="Arial" w:hAnsi="Arial"/>
                <w:b/>
                <w:bCs/>
                <w:color w:val="B45309"/>
                <w:sz w:val="19"/>
                <w:szCs w:val="19"/>
              </w:rPr>
              <w:t xml:space="preserve">Vehicle: </w:t>
            </w:r>
            <w:r>
              <w:rPr>
                <w:rFonts w:ascii="Arial" w:cs="Arial" w:eastAsia="Arial" w:hAnsi="Arial"/>
                <w:color w:val="1F2937"/>
                <w:sz w:val="19"/>
                <w:szCs w:val="19"/>
              </w:rPr>
              <w:t xml:space="preserve">CAA Section 108 and new Title VII amendment; Senate Environment and Public Works</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5FA3" w:val="clear"/>
            <w:tcMar>
              <w:top w:type="dxa" w:w="120"/>
              <w:left w:type="dxa" w:w="120"/>
              <w:bottom w:type="dxa" w:w="120"/>
              <w:right w:type="dxa" w:w="80"/>
            </w:tcMar>
            <w:vAlign w:val="top"/>
          </w:tcPr>
          <w:p>
            <w:pPr>
              <w:jc w:val="center"/>
            </w:pPr>
            <w:r>
              <w:rPr>
                <w:rFonts w:ascii="Arial" w:cs="Arial" w:eastAsia="Arial" w:hAnsi="Arial"/>
                <w:b/>
                <w:bCs/>
                <w:color w:val="FFFFFF"/>
                <w:sz w:val="26"/>
                <w:szCs w:val="26"/>
              </w:rPr>
              <w:t xml:space="preserve">21</w:t>
            </w:r>
          </w:p>
        </w:tc>
        <w:tc>
          <w:tcPr>
            <w:tcW w:type="dxa" w:w="8760"/>
            <w:tcBorders>
              <w:top w:val="single" w:color="CCCCCC" w:sz="1"/>
              <w:left w:val="single" w:color="CCCCCC" w:sz="1"/>
              <w:bottom w:val="single" w:color="CCCCCC" w:sz="1"/>
              <w:right w:val="single" w:color="CCCCCC" w:sz="1"/>
            </w:tcBorders>
            <w:tcMar>
              <w:top w:type="dxa" w:w="120"/>
              <w:left w:type="dxa" w:w="160"/>
              <w:bottom w:type="dxa" w:w="120"/>
              <w:right w:type="dxa" w:w="120"/>
            </w:tcMar>
          </w:tcPr>
          <w:p>
            <w:pPr>
              <w:spacing w:after="80" w:before="0"/>
            </w:pPr>
            <w:r>
              <w:rPr>
                <w:rFonts w:ascii="Arial" w:cs="Arial" w:eastAsia="Arial" w:hAnsi="Arial"/>
                <w:b/>
                <w:bCs/>
                <w:color w:val="1B2A4A"/>
                <w:sz w:val="24"/>
                <w:szCs w:val="24"/>
              </w:rPr>
              <w:t xml:space="preserve">30-Year Climate Risk Mandate for Federal Infrastructure</w:t>
            </w:r>
          </w:p>
          <w:p>
            <w:pPr>
              <w:spacing w:after="80" w:before="40"/>
            </w:pPr>
            <w:r>
              <w:rPr>
                <w:rFonts w:ascii="Georgia" w:cs="Georgia" w:eastAsia="Georgia" w:hAnsi="Georgia"/>
                <w:color w:val="1F2937"/>
                <w:sz w:val="21"/>
                <w:szCs w:val="21"/>
              </w:rPr>
              <w:t xml:space="preserve">Every federally funded infrastructure project above $10M should be required to incorporate a 30-year climate risk assessment using NOAA's regional climate projections as a condition of funding. This is not a new regulatory program — it is a basic fiduciary requirement analogous to requiring cost-benefit analysis. Building a bridge, road, wastewater plant, or school without assessing whether it will be underwater, under fire risk, or experiencing extreme heat stress in 30 years is financial malpractice.</w:t>
            </w:r>
          </w:p>
          <w:p>
            <w:pPr>
              <w:spacing w:after="80" w:before="40"/>
            </w:pPr>
            <w:r>
              <w:rPr>
                <w:rFonts w:ascii="Georgia" w:cs="Georgia" w:eastAsia="Georgia" w:hAnsi="Georgia"/>
                <w:color w:val="1F2937"/>
                <w:sz w:val="21"/>
                <w:szCs w:val="21"/>
              </w:rPr>
              <w:t xml:space="preserve">The prescription: amend the Uniform Federal Policy for Implementing Stormwater Management (or enact standalone legislation) to require that all federally funded projects above $10M document climate risk using NOAA's Climate Projections and FEMA's National Flood Insurance Program maps over a 30-year horizon; that projects in FEMA Tier 1 high-risk zones include documented risk mitigation plans; and that federal funding is ineligible for projects in the highest-risk zones without a managed risk approach.</w:t>
            </w:r>
          </w:p>
          <w:p>
            <w:pPr>
              <w:spacing w:after="80" w:before="40"/>
            </w:pPr>
            <w:r>
              <w:rPr>
                <w:rFonts w:ascii="Georgia" w:cs="Georgia" w:eastAsia="Georgia" w:hAnsi="Georgia"/>
                <w:color w:val="1F2937"/>
                <w:sz w:val="21"/>
                <w:szCs w:val="21"/>
              </w:rPr>
              <w:t xml:space="preserve">This creates an institutional record of climate risk assessment in federal infrastructure decisions that is substantially harder to eliminate than executive guidance, since it is embedded in funding conditions that apply to thousands of projects across agencies.</w:t>
            </w:r>
          </w:p>
          <w:p>
            <w:pPr>
              <w:shd w:fill="FEF3C7" w:val="clear"/>
              <w:spacing w:after="0" w:before="100"/>
            </w:pPr>
            <w:r>
              <w:rPr>
                <w:rFonts w:ascii="Arial" w:cs="Arial" w:eastAsia="Arial" w:hAnsi="Arial"/>
                <w:b/>
                <w:bCs/>
                <w:color w:val="B45309"/>
                <w:sz w:val="19"/>
                <w:szCs w:val="19"/>
              </w:rPr>
              <w:t xml:space="preserve">Timing: </w:t>
            </w:r>
            <w:r>
              <w:rPr>
                <w:rFonts w:ascii="Arial" w:cs="Arial" w:eastAsia="Arial" w:hAnsi="Arial"/>
                <w:color w:val="1F2937"/>
                <w:sz w:val="19"/>
                <w:szCs w:val="19"/>
              </w:rPr>
              <w:t xml:space="preserve">Medium-term — buildable on existing NEPA and FEMA infrastructure  </w:t>
            </w:r>
            <w:r>
              <w:rPr>
                <w:rFonts w:ascii="Arial" w:cs="Arial" w:eastAsia="Arial" w:hAnsi="Arial"/>
                <w:b/>
                <w:bCs/>
                <w:color w:val="B45309"/>
                <w:sz w:val="19"/>
                <w:szCs w:val="19"/>
              </w:rPr>
              <w:t xml:space="preserve">Vehicle: </w:t>
            </w:r>
            <w:r>
              <w:rPr>
                <w:rFonts w:ascii="Arial" w:cs="Arial" w:eastAsia="Arial" w:hAnsi="Arial"/>
                <w:color w:val="1F2937"/>
                <w:sz w:val="19"/>
                <w:szCs w:val="19"/>
              </w:rPr>
              <w:t xml:space="preserve">NEPA amendment or standalone infrastructure conditions legislation</w:t>
            </w:r>
          </w:p>
        </w:tc>
      </w:tr>
    </w:tbl>
    <w:p>
      <w:pPr>
        <w:spacing w:after="0" w:before="0"/>
      </w:pPr>
      <w:r>
        <w:rPr>
          <w:sz w:val="12"/>
          <w:szCs w:val="12"/>
        </w:rPr>
        <w:t xml:space="preserve"/>
      </w:r>
    </w:p>
    <w:p>
      <w:pPr>
        <w:spacing w:after="0" w:before="0"/>
      </w:pPr>
      <w:r>
        <w:rPr>
          <w:sz w:val="16"/>
          <w:szCs w:val="16"/>
        </w:rPr>
        <w:t xml:space="preserve"/>
      </w:r>
    </w:p>
    <w:p>
      <w:pPr>
        <w:spacing w:after="80" w:before="0"/>
      </w:pPr>
      <w:r>
        <w:rPr>
          <w:rFonts w:ascii="Arial" w:cs="Arial" w:eastAsia="Arial" w:hAnsi="Arial"/>
          <w:b/>
          <w:bCs/>
          <w:caps/>
          <w:color w:val="2E5FA3"/>
          <w:spacing w:val="60"/>
          <w:sz w:val="20"/>
          <w:szCs w:val="20"/>
        </w:rPr>
        <w:t xml:space="preserve">STATE AND LOCAL</w:t>
      </w:r>
    </w:p>
    <w:p>
      <w:pPr>
        <w:pBdr>
          <w:bottom w:val="single" w:color="D6E4F7" w:sz="3" w:space="1"/>
        </w:pBdr>
        <w:spacing w:after="0" w:before="0"/>
      </w:pPr>
      <w:r>
        <w:t xml:space="preserve"/>
      </w:r>
    </w:p>
    <w:p>
      <w:pPr>
        <w:spacing w:after="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5FA3" w:val="clear"/>
            <w:tcMar>
              <w:top w:type="dxa" w:w="120"/>
              <w:left w:type="dxa" w:w="120"/>
              <w:bottom w:type="dxa" w:w="120"/>
              <w:right w:type="dxa" w:w="80"/>
            </w:tcMar>
            <w:vAlign w:val="top"/>
          </w:tcPr>
          <w:p>
            <w:pPr>
              <w:jc w:val="center"/>
            </w:pPr>
            <w:r>
              <w:rPr>
                <w:rFonts w:ascii="Arial" w:cs="Arial" w:eastAsia="Arial" w:hAnsi="Arial"/>
                <w:b/>
                <w:bCs/>
                <w:color w:val="FFFFFF"/>
                <w:sz w:val="26"/>
                <w:szCs w:val="26"/>
              </w:rPr>
              <w:t xml:space="preserve">22</w:t>
            </w:r>
          </w:p>
        </w:tc>
        <w:tc>
          <w:tcPr>
            <w:tcW w:type="dxa" w:w="8760"/>
            <w:tcBorders>
              <w:top w:val="single" w:color="CCCCCC" w:sz="1"/>
              <w:left w:val="single" w:color="CCCCCC" w:sz="1"/>
              <w:bottom w:val="single" w:color="CCCCCC" w:sz="1"/>
              <w:right w:val="single" w:color="CCCCCC" w:sz="1"/>
            </w:tcBorders>
            <w:tcMar>
              <w:top w:type="dxa" w:w="120"/>
              <w:left w:type="dxa" w:w="160"/>
              <w:bottom w:type="dxa" w:w="120"/>
              <w:right w:type="dxa" w:w="120"/>
            </w:tcMar>
          </w:tcPr>
          <w:p>
            <w:pPr>
              <w:spacing w:after="80" w:before="0"/>
            </w:pPr>
            <w:r>
              <w:rPr>
                <w:rFonts w:ascii="Arial" w:cs="Arial" w:eastAsia="Arial" w:hAnsi="Arial"/>
                <w:b/>
                <w:bCs/>
                <w:color w:val="1B2A4A"/>
                <w:sz w:val="24"/>
                <w:szCs w:val="24"/>
              </w:rPr>
              <w:t xml:space="preserve">State Climate Change Acts: The UK Model at the State Level</w:t>
            </w:r>
          </w:p>
          <w:p>
            <w:pPr>
              <w:spacing w:after="80" w:before="40"/>
            </w:pPr>
            <w:r>
              <w:rPr>
                <w:rFonts w:ascii="Georgia" w:cs="Georgia" w:eastAsia="Georgia" w:hAnsi="Georgia"/>
                <w:color w:val="1F2937"/>
                <w:sz w:val="21"/>
                <w:szCs w:val="21"/>
              </w:rPr>
              <w:t xml:space="preserve">Eight to ten states with significant climate exposure, legislative capacity, and reasonable prospects for sustained bipartisan engagement should enact comprehensive climate frameworks modeled on the UK Climate Change Act. California's layered statutory approach (AB 32, SB 32, SB 100, AB 1279) is the U.S. template; the features that have made it durable — bipartisan genesis, voter ratification defeating industry rollback, independent regulatory expertise at CARB predating the climate framework — should be consciously designed into new state efforts.</w:t>
            </w:r>
          </w:p>
          <w:p>
            <w:pPr>
              <w:spacing w:after="80" w:before="40"/>
            </w:pPr>
            <w:r>
              <w:rPr>
                <w:rFonts w:ascii="Georgia" w:cs="Georgia" w:eastAsia="Georgia" w:hAnsi="Georgia"/>
                <w:color w:val="1F2937"/>
                <w:sz w:val="21"/>
                <w:szCs w:val="21"/>
              </w:rPr>
              <w:t xml:space="preserve">The essential design features: independent climate advisory body (not an executive branch council subject to gubernatorial dismissal, but a body with statutory appointment process and fixed terms); carbon budgets set across at least two gubernatorial terms; ratchet mechanism (targets may only be tightened); judicial review pathway for inadequate compliance plans (Ireland's 2020 Supreme Court ruling under the Climate Action Act is the model); and voter ratification of the core framework as insurance against legislative rollback.</w:t>
            </w:r>
          </w:p>
          <w:p>
            <w:pPr>
              <w:spacing w:after="80" w:before="40"/>
            </w:pPr>
            <w:r>
              <w:rPr>
                <w:rFonts w:ascii="Georgia" w:cs="Georgia" w:eastAsia="Georgia" w:hAnsi="Georgia"/>
                <w:color w:val="1F2937"/>
                <w:sz w:val="21"/>
                <w:szCs w:val="21"/>
              </w:rPr>
              <w:t xml:space="preserve">Priority states for near-term campaigns: Washington State (Climate Commitment Act already provides foundation — needs independent advisory body and judicial backstop), Colorado, Minnesota, New Jersey, Michigan. Pennsylvania and Wisconsin are medium-term targets with the right climate exposure and increasingly competitive legislative chambers.</w:t>
            </w:r>
          </w:p>
          <w:p>
            <w:pPr>
              <w:shd w:fill="FEF3C7" w:val="clear"/>
              <w:spacing w:after="0" w:before="100"/>
            </w:pPr>
            <w:r>
              <w:rPr>
                <w:rFonts w:ascii="Arial" w:cs="Arial" w:eastAsia="Arial" w:hAnsi="Arial"/>
                <w:b/>
                <w:bCs/>
                <w:color w:val="B45309"/>
                <w:sz w:val="19"/>
                <w:szCs w:val="19"/>
              </w:rPr>
              <w:t xml:space="preserve">Timing: </w:t>
            </w:r>
            <w:r>
              <w:rPr>
                <w:rFonts w:ascii="Arial" w:cs="Arial" w:eastAsia="Arial" w:hAnsi="Arial"/>
                <w:color w:val="1F2937"/>
                <w:sz w:val="19"/>
                <w:szCs w:val="19"/>
              </w:rPr>
              <w:t xml:space="preserve">Immediate in priority states; 3–6 year horizon for second tier  </w:t>
            </w:r>
            <w:r>
              <w:rPr>
                <w:rFonts w:ascii="Arial" w:cs="Arial" w:eastAsia="Arial" w:hAnsi="Arial"/>
                <w:b/>
                <w:bCs/>
                <w:color w:val="B45309"/>
                <w:sz w:val="19"/>
                <w:szCs w:val="19"/>
              </w:rPr>
              <w:t xml:space="preserve">Vehicle: </w:t>
            </w:r>
            <w:r>
              <w:rPr>
                <w:rFonts w:ascii="Arial" w:cs="Arial" w:eastAsia="Arial" w:hAnsi="Arial"/>
                <w:color w:val="1F2937"/>
                <w:sz w:val="19"/>
                <w:szCs w:val="19"/>
              </w:rPr>
              <w:t xml:space="preserve">State legislation; climate law clinics (Sabin Center, Georgetown Climate Center) can provide model drafts</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5FA3" w:val="clear"/>
            <w:tcMar>
              <w:top w:type="dxa" w:w="120"/>
              <w:left w:type="dxa" w:w="120"/>
              <w:bottom w:type="dxa" w:w="120"/>
              <w:right w:type="dxa" w:w="80"/>
            </w:tcMar>
            <w:vAlign w:val="top"/>
          </w:tcPr>
          <w:p>
            <w:pPr>
              <w:jc w:val="center"/>
            </w:pPr>
            <w:r>
              <w:rPr>
                <w:rFonts w:ascii="Arial" w:cs="Arial" w:eastAsia="Arial" w:hAnsi="Arial"/>
                <w:b/>
                <w:bCs/>
                <w:color w:val="FFFFFF"/>
                <w:sz w:val="26"/>
                <w:szCs w:val="26"/>
              </w:rPr>
              <w:t xml:space="preserve">23</w:t>
            </w:r>
          </w:p>
        </w:tc>
        <w:tc>
          <w:tcPr>
            <w:tcW w:type="dxa" w:w="8760"/>
            <w:tcBorders>
              <w:top w:val="single" w:color="CCCCCC" w:sz="1"/>
              <w:left w:val="single" w:color="CCCCCC" w:sz="1"/>
              <w:bottom w:val="single" w:color="CCCCCC" w:sz="1"/>
              <w:right w:val="single" w:color="CCCCCC" w:sz="1"/>
            </w:tcBorders>
            <w:tcMar>
              <w:top w:type="dxa" w:w="120"/>
              <w:left w:type="dxa" w:w="160"/>
              <w:bottom w:type="dxa" w:w="120"/>
              <w:right w:type="dxa" w:w="120"/>
            </w:tcMar>
          </w:tcPr>
          <w:p>
            <w:pPr>
              <w:spacing w:after="80" w:before="0"/>
            </w:pPr>
            <w:r>
              <w:rPr>
                <w:rFonts w:ascii="Arial" w:cs="Arial" w:eastAsia="Arial" w:hAnsi="Arial"/>
                <w:b/>
                <w:bCs/>
                <w:color w:val="1B2A4A"/>
                <w:sz w:val="24"/>
                <w:szCs w:val="24"/>
              </w:rPr>
              <w:t xml:space="preserve">State Constitutional Climate Amendments</w:t>
            </w:r>
          </w:p>
          <w:p>
            <w:pPr>
              <w:spacing w:after="80" w:before="40"/>
            </w:pPr>
            <w:r>
              <w:rPr>
                <w:rFonts w:ascii="Georgia" w:cs="Georgia" w:eastAsia="Georgia" w:hAnsi="Georgia"/>
                <w:color w:val="1F2937"/>
                <w:sz w:val="21"/>
                <w:szCs w:val="21"/>
              </w:rPr>
              <w:t xml:space="preserve">The Montana Supreme Court's 2023 ruling in Held v. Montana — upholding the constitutional right to a clean and healthful environment and striking down a provision that prohibited state agencies from considering climate impacts — demonstrates that state constitutional provisions can override legislative rollback attempts that would otherwise succeed through ordinary majoritarian politics.</w:t>
            </w:r>
          </w:p>
          <w:p>
            <w:pPr>
              <w:spacing w:after="80" w:before="40"/>
            </w:pPr>
            <w:r>
              <w:rPr>
                <w:rFonts w:ascii="Georgia" w:cs="Georgia" w:eastAsia="Georgia" w:hAnsi="Georgia"/>
                <w:color w:val="1F2937"/>
                <w:sz w:val="21"/>
                <w:szCs w:val="21"/>
              </w:rPr>
              <w:t xml:space="preserve">The prescription: climate advocates should prioritize citizen initiative campaigns for state constitutional amendments in states with accessible initiative processes, high climate exposure, and existing constitutional environment clauses that could be strengthened. Specifically: add explicit greenhouse gas and climate language to existing constitutional environmental provisions; establish a justiciable right to a stable climate for future generations; and require that state agencies consider climate impacts in permitting and planning decisions.</w:t>
            </w:r>
          </w:p>
          <w:p>
            <w:pPr>
              <w:spacing w:after="80" w:before="40"/>
            </w:pPr>
            <w:r>
              <w:rPr>
                <w:rFonts w:ascii="Georgia" w:cs="Georgia" w:eastAsia="Georgia" w:hAnsi="Georgia"/>
                <w:color w:val="1F2937"/>
                <w:sz w:val="21"/>
                <w:szCs w:val="21"/>
              </w:rPr>
              <w:t xml:space="preserve">Priority states with both initiative access and climate exposure: Arizona, Nevada, Colorado (already has constitutional environmental provisions to strengthen), Oregon, Montana (following and building on Held). The constitutional route is slower and harder but far more durable — it places climate protection above ordinary legislative majorities in a way that statutory frameworks cannot.</w:t>
            </w:r>
          </w:p>
          <w:p>
            <w:pPr>
              <w:shd w:fill="FEF3C7" w:val="clear"/>
              <w:spacing w:after="0" w:before="100"/>
            </w:pPr>
            <w:r>
              <w:rPr>
                <w:rFonts w:ascii="Arial" w:cs="Arial" w:eastAsia="Arial" w:hAnsi="Arial"/>
                <w:b/>
                <w:bCs/>
                <w:color w:val="B45309"/>
                <w:sz w:val="19"/>
                <w:szCs w:val="19"/>
              </w:rPr>
              <w:t xml:space="preserve">Timing: </w:t>
            </w:r>
            <w:r>
              <w:rPr>
                <w:rFonts w:ascii="Arial" w:cs="Arial" w:eastAsia="Arial" w:hAnsi="Arial"/>
                <w:color w:val="1F2937"/>
                <w:sz w:val="19"/>
                <w:szCs w:val="19"/>
              </w:rPr>
              <w:t xml:space="preserve">2–4 year horizon for initiative campaigns  </w:t>
            </w:r>
            <w:r>
              <w:rPr>
                <w:rFonts w:ascii="Arial" w:cs="Arial" w:eastAsia="Arial" w:hAnsi="Arial"/>
                <w:b/>
                <w:bCs/>
                <w:color w:val="B45309"/>
                <w:sz w:val="19"/>
                <w:szCs w:val="19"/>
              </w:rPr>
              <w:t xml:space="preserve">Vehicle: </w:t>
            </w:r>
            <w:r>
              <w:rPr>
                <w:rFonts w:ascii="Arial" w:cs="Arial" w:eastAsia="Arial" w:hAnsi="Arial"/>
                <w:color w:val="1F2937"/>
                <w:sz w:val="19"/>
                <w:szCs w:val="19"/>
              </w:rPr>
              <w:t xml:space="preserve">Citizen initiative; state constitutional amendment process</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5FA3" w:val="clear"/>
            <w:tcMar>
              <w:top w:type="dxa" w:w="120"/>
              <w:left w:type="dxa" w:w="120"/>
              <w:bottom w:type="dxa" w:w="120"/>
              <w:right w:type="dxa" w:w="80"/>
            </w:tcMar>
            <w:vAlign w:val="top"/>
          </w:tcPr>
          <w:p>
            <w:pPr>
              <w:jc w:val="center"/>
            </w:pPr>
            <w:r>
              <w:rPr>
                <w:rFonts w:ascii="Arial" w:cs="Arial" w:eastAsia="Arial" w:hAnsi="Arial"/>
                <w:b/>
                <w:bCs/>
                <w:color w:val="FFFFFF"/>
                <w:sz w:val="26"/>
                <w:szCs w:val="26"/>
              </w:rPr>
              <w:t xml:space="preserve">24</w:t>
            </w:r>
          </w:p>
        </w:tc>
        <w:tc>
          <w:tcPr>
            <w:tcW w:type="dxa" w:w="8760"/>
            <w:tcBorders>
              <w:top w:val="single" w:color="CCCCCC" w:sz="1"/>
              <w:left w:val="single" w:color="CCCCCC" w:sz="1"/>
              <w:bottom w:val="single" w:color="CCCCCC" w:sz="1"/>
              <w:right w:val="single" w:color="CCCCCC" w:sz="1"/>
            </w:tcBorders>
            <w:tcMar>
              <w:top w:type="dxa" w:w="120"/>
              <w:left w:type="dxa" w:w="160"/>
              <w:bottom w:type="dxa" w:w="120"/>
              <w:right w:type="dxa" w:w="120"/>
            </w:tcMar>
          </w:tcPr>
          <w:p>
            <w:pPr>
              <w:spacing w:after="80" w:before="0"/>
            </w:pPr>
            <w:r>
              <w:rPr>
                <w:rFonts w:ascii="Arial" w:cs="Arial" w:eastAsia="Arial" w:hAnsi="Arial"/>
                <w:b/>
                <w:bCs/>
                <w:color w:val="1B2A4A"/>
                <w:sz w:val="24"/>
                <w:szCs w:val="24"/>
              </w:rPr>
              <w:t xml:space="preserve">Interstate Climate Compacts: Expanding RGGI and Creating Regional Equivalents</w:t>
            </w:r>
          </w:p>
          <w:p>
            <w:pPr>
              <w:spacing w:after="80" w:before="40"/>
            </w:pPr>
            <w:r>
              <w:rPr>
                <w:rFonts w:ascii="Georgia" w:cs="Georgia" w:eastAsia="Georgia" w:hAnsi="Georgia"/>
                <w:color w:val="1F2937"/>
                <w:sz w:val="21"/>
                <w:szCs w:val="21"/>
              </w:rPr>
              <w:t xml:space="preserve">The Regional Greenhouse Gas Initiative (RGGI), covering 11 Northeast and Mid-Atlantic states, has survived multiple gubernatorial challenges and currently prices carbon across participating state power sectors. It is the most durable multi-state climate mechanism in U.S. history, and its survival through multiple hostile state administrations — including Virginia's temporary withdrawal and readmission — demonstrates the durability advantages of interstate compacts over single-state programs.</w:t>
            </w:r>
          </w:p>
          <w:p>
            <w:pPr>
              <w:spacing w:after="80" w:before="40"/>
            </w:pPr>
            <w:r>
              <w:rPr>
                <w:rFonts w:ascii="Georgia" w:cs="Georgia" w:eastAsia="Georgia" w:hAnsi="Georgia"/>
                <w:color w:val="1F2937"/>
                <w:sz w:val="21"/>
                <w:szCs w:val="21"/>
              </w:rPr>
              <w:t xml:space="preserve">The prescription: expand RGGI membership (Pennsylvania's participation, interrupted by legislative and gubernatorial conflict, should be restored); and create regional equivalents in other climate-exposed regions. The Midwest is the most underserved: a Great Plains and Midwest agricultural resilience compact focused on water security, soil carbon, and drought resilience — framed as agricultural and economic policy rather than climate policy — could attract Republican-governed farm states for whom climate change is a production risk even if it is not an ideological concern.</w:t>
            </w:r>
          </w:p>
          <w:p>
            <w:pPr>
              <w:spacing w:after="80" w:before="40"/>
            </w:pPr>
            <w:r>
              <w:rPr>
                <w:rFonts w:ascii="Georgia" w:cs="Georgia" w:eastAsia="Georgia" w:hAnsi="Georgia"/>
                <w:color w:val="1F2937"/>
                <w:sz w:val="21"/>
                <w:szCs w:val="21"/>
              </w:rPr>
              <w:t xml:space="preserve">The agricultural framing is not rhetorical misdirection — it is the accurate description of what climate change means for corn, wheat, and soy production in the interior. A Midwest climate resilience compact that helps farmers adapt to changing precipitation patterns and reduced snowpack is climate policy that is legible to the audiences it most needs to reach.</w:t>
            </w:r>
          </w:p>
          <w:p>
            <w:pPr>
              <w:shd w:fill="FEF3C7" w:val="clear"/>
              <w:spacing w:after="0" w:before="100"/>
            </w:pPr>
            <w:r>
              <w:rPr>
                <w:rFonts w:ascii="Arial" w:cs="Arial" w:eastAsia="Arial" w:hAnsi="Arial"/>
                <w:b/>
                <w:bCs/>
                <w:color w:val="B45309"/>
                <w:sz w:val="19"/>
                <w:szCs w:val="19"/>
              </w:rPr>
              <w:t xml:space="preserve">Timing: </w:t>
            </w:r>
            <w:r>
              <w:rPr>
                <w:rFonts w:ascii="Arial" w:cs="Arial" w:eastAsia="Arial" w:hAnsi="Arial"/>
                <w:color w:val="1F2937"/>
                <w:sz w:val="19"/>
                <w:szCs w:val="19"/>
              </w:rPr>
              <w:t xml:space="preserve">Immediate for RGGI expansion; 3–5 years for Midwest compact  </w:t>
            </w:r>
            <w:r>
              <w:rPr>
                <w:rFonts w:ascii="Arial" w:cs="Arial" w:eastAsia="Arial" w:hAnsi="Arial"/>
                <w:b/>
                <w:bCs/>
                <w:color w:val="B45309"/>
                <w:sz w:val="19"/>
                <w:szCs w:val="19"/>
              </w:rPr>
              <w:t xml:space="preserve">Vehicle: </w:t>
            </w:r>
            <w:r>
              <w:rPr>
                <w:rFonts w:ascii="Arial" w:cs="Arial" w:eastAsia="Arial" w:hAnsi="Arial"/>
                <w:color w:val="1F2937"/>
                <w:sz w:val="19"/>
                <w:szCs w:val="19"/>
              </w:rPr>
              <w:t xml:space="preserve">Interstate compact; congressional consent may be needed for Midwest version (Article I, Section 10)</w:t>
            </w:r>
          </w:p>
        </w:tc>
      </w:tr>
    </w:tbl>
    <w:p>
      <w:pPr>
        <w:spacing w:after="0" w:before="0"/>
      </w:pPr>
      <w:r>
        <w:rPr>
          <w:sz w:val="12"/>
          <w:szCs w:val="12"/>
        </w:rPr>
        <w:t xml:space="preserve"/>
      </w:r>
    </w:p>
    <w:p>
      <w:pPr>
        <w:spacing w:after="0" w:before="0"/>
      </w:pPr>
      <w:r>
        <w:rPr>
          <w:sz w:val="16"/>
          <w:szCs w:val="16"/>
        </w:rPr>
        <w:t xml:space="preserve"/>
      </w:r>
    </w:p>
    <w:p>
      <w:pPr>
        <w:spacing w:after="80" w:before="0"/>
      </w:pPr>
      <w:r>
        <w:rPr>
          <w:rFonts w:ascii="Arial" w:cs="Arial" w:eastAsia="Arial" w:hAnsi="Arial"/>
          <w:b/>
          <w:bCs/>
          <w:caps/>
          <w:color w:val="2E5FA3"/>
          <w:spacing w:val="60"/>
          <w:sz w:val="20"/>
          <w:szCs w:val="20"/>
        </w:rPr>
        <w:t xml:space="preserve">INTERNATIONAL</w:t>
      </w:r>
    </w:p>
    <w:p>
      <w:pPr>
        <w:pBdr>
          <w:bottom w:val="single" w:color="D6E4F7" w:sz="3" w:space="1"/>
        </w:pBdr>
        <w:spacing w:after="0" w:before="0"/>
      </w:pPr>
      <w:r>
        <w:t xml:space="preserve"/>
      </w:r>
    </w:p>
    <w:p>
      <w:pPr>
        <w:spacing w:after="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5FA3" w:val="clear"/>
            <w:tcMar>
              <w:top w:type="dxa" w:w="120"/>
              <w:left w:type="dxa" w:w="120"/>
              <w:bottom w:type="dxa" w:w="120"/>
              <w:right w:type="dxa" w:w="80"/>
            </w:tcMar>
            <w:vAlign w:val="top"/>
          </w:tcPr>
          <w:p>
            <w:pPr>
              <w:jc w:val="center"/>
            </w:pPr>
            <w:r>
              <w:rPr>
                <w:rFonts w:ascii="Arial" w:cs="Arial" w:eastAsia="Arial" w:hAnsi="Arial"/>
                <w:b/>
                <w:bCs/>
                <w:color w:val="FFFFFF"/>
                <w:sz w:val="26"/>
                <w:szCs w:val="26"/>
              </w:rPr>
              <w:t xml:space="preserve">25</w:t>
            </w:r>
          </w:p>
        </w:tc>
        <w:tc>
          <w:tcPr>
            <w:tcW w:type="dxa" w:w="8760"/>
            <w:tcBorders>
              <w:top w:val="single" w:color="CCCCCC" w:sz="1"/>
              <w:left w:val="single" w:color="CCCCCC" w:sz="1"/>
              <w:bottom w:val="single" w:color="CCCCCC" w:sz="1"/>
              <w:right w:val="single" w:color="CCCCCC" w:sz="1"/>
            </w:tcBorders>
            <w:tcMar>
              <w:top w:type="dxa" w:w="120"/>
              <w:left w:type="dxa" w:w="160"/>
              <w:bottom w:type="dxa" w:w="120"/>
              <w:right w:type="dxa" w:w="120"/>
            </w:tcMar>
          </w:tcPr>
          <w:p>
            <w:pPr>
              <w:spacing w:after="80" w:before="0"/>
            </w:pPr>
            <w:r>
              <w:rPr>
                <w:rFonts w:ascii="Arial" w:cs="Arial" w:eastAsia="Arial" w:hAnsi="Arial"/>
                <w:b/>
                <w:bCs/>
                <w:color w:val="1B2A4A"/>
                <w:sz w:val="24"/>
                <w:szCs w:val="24"/>
              </w:rPr>
              <w:t xml:space="preserve">Paris Agreement Recommitment with Structural Credibility Repair</w:t>
            </w:r>
          </w:p>
          <w:p>
            <w:pPr>
              <w:spacing w:after="80" w:before="40"/>
            </w:pPr>
            <w:r>
              <w:rPr>
                <w:rFonts w:ascii="Georgia" w:cs="Georgia" w:eastAsia="Georgia" w:hAnsi="Georgia"/>
                <w:color w:val="1F2937"/>
                <w:sz w:val="21"/>
                <w:szCs w:val="21"/>
              </w:rPr>
              <w:t xml:space="preserve">Two U.S. withdrawals from Paris in eight years have severely damaged U.S. credibility as a treaty partner. The damage is not merely diplomatic — it has material climate consequences. A 2024 study estimated that U.S. non-participation during the first Trump term lowered achieved global emission reductions by 38.2%. Future recommitment will face a credibility deficit that executive action alone cannot overcome.</w:t>
            </w:r>
          </w:p>
          <w:p>
            <w:pPr>
              <w:spacing w:after="80" w:before="40"/>
            </w:pPr>
            <w:r>
              <w:rPr>
                <w:rFonts w:ascii="Georgia" w:cs="Georgia" w:eastAsia="Georgia" w:hAnsi="Georgia"/>
                <w:color w:val="1F2937"/>
                <w:sz w:val="21"/>
                <w:szCs w:val="21"/>
              </w:rPr>
              <w:t xml:space="preserve">The prescription: the next favorable administration should re-enter Paris under Article 21 (30-day effective date) on Day 1. But recommitment alone is insufficient — credibility repair requires institutional structure. This means: submitting an enhanced NDC consistent with 1.5°C, drafted with independent scientific review; pursuing congressional authorization of U.S. Paris participation (not ratification as a treaty, which faces a Senate supermajority obstacle, but a joint resolution of approval that makes withdrawal substantially harder); and creating a statutory reporting requirement that mandates annual progress reports to Congress on NDC implementation.</w:t>
            </w:r>
          </w:p>
          <w:p>
            <w:pPr>
              <w:spacing w:after="80" w:before="40"/>
            </w:pPr>
            <w:r>
              <w:rPr>
                <w:rFonts w:ascii="Georgia" w:cs="Georgia" w:eastAsia="Georgia" w:hAnsi="Georgia"/>
                <w:color w:val="1F2937"/>
                <w:sz w:val="21"/>
                <w:szCs w:val="21"/>
              </w:rPr>
              <w:t xml:space="preserve">The congressional authorization approach is underexplored. A joint resolution supporting U.S. Paris participation, passed with bipartisan support, would not legally bind a future President — Article II authority cannot be constrained by statute on treaty matters — but it would make withdrawal a visible act of defiance against congressional will, substantially raising the political cost. The ACA parallel is instructive: the individual mandate's repeal was technically clean, but the political cost of the broader ACA repeal attempt was severe enough to fail despite Republican majorities.</w:t>
            </w:r>
          </w:p>
          <w:p>
            <w:pPr>
              <w:shd w:fill="FEF3C7" w:val="clear"/>
              <w:spacing w:after="0" w:before="100"/>
            </w:pPr>
            <w:r>
              <w:rPr>
                <w:rFonts w:ascii="Arial" w:cs="Arial" w:eastAsia="Arial" w:hAnsi="Arial"/>
                <w:b/>
                <w:bCs/>
                <w:color w:val="B45309"/>
                <w:sz w:val="19"/>
                <w:szCs w:val="19"/>
              </w:rPr>
              <w:t xml:space="preserve">Timing: </w:t>
            </w:r>
            <w:r>
              <w:rPr>
                <w:rFonts w:ascii="Arial" w:cs="Arial" w:eastAsia="Arial" w:hAnsi="Arial"/>
                <w:color w:val="1F2937"/>
                <w:sz w:val="19"/>
                <w:szCs w:val="19"/>
              </w:rPr>
              <w:t xml:space="preserve">Immediate by executive action; medium-term for congressional authorization  </w:t>
            </w:r>
            <w:r>
              <w:rPr>
                <w:rFonts w:ascii="Arial" w:cs="Arial" w:eastAsia="Arial" w:hAnsi="Arial"/>
                <w:b/>
                <w:bCs/>
                <w:color w:val="B45309"/>
                <w:sz w:val="19"/>
                <w:szCs w:val="19"/>
              </w:rPr>
              <w:t xml:space="preserve">Vehicle: </w:t>
            </w:r>
            <w:r>
              <w:rPr>
                <w:rFonts w:ascii="Arial" w:cs="Arial" w:eastAsia="Arial" w:hAnsi="Arial"/>
                <w:color w:val="1F2937"/>
                <w:sz w:val="19"/>
                <w:szCs w:val="19"/>
              </w:rPr>
              <w:t xml:space="preserve">Executive re-entry under Art. 21; Joint Resolution of Support in Senate</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5FA3" w:val="clear"/>
            <w:tcMar>
              <w:top w:type="dxa" w:w="120"/>
              <w:left w:type="dxa" w:w="120"/>
              <w:bottom w:type="dxa" w:w="120"/>
              <w:right w:type="dxa" w:w="80"/>
            </w:tcMar>
            <w:vAlign w:val="top"/>
          </w:tcPr>
          <w:p>
            <w:pPr>
              <w:jc w:val="center"/>
            </w:pPr>
            <w:r>
              <w:rPr>
                <w:rFonts w:ascii="Arial" w:cs="Arial" w:eastAsia="Arial" w:hAnsi="Arial"/>
                <w:b/>
                <w:bCs/>
                <w:color w:val="FFFFFF"/>
                <w:sz w:val="26"/>
                <w:szCs w:val="26"/>
              </w:rPr>
              <w:t xml:space="preserve">26</w:t>
            </w:r>
          </w:p>
        </w:tc>
        <w:tc>
          <w:tcPr>
            <w:tcW w:type="dxa" w:w="8760"/>
            <w:tcBorders>
              <w:top w:val="single" w:color="CCCCCC" w:sz="1"/>
              <w:left w:val="single" w:color="CCCCCC" w:sz="1"/>
              <w:bottom w:val="single" w:color="CCCCCC" w:sz="1"/>
              <w:right w:val="single" w:color="CCCCCC" w:sz="1"/>
            </w:tcBorders>
            <w:tcMar>
              <w:top w:type="dxa" w:w="120"/>
              <w:left w:type="dxa" w:w="160"/>
              <w:bottom w:type="dxa" w:w="120"/>
              <w:right w:type="dxa" w:w="120"/>
            </w:tcMar>
          </w:tcPr>
          <w:p>
            <w:pPr>
              <w:spacing w:after="80" w:before="0"/>
            </w:pPr>
            <w:r>
              <w:rPr>
                <w:rFonts w:ascii="Arial" w:cs="Arial" w:eastAsia="Arial" w:hAnsi="Arial"/>
                <w:b/>
                <w:bCs/>
                <w:color w:val="1B2A4A"/>
                <w:sz w:val="24"/>
                <w:szCs w:val="24"/>
              </w:rPr>
              <w:t xml:space="preserve">Bilateral Climate Cooperation with China: Separating Climate from Geopolitics</w:t>
            </w:r>
          </w:p>
          <w:p>
            <w:pPr>
              <w:spacing w:after="80" w:before="40"/>
            </w:pPr>
            <w:r>
              <w:rPr>
                <w:rFonts w:ascii="Georgia" w:cs="Georgia" w:eastAsia="Georgia" w:hAnsi="Georgia"/>
                <w:color w:val="1F2937"/>
                <w:sz w:val="21"/>
                <w:szCs w:val="21"/>
              </w:rPr>
              <w:t xml:space="preserve">China is responsible for roughly 30% of current global GHG emissions. No climate trajectory that stabilizes temperature is achievable without Chinese participation. Yet U.S.-China climate cooperation — which survived the first Trump term through sub-cabinet technical channels even as other bilateral relationships deteriorated — has been essentially suspended since 2025.</w:t>
            </w:r>
          </w:p>
          <w:p>
            <w:pPr>
              <w:spacing w:after="80" w:before="40"/>
            </w:pPr>
            <w:r>
              <w:rPr>
                <w:rFonts w:ascii="Georgia" w:cs="Georgia" w:eastAsia="Georgia" w:hAnsi="Georgia"/>
                <w:color w:val="1F2937"/>
                <w:sz w:val="21"/>
                <w:szCs w:val="21"/>
              </w:rPr>
              <w:t xml:space="preserve">The prescription: a dedicated U.S.-China Climate Technical Cooperation Channel should be maintained at the sub-cabinet level (Assistant Secretary or Special Envoy equivalent) through all states of the bilateral relationship, explicitly and institutionally separated from security, trade, and human rights channels. This is not a concession — it is operational necessity. The mechanism: a standing bilateral climate working group with quarterly technical exchanges, jointly administered through national academies of science to provide institutional insulation from political disruption.</w:t>
            </w:r>
          </w:p>
          <w:p>
            <w:pPr>
              <w:spacing w:after="80" w:before="40"/>
            </w:pPr>
            <w:r>
              <w:rPr>
                <w:rFonts w:ascii="Georgia" w:cs="Georgia" w:eastAsia="Georgia" w:hAnsi="Georgia"/>
                <w:color w:val="1F2937"/>
                <w:sz w:val="21"/>
                <w:szCs w:val="21"/>
              </w:rPr>
              <w:t xml:space="preserve">The framing to climate-skeptic audiences: the United States ceding climate leadership to China does not prevent climate change — it determines whether the United States or China sets the standards, controls the technology, and leads the industries that will define the global energy economy. U.S. disengagement from climate diplomacy is a gift to Chinese competitive positioning, not a rebuke of climate science.</w:t>
            </w:r>
          </w:p>
          <w:p>
            <w:pPr>
              <w:shd w:fill="FEF3C7" w:val="clear"/>
              <w:spacing w:after="0" w:before="100"/>
            </w:pPr>
            <w:r>
              <w:rPr>
                <w:rFonts w:ascii="Arial" w:cs="Arial" w:eastAsia="Arial" w:hAnsi="Arial"/>
                <w:b/>
                <w:bCs/>
                <w:color w:val="B45309"/>
                <w:sz w:val="19"/>
                <w:szCs w:val="19"/>
              </w:rPr>
              <w:t xml:space="preserve">Timing: </w:t>
            </w:r>
            <w:r>
              <w:rPr>
                <w:rFonts w:ascii="Arial" w:cs="Arial" w:eastAsia="Arial" w:hAnsi="Arial"/>
                <w:color w:val="1F2937"/>
                <w:sz w:val="19"/>
                <w:szCs w:val="19"/>
              </w:rPr>
              <w:t xml:space="preserve">Immediate by executive action; requires only State Department willingness  </w:t>
            </w:r>
            <w:r>
              <w:rPr>
                <w:rFonts w:ascii="Arial" w:cs="Arial" w:eastAsia="Arial" w:hAnsi="Arial"/>
                <w:b/>
                <w:bCs/>
                <w:color w:val="B45309"/>
                <w:sz w:val="19"/>
                <w:szCs w:val="19"/>
              </w:rPr>
              <w:t xml:space="preserve">Vehicle: </w:t>
            </w:r>
            <w:r>
              <w:rPr>
                <w:rFonts w:ascii="Arial" w:cs="Arial" w:eastAsia="Arial" w:hAnsi="Arial"/>
                <w:color w:val="1F2937"/>
                <w:sz w:val="19"/>
                <w:szCs w:val="19"/>
              </w:rPr>
              <w:t xml:space="preserve">Executive diplomatic channel; State Department authorization</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5FA3" w:val="clear"/>
            <w:tcMar>
              <w:top w:type="dxa" w:w="120"/>
              <w:left w:type="dxa" w:w="120"/>
              <w:bottom w:type="dxa" w:w="120"/>
              <w:right w:type="dxa" w:w="80"/>
            </w:tcMar>
            <w:vAlign w:val="top"/>
          </w:tcPr>
          <w:p>
            <w:pPr>
              <w:jc w:val="center"/>
            </w:pPr>
            <w:r>
              <w:rPr>
                <w:rFonts w:ascii="Arial" w:cs="Arial" w:eastAsia="Arial" w:hAnsi="Arial"/>
                <w:b/>
                <w:bCs/>
                <w:color w:val="FFFFFF"/>
                <w:sz w:val="26"/>
                <w:szCs w:val="26"/>
              </w:rPr>
              <w:t xml:space="preserve">27</w:t>
            </w:r>
          </w:p>
        </w:tc>
        <w:tc>
          <w:tcPr>
            <w:tcW w:type="dxa" w:w="8760"/>
            <w:tcBorders>
              <w:top w:val="single" w:color="CCCCCC" w:sz="1"/>
              <w:left w:val="single" w:color="CCCCCC" w:sz="1"/>
              <w:bottom w:val="single" w:color="CCCCCC" w:sz="1"/>
              <w:right w:val="single" w:color="CCCCCC" w:sz="1"/>
            </w:tcBorders>
            <w:tcMar>
              <w:top w:type="dxa" w:w="120"/>
              <w:left w:type="dxa" w:w="160"/>
              <w:bottom w:type="dxa" w:w="120"/>
              <w:right w:type="dxa" w:w="120"/>
            </w:tcMar>
          </w:tcPr>
          <w:p>
            <w:pPr>
              <w:spacing w:after="80" w:before="0"/>
            </w:pPr>
            <w:r>
              <w:rPr>
                <w:rFonts w:ascii="Arial" w:cs="Arial" w:eastAsia="Arial" w:hAnsi="Arial"/>
                <w:b/>
                <w:bCs/>
                <w:color w:val="1B2A4A"/>
                <w:sz w:val="24"/>
                <w:szCs w:val="24"/>
              </w:rPr>
              <w:t xml:space="preserve">Loss and Damage Fund: Strategic Investment in Source-Country Resilience</w:t>
            </w:r>
          </w:p>
          <w:p>
            <w:pPr>
              <w:spacing w:after="80" w:before="40"/>
            </w:pPr>
            <w:r>
              <w:rPr>
                <w:rFonts w:ascii="Georgia" w:cs="Georgia" w:eastAsia="Georgia" w:hAnsi="Georgia"/>
                <w:color w:val="1F2937"/>
                <w:sz w:val="21"/>
                <w:szCs w:val="21"/>
              </w:rPr>
              <w:t xml:space="preserve">The Loss and Damage fund established at COP27 is intended to compensate climate-vulnerable countries for climate impacts they did not cause. The U.S. contributed $17.5 million at COP28 — a figure that, as one analysis put it, 'could be covered by a rounding error in the Pentagon budget' — and Trump II has contributed nothing.</w:t>
            </w:r>
          </w:p>
          <w:p>
            <w:pPr>
              <w:spacing w:after="80" w:before="40"/>
            </w:pPr>
            <w:r>
              <w:rPr>
                <w:rFonts w:ascii="Georgia" w:cs="Georgia" w:eastAsia="Georgia" w:hAnsi="Georgia"/>
                <w:color w:val="1F2937"/>
                <w:sz w:val="21"/>
                <w:szCs w:val="21"/>
              </w:rPr>
              <w:t xml:space="preserve">The case for U.S. Loss and Damage funding is not primarily humanitarian (though it is that). It is strategic: the climate-migration-populism causal chain documented in the literature review shows that climate disasters in vulnerable countries drive displacement that generates migration flows that fuel nativist backlash in receiving democracies including the United States. Investment in source-country climate resilience is, in part, investment in reducing the migration-driven political destabilization that the essay argues is a mechanism of democratic erosion.</w:t>
            </w:r>
          </w:p>
          <w:p>
            <w:pPr>
              <w:spacing w:after="80" w:before="40"/>
            </w:pPr>
            <w:r>
              <w:rPr>
                <w:rFonts w:ascii="Georgia" w:cs="Georgia" w:eastAsia="Georgia" w:hAnsi="Georgia"/>
                <w:color w:val="1F2937"/>
                <w:sz w:val="21"/>
                <w:szCs w:val="21"/>
              </w:rPr>
              <w:t xml:space="preserve">The prescription: the next favorable administration should commit $2B/year to the Loss and Damage fund and pursue congressional authorization of a standing appropriation. Framing: this is a national security investment in reducing the conditions that generate migration flows and political instability. The ROI calculation is the same as pre-disaster mitigation: $1 invested in resilience in Bangladesh or Mozambique prevents $15 in management costs downstream, some of which the United States will bear regardless.</w:t>
            </w:r>
          </w:p>
          <w:p>
            <w:pPr>
              <w:shd w:fill="FEF3C7" w:val="clear"/>
              <w:spacing w:after="0" w:before="100"/>
            </w:pPr>
            <w:r>
              <w:rPr>
                <w:rFonts w:ascii="Arial" w:cs="Arial" w:eastAsia="Arial" w:hAnsi="Arial"/>
                <w:b/>
                <w:bCs/>
                <w:color w:val="B45309"/>
                <w:sz w:val="19"/>
                <w:szCs w:val="19"/>
              </w:rPr>
              <w:t xml:space="preserve">Timing: </w:t>
            </w:r>
            <w:r>
              <w:rPr>
                <w:rFonts w:ascii="Arial" w:cs="Arial" w:eastAsia="Arial" w:hAnsi="Arial"/>
                <w:color w:val="1F2937"/>
                <w:sz w:val="19"/>
                <w:szCs w:val="19"/>
              </w:rPr>
              <w:t xml:space="preserve">Immediate by executive commitment; medium-term for statutory authorization  </w:t>
            </w:r>
            <w:r>
              <w:rPr>
                <w:rFonts w:ascii="Arial" w:cs="Arial" w:eastAsia="Arial" w:hAnsi="Arial"/>
                <w:b/>
                <w:bCs/>
                <w:color w:val="B45309"/>
                <w:sz w:val="19"/>
                <w:szCs w:val="19"/>
              </w:rPr>
              <w:t xml:space="preserve">Vehicle: </w:t>
            </w:r>
            <w:r>
              <w:rPr>
                <w:rFonts w:ascii="Arial" w:cs="Arial" w:eastAsia="Arial" w:hAnsi="Arial"/>
                <w:color w:val="1F2937"/>
                <w:sz w:val="19"/>
                <w:szCs w:val="19"/>
              </w:rPr>
              <w:t xml:space="preserve">Executive pledge; supplemental foreign assistance appropriation</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5FA3" w:val="clear"/>
            <w:tcMar>
              <w:top w:type="dxa" w:w="120"/>
              <w:left w:type="dxa" w:w="120"/>
              <w:bottom w:type="dxa" w:w="120"/>
              <w:right w:type="dxa" w:w="80"/>
            </w:tcMar>
            <w:vAlign w:val="top"/>
          </w:tcPr>
          <w:p>
            <w:pPr>
              <w:jc w:val="center"/>
            </w:pPr>
            <w:r>
              <w:rPr>
                <w:rFonts w:ascii="Arial" w:cs="Arial" w:eastAsia="Arial" w:hAnsi="Arial"/>
                <w:b/>
                <w:bCs/>
                <w:color w:val="FFFFFF"/>
                <w:sz w:val="26"/>
                <w:szCs w:val="26"/>
              </w:rPr>
              <w:t xml:space="preserve">28</w:t>
            </w:r>
          </w:p>
        </w:tc>
        <w:tc>
          <w:tcPr>
            <w:tcW w:type="dxa" w:w="8760"/>
            <w:tcBorders>
              <w:top w:val="single" w:color="CCCCCC" w:sz="1"/>
              <w:left w:val="single" w:color="CCCCCC" w:sz="1"/>
              <w:bottom w:val="single" w:color="CCCCCC" w:sz="1"/>
              <w:right w:val="single" w:color="CCCCCC" w:sz="1"/>
            </w:tcBorders>
            <w:tcMar>
              <w:top w:type="dxa" w:w="120"/>
              <w:left w:type="dxa" w:w="160"/>
              <w:bottom w:type="dxa" w:w="120"/>
              <w:right w:type="dxa" w:w="120"/>
            </w:tcMar>
          </w:tcPr>
          <w:p>
            <w:pPr>
              <w:spacing w:after="80" w:before="0"/>
            </w:pPr>
            <w:r>
              <w:rPr>
                <w:rFonts w:ascii="Arial" w:cs="Arial" w:eastAsia="Arial" w:hAnsi="Arial"/>
                <w:b/>
                <w:bCs/>
                <w:color w:val="1B2A4A"/>
                <w:sz w:val="24"/>
                <w:szCs w:val="24"/>
              </w:rPr>
              <w:t xml:space="preserve">WTO Carbon Border Adjustment Architecture</w:t>
            </w:r>
          </w:p>
          <w:p>
            <w:pPr>
              <w:spacing w:after="80" w:before="40"/>
            </w:pPr>
            <w:r>
              <w:rPr>
                <w:rFonts w:ascii="Georgia" w:cs="Georgia" w:eastAsia="Georgia" w:hAnsi="Georgia"/>
                <w:color w:val="1F2937"/>
                <w:sz w:val="21"/>
                <w:szCs w:val="21"/>
              </w:rPr>
              <w:t xml:space="preserve">The EU's CBAM, the UK's equivalent mechanism, and emerging proposals in Canada and Japan are creating a de facto international carbon pricing floor through trade policy. The United States, lacking domestic carbon pricing, risks both competitive disadvantage for its exporters and exclusion from the architecture-setting discussions that will define global trade rules for the remainder of the century.</w:t>
            </w:r>
          </w:p>
          <w:p>
            <w:pPr>
              <w:spacing w:after="80" w:before="40"/>
            </w:pPr>
            <w:r>
              <w:rPr>
                <w:rFonts w:ascii="Georgia" w:cs="Georgia" w:eastAsia="Georgia" w:hAnsi="Georgia"/>
                <w:color w:val="1F2937"/>
                <w:sz w:val="21"/>
                <w:szCs w:val="21"/>
              </w:rPr>
              <w:t xml:space="preserve">The prescription: the United States should engage proactively in WTO discussions on carbon border adjustment to ensure U.S. participation in rulemaking rather than subjection to rules set by others. Specifically: pursue mutual recognition agreements with CBAM-implementing countries (prescription 17 addresses EU bilaterally); advocate within WTO for a multilateral framework that counts domestic sectoral performance standards as equivalent to carbon pricing for CBAM purposes; and work through OECD to develop globally consistent methodologies for embodied carbon accounting.</w:t>
            </w:r>
          </w:p>
          <w:p>
            <w:pPr>
              <w:spacing w:after="80" w:before="40"/>
            </w:pPr>
            <w:r>
              <w:rPr>
                <w:rFonts w:ascii="Georgia" w:cs="Georgia" w:eastAsia="Georgia" w:hAnsi="Georgia"/>
                <w:color w:val="1F2937"/>
                <w:sz w:val="21"/>
                <w:szCs w:val="21"/>
              </w:rPr>
              <w:t xml:space="preserve">This is trade and industrial competitiveness policy that also has climate content. It is available to administrations that cannot or will not advance domestic carbon pricing, because it is responsive to the external pressure of foreign border adjustment rather than driven by domestic climate advocacy. The coalition for this prescription includes steel, aluminum, and chemical manufacturers who face CBAM tariffs — a business constituency that cuts across the usual climate politics.</w:t>
            </w:r>
          </w:p>
          <w:p>
            <w:pPr>
              <w:shd w:fill="FEF3C7" w:val="clear"/>
              <w:spacing w:after="0" w:before="100"/>
            </w:pPr>
            <w:r>
              <w:rPr>
                <w:rFonts w:ascii="Arial" w:cs="Arial" w:eastAsia="Arial" w:hAnsi="Arial"/>
                <w:b/>
                <w:bCs/>
                <w:color w:val="B45309"/>
                <w:sz w:val="19"/>
                <w:szCs w:val="19"/>
              </w:rPr>
              <w:t xml:space="preserve">Timing: </w:t>
            </w:r>
            <w:r>
              <w:rPr>
                <w:rFonts w:ascii="Arial" w:cs="Arial" w:eastAsia="Arial" w:hAnsi="Arial"/>
                <w:color w:val="1F2937"/>
                <w:sz w:val="19"/>
                <w:szCs w:val="19"/>
              </w:rPr>
              <w:t xml:space="preserve">Immediate — USTR negotiating engagement requires no legislation  </w:t>
            </w:r>
            <w:r>
              <w:rPr>
                <w:rFonts w:ascii="Arial" w:cs="Arial" w:eastAsia="Arial" w:hAnsi="Arial"/>
                <w:b/>
                <w:bCs/>
                <w:color w:val="B45309"/>
                <w:sz w:val="19"/>
                <w:szCs w:val="19"/>
              </w:rPr>
              <w:t xml:space="preserve">Vehicle: </w:t>
            </w:r>
            <w:r>
              <w:rPr>
                <w:rFonts w:ascii="Arial" w:cs="Arial" w:eastAsia="Arial" w:hAnsi="Arial"/>
                <w:color w:val="1F2937"/>
                <w:sz w:val="19"/>
                <w:szCs w:val="19"/>
              </w:rPr>
              <w:t xml:space="preserve">USTR multilateral engagement; WTO plurilateral agreement</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5FA3" w:val="clear"/>
            <w:tcMar>
              <w:top w:type="dxa" w:w="120"/>
              <w:left w:type="dxa" w:w="120"/>
              <w:bottom w:type="dxa" w:w="120"/>
              <w:right w:type="dxa" w:w="80"/>
            </w:tcMar>
            <w:vAlign w:val="top"/>
          </w:tcPr>
          <w:p>
            <w:pPr>
              <w:jc w:val="center"/>
            </w:pPr>
            <w:r>
              <w:rPr>
                <w:rFonts w:ascii="Arial" w:cs="Arial" w:eastAsia="Arial" w:hAnsi="Arial"/>
                <w:b/>
                <w:bCs/>
                <w:color w:val="FFFFFF"/>
                <w:sz w:val="26"/>
                <w:szCs w:val="26"/>
              </w:rPr>
              <w:t xml:space="preserve">29</w:t>
            </w:r>
          </w:p>
        </w:tc>
        <w:tc>
          <w:tcPr>
            <w:tcW w:type="dxa" w:w="8760"/>
            <w:tcBorders>
              <w:top w:val="single" w:color="CCCCCC" w:sz="1"/>
              <w:left w:val="single" w:color="CCCCCC" w:sz="1"/>
              <w:bottom w:val="single" w:color="CCCCCC" w:sz="1"/>
              <w:right w:val="single" w:color="CCCCCC" w:sz="1"/>
            </w:tcBorders>
            <w:tcMar>
              <w:top w:type="dxa" w:w="120"/>
              <w:left w:type="dxa" w:w="160"/>
              <w:bottom w:type="dxa" w:w="120"/>
              <w:right w:type="dxa" w:w="120"/>
            </w:tcMar>
          </w:tcPr>
          <w:p>
            <w:pPr>
              <w:spacing w:after="80" w:before="0"/>
            </w:pPr>
            <w:r>
              <w:rPr>
                <w:rFonts w:ascii="Arial" w:cs="Arial" w:eastAsia="Arial" w:hAnsi="Arial"/>
                <w:b/>
                <w:bCs/>
                <w:color w:val="1B2A4A"/>
                <w:sz w:val="24"/>
                <w:szCs w:val="24"/>
              </w:rPr>
              <w:t xml:space="preserve">U.S.-India Clean Energy Partnership: The Strategic Pivot</w:t>
            </w:r>
          </w:p>
          <w:p>
            <w:pPr>
              <w:spacing w:after="80" w:before="40"/>
            </w:pPr>
            <w:r>
              <w:rPr>
                <w:rFonts w:ascii="Georgia" w:cs="Georgia" w:eastAsia="Georgia" w:hAnsi="Georgia"/>
                <w:color w:val="1F2937"/>
                <w:sz w:val="21"/>
                <w:szCs w:val="21"/>
              </w:rPr>
              <w:t xml:space="preserve">India will determine more of the global emissions trajectory over the next 50 years than any country other than China. It is urbanizing rapidly, building out infrastructure at enormous scale, and making energy investment decisions now that will be locked in for decades. It is also the world's largest democracy, with institutional vulnerabilities to climate-related stress that the essay's literature directly addresses — rising temperatures that threaten agricultural productivity, water security challenges, and climate migration dynamics within the subcontinent.</w:t>
            </w:r>
          </w:p>
          <w:p>
            <w:pPr>
              <w:spacing w:after="80" w:before="40"/>
            </w:pPr>
            <w:r>
              <w:rPr>
                <w:rFonts w:ascii="Georgia" w:cs="Georgia" w:eastAsia="Georgia" w:hAnsi="Georgia"/>
                <w:color w:val="1F2937"/>
                <w:sz w:val="21"/>
                <w:szCs w:val="21"/>
              </w:rPr>
              <w:t xml:space="preserve">The prescription: expand the U.S.-India Clean Energy Partnership established under the Biden administration with a substantially larger financing package — $10B in concessional financing and technology transfer over 10 years, focused on utility-scale solar manufacturing, battery storage, and grid modernization. Tie partnership financing explicitly to India's domestic manufacturing development (following India's own industrial policy goals) rather than to U.S. technology exports alone.</w:t>
            </w:r>
          </w:p>
          <w:p>
            <w:pPr>
              <w:spacing w:after="80" w:before="40"/>
            </w:pPr>
            <w:r>
              <w:rPr>
                <w:rFonts w:ascii="Georgia" w:cs="Georgia" w:eastAsia="Georgia" w:hAnsi="Georgia"/>
                <w:color w:val="1F2937"/>
                <w:sz w:val="21"/>
                <w:szCs w:val="21"/>
              </w:rPr>
              <w:t xml:space="preserve">The strategic argument: India's trajectory is not yet locked in. It has committed to ambitious renewable targets but remains heavily dependent on coal. Concessional financing that makes clean energy cheaper than coal for Indian utilities — and that simultaneously builds Indian manufacturing capacity rather than merely importing U.S. equipment — addresses both the climate and the bilateral relationship goals simultaneously. This is climate policy, industrial policy, and strategic competition with China for influence in the world's fastest-growing major economy, all at once.</w:t>
            </w:r>
          </w:p>
          <w:p>
            <w:pPr>
              <w:shd w:fill="FEF3C7" w:val="clear"/>
              <w:spacing w:after="0" w:before="100"/>
            </w:pPr>
            <w:r>
              <w:rPr>
                <w:rFonts w:ascii="Arial" w:cs="Arial" w:eastAsia="Arial" w:hAnsi="Arial"/>
                <w:b/>
                <w:bCs/>
                <w:color w:val="B45309"/>
                <w:sz w:val="19"/>
                <w:szCs w:val="19"/>
              </w:rPr>
              <w:t xml:space="preserve">Timing: </w:t>
            </w:r>
            <w:r>
              <w:rPr>
                <w:rFonts w:ascii="Arial" w:cs="Arial" w:eastAsia="Arial" w:hAnsi="Arial"/>
                <w:color w:val="1F2937"/>
                <w:sz w:val="19"/>
                <w:szCs w:val="19"/>
              </w:rPr>
              <w:t xml:space="preserve">Immediate by executive action; medium-term for full financing package  </w:t>
            </w:r>
            <w:r>
              <w:rPr>
                <w:rFonts w:ascii="Arial" w:cs="Arial" w:eastAsia="Arial" w:hAnsi="Arial"/>
                <w:b/>
                <w:bCs/>
                <w:color w:val="B45309"/>
                <w:sz w:val="19"/>
                <w:szCs w:val="19"/>
              </w:rPr>
              <w:t xml:space="preserve">Vehicle: </w:t>
            </w:r>
            <w:r>
              <w:rPr>
                <w:rFonts w:ascii="Arial" w:cs="Arial" w:eastAsia="Arial" w:hAnsi="Arial"/>
                <w:color w:val="1F2937"/>
                <w:sz w:val="19"/>
                <w:szCs w:val="19"/>
              </w:rPr>
              <w:t xml:space="preserve">State Department / DFC bilateral partnership; Export-Import Bank financing</w:t>
            </w:r>
          </w:p>
        </w:tc>
      </w:tr>
    </w:tbl>
    <w:p>
      <w:pPr>
        <w:spacing w:after="0" w:before="0"/>
      </w:pPr>
      <w:r>
        <w:rPr>
          <w:sz w:val="12"/>
          <w:szCs w:val="12"/>
        </w:rPr>
        <w:t xml:space="preserve"/>
      </w:r>
    </w:p>
    <w:p>
      <w:pPr>
        <w:spacing w:after="0" w:before="0"/>
      </w:pPr>
      <w:r>
        <w:rPr>
          <w:sz w:val="24"/>
          <w:szCs w:val="24"/>
        </w:rPr>
        <w:t xml:space="preserve"/>
      </w:r>
    </w:p>
    <w:p>
      <w:pPr>
        <w:pBdr>
          <w:bottom w:val="single" w:color="2E5FA3" w:sz="6" w:space="1"/>
        </w:pBdr>
        <w:spacing w:after="0" w:before="0"/>
      </w:pPr>
      <w:r>
        <w:t xml:space="preserve"/>
      </w:r>
    </w:p>
    <w:p>
      <w:pPr>
        <w:spacing w:after="0" w:before="0"/>
      </w:pPr>
      <w:r>
        <w:rPr>
          <w:sz w:val="16"/>
          <w:szCs w:val="16"/>
        </w:rPr>
        <w:t xml:space="preserve"/>
      </w:r>
    </w:p>
    <w:p>
      <w:pPr>
        <w:spacing w:after="120" w:before="0"/>
      </w:pPr>
      <w:r>
        <w:rPr>
          <w:rFonts w:ascii="Arial" w:cs="Arial" w:eastAsia="Arial" w:hAnsi="Arial"/>
          <w:b/>
          <w:bCs/>
          <w:color w:val="1B2A4A"/>
          <w:sz w:val="28"/>
          <w:szCs w:val="28"/>
        </w:rPr>
        <w:t xml:space="preserve">Honest Tensions This Framework Cannot Resolve</w:t>
      </w:r>
    </w:p>
    <w:p>
      <w:pPr>
        <w:spacing w:after="120" w:before="80"/>
      </w:pPr>
      <w:r>
        <w:rPr>
          <w:rFonts w:ascii="Georgia" w:cs="Georgia" w:eastAsia="Georgia" w:hAnsi="Georgia"/>
          <w:b w:val="false"/>
          <w:bCs w:val="false"/>
          <w:i w:val="false"/>
          <w:iCs w:val="false"/>
          <w:color w:val="1F2937"/>
          <w:sz w:val="22"/>
          <w:szCs w:val="22"/>
        </w:rPr>
        <w:t xml:space="preserve">The following tensions are structural features of the political landscape, not rhetorical problems to be solved by better framing. The essay should name them directly.</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45309" w:sz="2"/>
              <w:left w:val="single" w:color="B45309" w:sz="2"/>
              <w:bottom w:val="single" w:color="B45309" w:sz="2"/>
              <w:right w:val="single" w:color="B45309" w:sz="2"/>
            </w:tcBorders>
            <w:shd w:fill="FEF3C7" w:val="clear"/>
            <w:tcMar>
              <w:top w:type="dxa" w:w="120"/>
              <w:left w:type="dxa" w:w="200"/>
              <w:bottom w:type="dxa" w:w="120"/>
              <w:right w:type="dxa" w:w="200"/>
            </w:tcMar>
          </w:tcPr>
          <w:p>
            <w:pPr>
              <w:spacing w:after="80" w:before="0"/>
            </w:pPr>
            <w:r>
              <w:rPr>
                <w:rFonts w:ascii="Arial" w:cs="Arial" w:eastAsia="Arial" w:hAnsi="Arial"/>
                <w:b/>
                <w:bCs/>
                <w:color w:val="B45309"/>
                <w:sz w:val="22"/>
                <w:szCs w:val="22"/>
              </w:rPr>
              <w:t xml:space="preserve">⚠  Climate silence in bipartisan legislation is a durable vulnerability</w:t>
            </w:r>
          </w:p>
          <w:p>
            <w:pPr>
              <w:spacing w:after="0" w:before="0"/>
            </w:pPr>
            <w:r>
              <w:rPr>
                <w:rFonts w:ascii="Georgia" w:cs="Georgia" w:eastAsia="Georgia" w:hAnsi="Georgia"/>
                <w:color w:val="1F2937"/>
                <w:sz w:val="21"/>
                <w:szCs w:val="21"/>
              </w:rPr>
              <w:t xml:space="preserve">The FEMA Act's silence on climate change secured 57-3 committee support. That same silence means pre-disaster mitigation investments lack a statutory hook to climate risk, making them easier to defund in future administrations through the argument that they are 'not really disaster preparedness.' The tradeoff is real: bipartisan support now versus institutional durability later. The honest position is that both things are true simultaneously.</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45309" w:sz="2"/>
              <w:left w:val="single" w:color="B45309" w:sz="2"/>
              <w:bottom w:val="single" w:color="B45309" w:sz="2"/>
              <w:right w:val="single" w:color="B45309" w:sz="2"/>
            </w:tcBorders>
            <w:shd w:fill="FEF3C7" w:val="clear"/>
            <w:tcMar>
              <w:top w:type="dxa" w:w="120"/>
              <w:left w:type="dxa" w:w="200"/>
              <w:bottom w:type="dxa" w:w="120"/>
              <w:right w:type="dxa" w:w="200"/>
            </w:tcMar>
          </w:tcPr>
          <w:p>
            <w:pPr>
              <w:spacing w:after="80" w:before="0"/>
            </w:pPr>
            <w:r>
              <w:rPr>
                <w:rFonts w:ascii="Arial" w:cs="Arial" w:eastAsia="Arial" w:hAnsi="Arial"/>
                <w:b/>
                <w:bCs/>
                <w:color w:val="B45309"/>
                <w:sz w:val="22"/>
                <w:szCs w:val="22"/>
              </w:rPr>
              <w:t xml:space="preserve">⚠  Distributed beneficiaries want different things than climate advocates</w:t>
            </w:r>
          </w:p>
          <w:p>
            <w:pPr>
              <w:spacing w:after="0" w:before="0"/>
            </w:pPr>
            <w:r>
              <w:rPr>
                <w:rFonts w:ascii="Georgia" w:cs="Georgia" w:eastAsia="Georgia" w:hAnsi="Georgia"/>
                <w:color w:val="1F2937"/>
                <w:sz w:val="21"/>
                <w:szCs w:val="21"/>
              </w:rPr>
              <w:t xml:space="preserve">The 18 House Republicans who defended IRA tax credits were defending corporate investment in their districts, not a climate agenda. The clean energy co-op members in rural Wyoming support distributed solar for energy cost and independence reasons, not because they accept the IPCC's findings. Building these coalitions requires accepting that the resulting policy will be incomplete, slower, and sometimes capture-prone. The alternative — coalition purity — has produced three decades of federal legislative failure.</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45309" w:sz="2"/>
              <w:left w:val="single" w:color="B45309" w:sz="2"/>
              <w:bottom w:val="single" w:color="B45309" w:sz="2"/>
              <w:right w:val="single" w:color="B45309" w:sz="2"/>
            </w:tcBorders>
            <w:shd w:fill="FEF3C7" w:val="clear"/>
            <w:tcMar>
              <w:top w:type="dxa" w:w="120"/>
              <w:left w:type="dxa" w:w="200"/>
              <w:bottom w:type="dxa" w:w="120"/>
              <w:right w:type="dxa" w:w="200"/>
            </w:tcMar>
          </w:tcPr>
          <w:p>
            <w:pPr>
              <w:spacing w:after="80" w:before="0"/>
            </w:pPr>
            <w:r>
              <w:rPr>
                <w:rFonts w:ascii="Arial" w:cs="Arial" w:eastAsia="Arial" w:hAnsi="Arial"/>
                <w:b/>
                <w:bCs/>
                <w:color w:val="B45309"/>
                <w:sz w:val="22"/>
                <w:szCs w:val="22"/>
              </w:rPr>
              <w:t xml:space="preserve">⚠  The long-horizon structural reforms are not achievable in the current political moment</w:t>
            </w:r>
          </w:p>
          <w:p>
            <w:pPr>
              <w:spacing w:after="0" w:before="0"/>
            </w:pPr>
            <w:r>
              <w:rPr>
                <w:rFonts w:ascii="Georgia" w:cs="Georgia" w:eastAsia="Georgia" w:hAnsi="Georgia"/>
                <w:color w:val="1F2937"/>
                <w:sz w:val="21"/>
                <w:szCs w:val="21"/>
              </w:rPr>
              <w:t xml:space="preserve">Prescriptions 19–21 (Climate Advisory Council, statutory EPA authority, 30-year infrastructure mandate) require a favorable Congress that does not currently exist. Their function in this framework is architectural: they need to be drafted, analyzed, and advocated for so that when the political window opens, the institutional design is ready. Every cycle that passes without a statutory climate architecture makes the next hostile administration's rollback easier. Designing the architecture now is not optimism — it is preparation.</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45309" w:sz="2"/>
              <w:left w:val="single" w:color="B45309" w:sz="2"/>
              <w:bottom w:val="single" w:color="B45309" w:sz="2"/>
              <w:right w:val="single" w:color="B45309" w:sz="2"/>
            </w:tcBorders>
            <w:shd w:fill="FEF3C7" w:val="clear"/>
            <w:tcMar>
              <w:top w:type="dxa" w:w="120"/>
              <w:left w:type="dxa" w:w="200"/>
              <w:bottom w:type="dxa" w:w="120"/>
              <w:right w:type="dxa" w:w="200"/>
            </w:tcMar>
          </w:tcPr>
          <w:p>
            <w:pPr>
              <w:spacing w:after="80" w:before="0"/>
            </w:pPr>
            <w:r>
              <w:rPr>
                <w:rFonts w:ascii="Arial" w:cs="Arial" w:eastAsia="Arial" w:hAnsi="Arial"/>
                <w:b/>
                <w:bCs/>
                <w:color w:val="B45309"/>
                <w:sz w:val="22"/>
                <w:szCs w:val="22"/>
              </w:rPr>
              <w:t xml:space="preserve">⚠  International credibility cannot be restored by executive action alone</w:t>
            </w:r>
          </w:p>
          <w:p>
            <w:pPr>
              <w:spacing w:after="0" w:before="0"/>
            </w:pPr>
            <w:r>
              <w:rPr>
                <w:rFonts w:ascii="Georgia" w:cs="Georgia" w:eastAsia="Georgia" w:hAnsi="Georgia"/>
                <w:color w:val="1F2937"/>
                <w:sz w:val="21"/>
                <w:szCs w:val="21"/>
              </w:rPr>
              <w:t xml:space="preserve">Two Paris withdrawals have created a structural credibility deficit that no future President's executive order can fully repair. The prescription for congressional authorization of U.S. Paris participation (prescription 25) is not legally binding on future Presidents under Article II — it is a political cost-imposing mechanism. The honest assessment is that until the United States builds a domestic statutory climate architecture that survives electoral cycling, its international commitments will remain conditionally credible at best. Domestic institutional reform is the prerequisite for international credibility, not the other way around.</w:t>
            </w:r>
          </w:p>
        </w:tc>
      </w:tr>
    </w:tbl>
    <w:p>
      <w:pPr>
        <w:spacing w:after="0" w:before="0"/>
      </w:pPr>
      <w:r>
        <w:rPr>
          <w:sz w:val="12"/>
          <w:szCs w:val="12"/>
        </w:rPr>
        <w:t xml:space="preserve"/>
      </w:r>
    </w:p>
    <w:p>
      <w:pPr>
        <w:spacing w:after="0" w:before="0"/>
      </w:pPr>
      <w:r>
        <w:rPr>
          <w:sz w:val="12"/>
          <w:szCs w:val="12"/>
        </w:rPr>
        <w:t xml:space="preserve"/>
      </w:r>
    </w:p>
    <w:p>
      <w:pPr>
        <w:pBdr>
          <w:bottom w:val="single" w:color="CCCCCC" w:sz="2" w:space="1"/>
        </w:pBdr>
        <w:spacing w:after="0" w:before="0"/>
      </w:pPr>
      <w:r>
        <w:t xml:space="preserve"/>
      </w:r>
    </w:p>
    <w:p>
      <w:pPr>
        <w:spacing w:after="0" w:before="0"/>
      </w:pPr>
      <w:r>
        <w:rPr>
          <w:sz w:val="8"/>
          <w:szCs w:val="8"/>
        </w:rPr>
        <w:t xml:space="preserve"/>
      </w:r>
    </w:p>
    <w:p>
      <w:pPr>
        <w:spacing w:after="120" w:before="80"/>
      </w:pPr>
      <w:r>
        <w:rPr>
          <w:rFonts w:ascii="Georgia" w:cs="Georgia" w:eastAsia="Georgia" w:hAnsi="Georgia"/>
          <w:b w:val="false"/>
          <w:bCs w:val="false"/>
          <w:i/>
          <w:iCs/>
          <w:color w:val="1F2937"/>
          <w:sz w:val="22"/>
          <w:szCs w:val="22"/>
        </w:rPr>
        <w:t xml:space="preserve">Total prescriptions: 29. Federal (immediate): 4. Federal (medium-term): 5. Federal (long-term structural): 3. State/local: 8. International: 9. Prescriptions addressing Pillar I: 1–9. Pillar II: 10–17. Pillar III: 18–29.</w:t>
      </w:r>
    </w:p>
    <w:p>
      <w:pPr>
        <w:spacing w:after="0" w:before="0"/>
      </w:pPr>
      <w:r>
        <w:rPr>
          <w:sz w:val="4"/>
          <w:szCs w:val="4"/>
        </w:rPr>
        <w:t xml:space="preserve"/>
      </w:r>
    </w:p>
    <w:p>
      <w:pPr>
        <w:spacing w:after="120" w:before="80"/>
      </w:pPr>
      <w:r>
        <w:rPr>
          <w:rFonts w:ascii="Georgia" w:cs="Georgia" w:eastAsia="Georgia" w:hAnsi="Georgia"/>
          <w:b w:val="false"/>
          <w:bCs w:val="false"/>
          <w:i/>
          <w:iCs/>
          <w:color w:val="1F2937"/>
          <w:sz w:val="22"/>
          <w:szCs w:val="22"/>
        </w:rPr>
        <w:t xml:space="preserve">This document is a working draft supporting 'The Double Unraveling.' It is organized for analytical use in the essay's policy section, not as a standalone advocacy document. All timing assessments reflect conditions as of April 2026.</w:t>
      </w:r>
    </w:p>
    <w:sectPr>
      <w:headerReference w:type="default" r:id="rId7"/>
      <w:footerReference w:type="default" r:id="rId8"/>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9360"/>
      </w:tabs>
      <w:spacing w:after="0" w:before="80"/>
    </w:pPr>
    <w:r>
      <w:rPr>
        <w:rFonts w:ascii="Arial" w:cs="Arial" w:eastAsia="Arial" w:hAnsi="Arial"/>
        <w:i/>
        <w:iCs/>
        <w:color w:val="6B7280"/>
        <w:sz w:val="18"/>
        <w:szCs w:val="18"/>
      </w:rPr>
      <w:t xml:space="preserve">Working document — not for circulation</w:t>
    </w:r>
    <w:r>
      <w:rPr>
        <w:rFonts w:ascii="Arial" w:cs="Arial" w:eastAsia="Arial" w:hAnsi="Arial"/>
        <w:sz w:val="18"/>
        <w:szCs w:val="18"/>
      </w:rPr>
      <w:t xml:space="preserve">	</w:t>
    </w:r>
    <w:r>
      <w:rPr>
        <w:rFonts w:ascii="Arial" w:cs="Arial" w:eastAsia="Arial" w:hAnsi="Arial"/>
        <w:color w:val="6B7280"/>
        <w:sz w:val="18"/>
        <w:szCs w:val="18"/>
      </w:rPr>
      <w:t xml:space="preserve">Page </w:t>
    </w:r>
    <w:r>
      <w:rPr>
        <w:rFonts w:ascii="Arial" w:cs="Arial" w:eastAsia="Arial" w:hAnsi="Arial"/>
        <w:color w:val="6B7280"/>
        <w:sz w:val="18"/>
        <w:szCs w:val="18"/>
      </w:rPr>
      <type>pageNumber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spacing w:after="80" w:before="0"/>
    </w:pPr>
    <w:r>
      <w:rPr>
        <w:rFonts w:ascii="Arial" w:cs="Arial" w:eastAsia="Arial" w:hAnsi="Arial"/>
        <w:b/>
        <w:bCs/>
        <w:caps/>
        <w:color w:val="2E5FA3"/>
        <w:sz w:val="18"/>
        <w:szCs w:val="18"/>
      </w:rPr>
      <w:t xml:space="preserve">THE DOUBLE UNRAVELING</w:t>
    </w:r>
    <w:r>
      <w:rPr>
        <w:rFonts w:ascii="Arial" w:cs="Arial" w:eastAsia="Arial" w:hAnsi="Arial"/>
        <w:color w:val="6B7280"/>
        <w:sz w:val="18"/>
        <w:szCs w:val="18"/>
      </w:rPr>
      <w:t xml:space="preserve">   |   Policy Prescriptions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2026-04-05T04:25:32.761Z</dcterms:created>
  <dcterms:modified xsi:type="dcterms:W3CDTF">2026-04-05T04:25:32.762Z</dcterms:modified>
</cp:coreProperties>
</file>

<file path=docProps/custom.xml><?xml version="1.0" encoding="utf-8"?>
<Properties xmlns="http://schemas.openxmlformats.org/officeDocument/2006/custom-properties" xmlns:vt="http://schemas.openxmlformats.org/officeDocument/2006/docPropsVTypes"/>
</file>