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Lame-duck leverage: permitting and surface transportation</w:t>
      </w:r>
    </w:p>
    <w:p>
      <w:pPr/>
      <w:r>
        <w:t xml:space="preserve">Oct 9, 2026</w:t>
      </w:r>
      <w:r>
        <w:t xml:space="preserve"> · </w:t>
      </w:r>
      <w:r>
        <w:t xml:space="preserve">@espen</w:t>
      </w:r>
    </w:p>
    <w:p>
      <w:pPr/>
      <w:r>
        <w:t xml:space="preserve">If Democrats win both chambers on Nov 3, their sharpest leverage is on permitting, where Republicans' NEPA and litigation wins are worth far less after January 3. Democrats should spend it on three things: protection for already-permitted wind and solar that the administration can't evade, keeping the Senate transmission title intact, and restoring the climate and transit funding the House highway bill cuts.</w:t>
      </w:r>
    </w:p>
    <w:p>
      <w:pPr>
        <w:pStyle w:val="Heading2"/>
      </w:pPr>
      <w:r>
        <w:t xml:space="preserve">Where the two bills stand</w:t>
      </w:r>
    </w:p>
    <w:tbl>
      <w:tblPr>
        <w:tblStyle w:val="TableGrid"/>
        <w:tblW w:w="0" w:type="auto"/>
        <w:tblLayout w:type="fixed"/>
        <w:tblLook w:val="04A0" w:firstRow="1" w:lastRow="0" w:firstColumn="0" w:lastColumn="0" w:noHBand="0" w:noVBand="1"/>
      </w:tblPr>
      <w:tblGrid>
        <w:gridCol w:w="2499"/>
        <w:gridCol w:w="4272"/>
        <w:gridCol w:w="2589"/>
      </w:tblGrid>
      <w:tr>
        <w:trPr>
          <w:tblHeader/>
        </w:trPr>
        <w:tc>
          <w:tcPr>
            <w:tcW w:w="2499" w:type="dxa"/>
            <w:shd w:val="clear" w:color="auto" w:fill="F2F2F2"/>
          </w:tcPr>
          <w:p>
            <w:pPr/>
          </w:p>
        </w:tc>
        <w:tc>
          <w:tcPr>
            <w:tcW w:w="4272" w:type="dxa"/>
            <w:shd w:val="clear" w:color="auto" w:fill="F2F2F2"/>
          </w:tcPr>
          <w:p>
            <w:pPr/>
            <w:r>
              <w:t xml:space="preserve">Senate permitting deal</w:t>
            </w:r>
          </w:p>
        </w:tc>
        <w:tc>
          <w:tcPr>
            <w:tcW w:w="2589" w:type="dxa"/>
            <w:shd w:val="clear" w:color="auto" w:fill="F2F2F2"/>
          </w:tcPr>
          <w:p>
            <w:pPr/>
            <w:r>
              <w:t xml:space="preserve">House highway bill</w:t>
            </w:r>
          </w:p>
        </w:tc>
      </w:tr>
      <w:tr>
        <w:tc>
          <w:tcPr>
            <w:tcW w:w="2499" w:type="dxa"/>
          </w:tcPr>
          <w:p>
            <w:pPr/>
            <w:r>
              <w:rPr>
                <w:b/>
              </w:rPr>
              <w:t xml:space="preserve">Bill</w:t>
            </w:r>
          </w:p>
        </w:tc>
        <w:tc>
          <w:tcPr>
            <w:tcW w:w="4272" w:type="dxa"/>
          </w:tcPr>
          <w:p>
            <w:pPr/>
            <w:r>
              <w:t xml:space="preserve">Bipartisan American Affordability and Jobs Act of 2026, introduced Sept 30 by Capito, Lee, Whitehouse and Heinrich</w:t>
            </w:r>
          </w:p>
        </w:tc>
        <w:tc>
          <w:tcPr>
            <w:tcW w:w="2589" w:type="dxa"/>
          </w:tcPr>
          <w:p>
            <w:pPr/>
            <w:r>
              <w:t xml:space="preserve">BUILD America 250 Act (Graves–Larsen), approved 62–2 in House T&amp;I; five years, $580B through FY2031</w:t>
            </w:r>
          </w:p>
        </w:tc>
      </w:tr>
      <w:tr>
        <w:tc>
          <w:tcPr>
            <w:tcW w:w="2499" w:type="dxa"/>
          </w:tcPr>
          <w:p>
            <w:pPr/>
            <w:r>
              <w:rPr>
                <w:b/>
              </w:rPr>
              <w:t xml:space="preserve">Clock</w:t>
            </w:r>
          </w:p>
        </w:tc>
        <w:tc>
          <w:tcPr>
            <w:tcW w:w="4272" w:type="dxa"/>
          </w:tcPr>
          <w:p>
            <w:pPr/>
            <w:r>
              <w:t xml:space="preserve">Cloture vote on the motion to proceed scheduled for Nov 9; must be reconciled with the House-passed SPEED Act (H.R. 4776)</w:t>
            </w:r>
          </w:p>
        </w:tc>
        <w:tc>
          <w:tcPr>
            <w:tcW w:w="2589" w:type="dxa"/>
          </w:tcPr>
          <w:p>
            <w:pPr/>
            <w:r>
              <w:t xml:space="preserve">IIJA authorizations extended to Dec 11, 2026 (P.L. 119-103)</w:t>
            </w:r>
          </w:p>
        </w:tc>
      </w:tr>
      <w:tr>
        <w:tc>
          <w:tcPr>
            <w:tcW w:w="2499" w:type="dxa"/>
          </w:tcPr>
          <w:p>
            <w:pPr/>
            <w:r>
              <w:rPr>
                <w:b/>
              </w:rPr>
              <w:t xml:space="preserve">What Republicans get</w:t>
            </w:r>
          </w:p>
        </w:tc>
        <w:tc>
          <w:tcPr>
            <w:tcW w:w="4272" w:type="dxa"/>
          </w:tcPr>
          <w:p>
            <w:pPr/>
            <w:r>
              <w:t xml:space="preserve">NEPA defined as purely procedural; narrower "major federal action"; more categorical exclusions; 10-year programmatic reviews; 150-day limit on lawsuits (NEPA, ESA, Clean Water Act §404, NHPA); remand without vacatur; Clean Water Act §401 limited to point-source discharges with a 9-month deadline for gas pipelines; pipeline work in existing rights-of-way; hardrock mining changes</w:t>
            </w:r>
          </w:p>
        </w:tc>
        <w:tc>
          <w:tcPr>
            <w:tcW w:w="2589" w:type="dxa"/>
          </w:tcPr>
          <w:p>
            <w:pPr/>
            <w:r>
              <w:t xml:space="preserve">First new Highway Trust Fund revenue since the early 1990s: $130 EV and $35 hybrid annual fees (capped at $150 and $50); repeal of the Carbon Reduction Program, NEVI and PROTECT ($3.7B a year); transit cut $2B to $16.9B in FY2027; Capital Investment Grants and INFRA, MEGA and RAISE moved from guaranteed money to appropriations; categorical-exclusion threshold doubled to $12M</w:t>
            </w:r>
          </w:p>
        </w:tc>
      </w:tr>
      <w:tr>
        <w:tc>
          <w:tcPr>
            <w:tcW w:w="2499" w:type="dxa"/>
          </w:tcPr>
          <w:p>
            <w:pPr/>
            <w:r>
              <w:rPr>
                <w:b/>
              </w:rPr>
              <w:t xml:space="preserve">What Democrats get</w:t>
            </w:r>
          </w:p>
        </w:tc>
        <w:tc>
          <w:tcPr>
            <w:tcW w:w="4272" w:type="dxa"/>
          </w:tcPr>
          <w:p>
            <w:pPr/>
            <w:r>
              <w:t xml:space="preserve">Bar on rescinding or materially altering permits in effect on or after Sept 16, 2026, with reinstatement, fees and damages; remedies for "intentional disparate treatment"; FERC backstop siting for interstate lines without a prior corridor designation; regional and interregional planning with common cost-allocation standards; limits on federal right of first refusal; FERC repricing of transmission for data centers (20 MW+ state protections); reconductoring, grid-enhancing technologies, aggregated DERs in wholesale markets; geothermal; offshore transmission routes</w:t>
            </w:r>
          </w:p>
        </w:tc>
        <w:tc>
          <w:tcPr>
            <w:tcW w:w="2589" w:type="dxa"/>
          </w:tcPr>
          <w:p>
            <w:pPr/>
            <w:r>
              <w:t xml:space="preserve">Bridge formula up from $5.5B to $9B a year; Safe Streets for All growing to $1B; a new $2.4B Surface Transportation Accelerator grant; DBE reauthorized</w:t>
            </w:r>
          </w:p>
        </w:tc>
      </w:tr>
      <w:tr>
        <w:tc>
          <w:tcPr>
            <w:tcW w:w="2499" w:type="dxa"/>
          </w:tcPr>
          <w:p>
            <w:pPr/>
            <w:r>
              <w:rPr>
                <w:b/>
              </w:rPr>
              <w:t xml:space="preserve">Open fights</w:t>
            </w:r>
          </w:p>
        </w:tc>
        <w:tc>
          <w:tcPr>
            <w:tcW w:w="4272" w:type="dxa"/>
          </w:tcPr>
          <w:p>
            <w:pPr/>
            <w:r>
              <w:t xml:space="preserve">Democrats want assurance wind and solar get "regular order" from Interior; the House SPEED Act excludes offshore wind from key reforms and lacks the Senate transmission title</w:t>
            </w:r>
          </w:p>
        </w:tc>
        <w:tc>
          <w:tcPr>
            <w:tcW w:w="2589" w:type="dxa"/>
          </w:tcPr>
          <w:p>
            <w:pPr/>
            <w:r>
              <w:t xml:space="preserve">EV fees, the climate repeals and a rail safety provision set up a clash with the Senate</w:t>
            </w:r>
          </w:p>
        </w:tc>
      </w:tr>
    </w:tbl>
    <w:p>
      <w:pPr/>
      <w:r>
        <w:t xml:space="preserve">One date in the Senate text matters a lot: the anti-revocation protection reaches permits in effect on or after Sept 16, 2026. It does nothing for the offshore wind and other projects whose approvals were stopped or pulled in 2025–26.</w:t>
      </w:r>
    </w:p>
    <w:p>
      <w:pPr>
        <w:pStyle w:val="Heading2"/>
      </w:pPr>
      <w:r>
        <w:t xml:space="preserve">The leverage math</w:t>
      </w:r>
    </w:p>
    <w:p>
      <w:pPr/>
      <w:r>
        <w:t xml:space="preserve">Democrats' leverage is real but limited, because January doesn't give them a free hand: Trump still vetoes, and a Republican Senate minority can still filibuster. The question on each bill is who loses more by waiting until the 120th Congress.</w:t>
      </w:r>
    </w:p>
    <w:tbl>
      <w:tblPr>
        <w:tblStyle w:val="TableGrid"/>
        <w:tblW w:w="0" w:type="auto"/>
        <w:tblLayout w:type="fixed"/>
        <w:tblLook w:val="04A0" w:firstRow="1" w:lastRow="0" w:firstColumn="0" w:lastColumn="0" w:noHBand="0" w:noVBand="1"/>
      </w:tblPr>
      <w:tblGrid>
        <w:gridCol w:w="1582"/>
        <w:gridCol w:w="3682"/>
        <w:gridCol w:w="4096"/>
      </w:tblGrid>
      <w:tr>
        <w:trPr>
          <w:tblHeader/>
        </w:trPr>
        <w:tc>
          <w:tcPr>
            <w:tcW w:w="1582" w:type="dxa"/>
            <w:shd w:val="clear" w:color="auto" w:fill="F2F2F2"/>
          </w:tcPr>
          <w:p>
            <w:pPr/>
          </w:p>
        </w:tc>
        <w:tc>
          <w:tcPr>
            <w:tcW w:w="3682" w:type="dxa"/>
            <w:shd w:val="clear" w:color="auto" w:fill="F2F2F2"/>
          </w:tcPr>
          <w:p>
            <w:pPr/>
            <w:r>
              <w:t xml:space="preserve">Permitting</w:t>
            </w:r>
          </w:p>
        </w:tc>
        <w:tc>
          <w:tcPr>
            <w:tcW w:w="4096" w:type="dxa"/>
            <w:shd w:val="clear" w:color="auto" w:fill="F2F2F2"/>
          </w:tcPr>
          <w:p>
            <w:pPr/>
            <w:r>
              <w:t xml:space="preserve">Surface transportation</w:t>
            </w:r>
          </w:p>
        </w:tc>
      </w:tr>
      <w:tr>
        <w:tc>
          <w:tcPr>
            <w:tcW w:w="1582" w:type="dxa"/>
          </w:tcPr>
          <w:p>
            <w:pPr/>
            <w:r>
              <w:rPr>
                <w:b/>
              </w:rPr>
              <w:t xml:space="preserve">Republicans' cost of waiting</w:t>
            </w:r>
          </w:p>
        </w:tc>
        <w:tc>
          <w:tcPr>
            <w:tcW w:w="3682" w:type="dxa"/>
          </w:tcPr>
          <w:p>
            <w:pPr/>
            <w:r>
              <w:t xml:space="preserve">High. NEPA rewrites, 150-day suits and §401 limits will never look better than under a GOP Senate and House. In 2027 Democrats write both chambers' texts, and the House SPEED Act's offshore wind exclusion is gone.</w:t>
            </w:r>
          </w:p>
        </w:tc>
        <w:tc>
          <w:tcPr>
            <w:tcW w:w="4096" w:type="dxa"/>
          </w:tcPr>
          <w:p>
            <w:pPr/>
            <w:r>
              <w:t xml:space="preserve">Moderate. Industry and states want five-year certainty, and Graves' EV fee and repeals would face a Democratic T&amp;I chair. But highway bills are bipartisan by habit, so Republicans could take an extension and bet on 2027.</w:t>
            </w:r>
          </w:p>
        </w:tc>
      </w:tr>
      <w:tr>
        <w:tc>
          <w:tcPr>
            <w:tcW w:w="1582" w:type="dxa"/>
          </w:tcPr>
          <w:p>
            <w:pPr/>
            <w:r>
              <w:rPr>
                <w:b/>
              </w:rPr>
              <w:t xml:space="preserve">Democrats' cost of waiting</w:t>
            </w:r>
          </w:p>
        </w:tc>
        <w:tc>
          <w:tcPr>
            <w:tcW w:w="3682" w:type="dxa"/>
          </w:tcPr>
          <w:p>
            <w:pPr/>
            <w:r>
              <w:t xml:space="preserve">Moderate. They lose FERC siting authority and the anti-revocation shield for two more years of Trump's Interior Department, and permitting talks have collapsed before (2022, 2024).</w:t>
            </w:r>
          </w:p>
        </w:tc>
        <w:tc>
          <w:tcPr>
            <w:tcW w:w="4096" w:type="dxa"/>
          </w:tcPr>
          <w:p>
            <w:pPr/>
            <w:r>
              <w:t xml:space="preserve">Moderate to high. Another extension past Dec 11 delays the bridge money and formula growth states want, and Democratic governors and building trades will push to close.</w:t>
            </w:r>
          </w:p>
        </w:tc>
      </w:tr>
      <w:tr>
        <w:tc>
          <w:tcPr>
            <w:tcW w:w="1582" w:type="dxa"/>
          </w:tcPr>
          <w:p>
            <w:pPr/>
            <w:r>
              <w:rPr>
                <w:b/>
              </w:rPr>
              <w:t xml:space="preserve">Who holds the floor now</w:t>
            </w:r>
          </w:p>
        </w:tc>
        <w:tc>
          <w:tcPr>
            <w:tcW w:w="3682" w:type="dxa"/>
          </w:tcPr>
          <w:p>
            <w:pPr/>
            <w:r>
              <w:t xml:space="preserve">Senate cloture needs 60 votes, so at least seven Democrats are already a veto point.</w:t>
            </w:r>
          </w:p>
        </w:tc>
        <w:tc>
          <w:tcPr>
            <w:tcW w:w="4096" w:type="dxa"/>
          </w:tcPr>
          <w:p>
            <w:pPr/>
            <w:r>
              <w:t xml:space="preserve">House rule votes are GOP-run, but a narrow outgoing majority with retirements may need Democratic votes on final passage.</w:t>
            </w:r>
          </w:p>
        </w:tc>
      </w:tr>
      <w:tr>
        <w:tc>
          <w:tcPr>
            <w:tcW w:w="1582" w:type="dxa"/>
          </w:tcPr>
          <w:p>
            <w:pPr/>
            <w:r>
              <w:rPr>
                <w:b/>
              </w:rPr>
              <w:t xml:space="preserve">Net</w:t>
            </w:r>
          </w:p>
        </w:tc>
        <w:tc>
          <w:tcPr>
            <w:tcW w:w="3682" w:type="dxa"/>
          </w:tcPr>
          <w:p>
            <w:pPr/>
            <w:r>
              <w:rPr>
                <w:b/>
              </w:rPr>
              <w:t xml:space="preserve">Democrats have the edge.</w:t>
            </w:r>
            <w:r>
              <w:t xml:space="preserve"> Use it.</w:t>
            </w:r>
          </w:p>
        </w:tc>
        <w:tc>
          <w:tcPr>
            <w:tcW w:w="4096" w:type="dxa"/>
          </w:tcPr>
          <w:p>
            <w:pPr/>
            <w:r>
              <w:rPr>
                <w:b/>
              </w:rPr>
              <w:t xml:space="preserve">Roughly even.</w:t>
            </w:r>
            <w:r>
              <w:t xml:space="preserve"> Win targeted restorations, not a rewrite.</w:t>
            </w:r>
          </w:p>
        </w:tc>
      </w:tr>
    </w:tbl>
    <w:p>
      <w:pPr/>
      <w:r>
        <w:t xml:space="preserve">The practical takeaway: pair the two. Republicans need permitting more; Democrats can extract highway concessions in exchange for the permitting votes.</w:t>
      </w:r>
    </w:p>
    <w:p>
      <w:pPr/>
      <w:r>
        <w:t xml:space="preserve">The party-by-party split of who "got" what in the previous section is my reading; the coverage cited describes both packages as designed to appeal to both sides without allocating wins.</w:t>
      </w:r>
    </w:p>
    <w:p>
      <w:pPr>
        <w:pStyle w:val="Heading2"/>
      </w:pPr>
      <w:r>
        <w:t xml:space="preserve">Permitting: what Democrats should demand</w:t>
      </w:r>
    </w:p>
    <w:p>
      <w:pPr/>
      <w:r>
        <w:t xml:space="preserve">The top priority is making the deal's "certainty" protect clean energy from this administration, not only from a future Democratic one. Everything in the Thriving Economy Project's permitting principles (Chapter 9: identical treatment for every technology, third-party voices kept, state and Tribal roles respected) points here. Ranked by importance:</w:t>
      </w:r>
    </w:p>
    <w:tbl>
      <w:tblPr>
        <w:tblStyle w:val="TableGrid"/>
        <w:tblW w:w="0" w:type="auto"/>
        <w:tblLayout w:type="fixed"/>
        <w:tblLook w:val="04A0" w:firstRow="1" w:lastRow="0" w:firstColumn="0" w:lastColumn="0" w:noHBand="0" w:noVBand="1"/>
      </w:tblPr>
      <w:tblGrid>
        <w:gridCol w:w="720"/>
        <w:gridCol w:w="4401"/>
        <w:gridCol w:w="2537"/>
        <w:gridCol w:w="1702"/>
      </w:tblGrid>
      <w:tr>
        <w:trPr>
          <w:tblHeader/>
        </w:trPr>
        <w:tc>
          <w:tcPr>
            <w:tcW w:w="720" w:type="dxa"/>
            <w:shd w:val="clear" w:color="auto" w:fill="F2F2F2"/>
          </w:tcPr>
          <w:p>
            <w:pPr/>
            <w:r>
              <w:t xml:space="preserve">#</w:t>
            </w:r>
          </w:p>
        </w:tc>
        <w:tc>
          <w:tcPr>
            <w:tcW w:w="4401" w:type="dxa"/>
            <w:shd w:val="clear" w:color="auto" w:fill="F2F2F2"/>
          </w:tcPr>
          <w:p>
            <w:pPr/>
            <w:r>
              <w:t xml:space="preserve">Ask</w:t>
            </w:r>
          </w:p>
        </w:tc>
        <w:tc>
          <w:tcPr>
            <w:tcW w:w="2537" w:type="dxa"/>
            <w:shd w:val="clear" w:color="auto" w:fill="F2F2F2"/>
          </w:tcPr>
          <w:p>
            <w:pPr/>
            <w:r>
              <w:t xml:space="preserve">Why it matters</w:t>
            </w:r>
          </w:p>
        </w:tc>
        <w:tc>
          <w:tcPr>
            <w:tcW w:w="1702" w:type="dxa"/>
            <w:shd w:val="clear" w:color="auto" w:fill="F2F2F2"/>
          </w:tcPr>
          <w:p>
            <w:pPr/>
            <w:r>
              <w:t xml:space="preserve">Fallback if refused</w:t>
            </w:r>
          </w:p>
        </w:tc>
      </w:tr>
      <w:tr>
        <w:tc>
          <w:tcPr>
            <w:tcW w:w="720" w:type="dxa"/>
          </w:tcPr>
          <w:p>
            <w:pPr/>
            <w:r>
              <w:t xml:space="preserve">1</w:t>
            </w:r>
          </w:p>
        </w:tc>
        <w:tc>
          <w:tcPr>
            <w:tcW w:w="4401" w:type="dxa"/>
          </w:tcPr>
          <w:p>
            <w:pPr/>
            <w:r>
              <w:rPr>
                <w:b/>
              </w:rPr>
              <w:t xml:space="preserve">Backdate the anti-revocation shield</w:t>
            </w:r>
            <w:r>
              <w:t xml:space="preserve"> from Sept 16, 2026 to Jan 20, 2025, covering leases, records of decision and BOEM and BLM approvals, not just final permits; add a path to reinstate projects stopped since then</w:t>
            </w:r>
          </w:p>
        </w:tc>
        <w:tc>
          <w:tcPr>
            <w:tcW w:w="2537" w:type="dxa"/>
          </w:tcPr>
          <w:p>
            <w:pPr/>
            <w:r>
              <w:t xml:space="preserve">As written, the shield locks in 2025–26 cancellations and protects future fossil approvals from a future Democratic administration. Backdating makes it symmetric.</w:t>
            </w:r>
          </w:p>
        </w:tc>
        <w:tc>
          <w:tcPr>
            <w:tcW w:w="1702" w:type="dxa"/>
          </w:tcPr>
          <w:p>
            <w:pPr/>
            <w:r>
              <w:t xml:space="preserve">Name-specific reinstatement for projects with signed leases and federal approvals as of Jan 20, 2025, plus damages eligibility</w:t>
            </w:r>
          </w:p>
        </w:tc>
      </w:tr>
      <w:tr>
        <w:tc>
          <w:tcPr>
            <w:tcW w:w="720" w:type="dxa"/>
          </w:tcPr>
          <w:p>
            <w:pPr/>
            <w:r>
              <w:t xml:space="preserve">2</w:t>
            </w:r>
          </w:p>
        </w:tc>
        <w:tc>
          <w:tcPr>
            <w:tcW w:w="4401" w:type="dxa"/>
          </w:tcPr>
          <w:p>
            <w:pPr/>
            <w:r>
              <w:rPr>
                <w:b/>
              </w:rPr>
              <w:t xml:space="preserve">Statutory "regular order" for wind, solar and storage:</w:t>
            </w:r>
            <w:r>
              <w:t xml:space="preserve"> ban technology-specific review steps (for example, requiring secretary-level sign-off only for renewables); make the "intentional disparate treatment" remedy enforceable through a private right of action and automatic approval when deadlines are missed</w:t>
            </w:r>
          </w:p>
        </w:tc>
        <w:tc>
          <w:tcPr>
            <w:tcW w:w="2537" w:type="dxa"/>
          </w:tcPr>
          <w:p>
            <w:pPr/>
            <w:r>
              <w:t xml:space="preserve">Whitehouse's open question in the talks. Without it, faster NEPA mostly speeds pipelines while Interior slows wind by withholding decisions.</w:t>
            </w:r>
          </w:p>
        </w:tc>
        <w:tc>
          <w:tcPr>
            <w:tcW w:w="1702" w:type="dxa"/>
          </w:tcPr>
          <w:p>
            <w:pPr/>
            <w:r>
              <w:t xml:space="preserve">A GAO report on disparate treatment every 6 months plus reporting deadlines; weaker, but creates a record for 2027 oversight</w:t>
            </w:r>
          </w:p>
        </w:tc>
      </w:tr>
      <w:tr>
        <w:tc>
          <w:tcPr>
            <w:tcW w:w="720" w:type="dxa"/>
          </w:tcPr>
          <w:p>
            <w:pPr/>
            <w:r>
              <w:t xml:space="preserve">3</w:t>
            </w:r>
          </w:p>
        </w:tc>
        <w:tc>
          <w:tcPr>
            <w:tcW w:w="4401" w:type="dxa"/>
          </w:tcPr>
          <w:p>
            <w:pPr/>
            <w:r>
              <w:rPr>
                <w:b/>
              </w:rPr>
              <w:t xml:space="preserve">No offshore wind carve-out in conference.</w:t>
            </w:r>
            <w:r>
              <w:t xml:space="preserve"> Reject the SPEED Act's exclusion and keep the Senate's offshore transmission routing</w:t>
            </w:r>
          </w:p>
        </w:tc>
        <w:tc>
          <w:tcPr>
            <w:tcW w:w="2537" w:type="dxa"/>
          </w:tcPr>
          <w:p>
            <w:pPr/>
            <w:r>
              <w:t xml:space="preserve">Offshore wind is the largest pipeline of new Northeast and mid-Atlantic supply, where bills are rising fastest</w:t>
            </w:r>
          </w:p>
        </w:tc>
        <w:tc>
          <w:tcPr>
            <w:tcW w:w="1702" w:type="dxa"/>
          </w:tcPr>
          <w:p>
            <w:pPr/>
            <w:r>
              <w:t xml:space="preserve">Offshore wind covered by the shield even if left out of NEPA streamlining</w:t>
            </w:r>
          </w:p>
        </w:tc>
      </w:tr>
      <w:tr>
        <w:tc>
          <w:tcPr>
            <w:tcW w:w="720" w:type="dxa"/>
          </w:tcPr>
          <w:p>
            <w:pPr/>
            <w:r>
              <w:t xml:space="preserve">4</w:t>
            </w:r>
          </w:p>
        </w:tc>
        <w:tc>
          <w:tcPr>
            <w:tcW w:w="4401" w:type="dxa"/>
          </w:tcPr>
          <w:p>
            <w:pPr/>
            <w:r>
              <w:rPr>
                <w:b/>
              </w:rPr>
              <w:t xml:space="preserve">Keep the Senate transmission title whole, and add a floor:</w:t>
            </w:r>
            <w:r>
              <w:t xml:space="preserve"> FERC backstop siting, interregional planning and cost allocation stay; add minimum interregional transfer capability based on NERC's 2024 study; enforceable interconnection study deadlines; surplus interconnection; and eligibility for lines in highway and rail rights-of-way</w:t>
            </w:r>
          </w:p>
        </w:tc>
        <w:tc>
          <w:tcPr>
            <w:tcW w:w="2537" w:type="dxa"/>
          </w:tcPr>
          <w:p>
            <w:pPr/>
            <w:r>
              <w:t xml:space="preserve">This is what Democrats get for the NEPA concessions. Republicans in the House never passed it; it must not be traded away in conference.</w:t>
            </w:r>
          </w:p>
        </w:tc>
        <w:tc>
          <w:tcPr>
            <w:tcW w:w="1702" w:type="dxa"/>
          </w:tcPr>
          <w:p>
            <w:pPr/>
            <w:r>
              <w:t xml:space="preserve">Siting and planning without the transfer-capability floor; push the floor in 2027</w:t>
            </w:r>
          </w:p>
        </w:tc>
      </w:tr>
      <w:tr>
        <w:tc>
          <w:tcPr>
            <w:tcW w:w="720" w:type="dxa"/>
          </w:tcPr>
          <w:p>
            <w:pPr/>
            <w:r>
              <w:t xml:space="preserve">5</w:t>
            </w:r>
          </w:p>
        </w:tc>
        <w:tc>
          <w:tcPr>
            <w:tcW w:w="4401" w:type="dxa"/>
          </w:tcPr>
          <w:p>
            <w:pPr/>
            <w:r>
              <w:rPr>
                <w:b/>
              </w:rPr>
              <w:t xml:space="preserve">Turn the data-center pricing language into a ratepayer floor:</w:t>
            </w:r>
            <w:r>
              <w:t xml:space="preserve"> large loads pay the full incremental cost of generation, transmission and distribution they drive; disclosure of utility special contracts; remote curtailment during firm load-shed; ride-through standards</w:t>
            </w:r>
          </w:p>
        </w:tc>
        <w:tc>
          <w:tcPr>
            <w:tcW w:w="2537" w:type="dxa"/>
          </w:tcPr>
          <w:p>
            <w:pPr/>
            <w:r>
              <w:t xml:space="preserve">The most popular item in the package. Republicans already accepted the principle, so widening it is cheap and gives Democrats an affordability win to campaign on.</w:t>
            </w:r>
          </w:p>
        </w:tc>
        <w:tc>
          <w:tcPr>
            <w:tcW w:w="1702" w:type="dxa"/>
          </w:tcPr>
          <w:p>
            <w:pPr/>
            <w:r>
              <w:t xml:space="preserve">Disclosure and curtailment only</w:t>
            </w:r>
          </w:p>
        </w:tc>
      </w:tr>
      <w:tr>
        <w:tc>
          <w:tcPr>
            <w:tcW w:w="720" w:type="dxa"/>
          </w:tcPr>
          <w:p>
            <w:pPr/>
            <w:r>
              <w:t xml:space="preserve">6</w:t>
            </w:r>
          </w:p>
        </w:tc>
        <w:tc>
          <w:tcPr>
            <w:tcW w:w="4401" w:type="dxa"/>
          </w:tcPr>
          <w:p>
            <w:pPr/>
            <w:r>
              <w:rPr>
                <w:b/>
              </w:rPr>
              <w:t xml:space="preserve">Money and people for the deadlines:</w:t>
            </w:r>
            <w:r>
              <w:t xml:space="preserve"> a mandatory permitting fund (fees or set-aside) for staff at DOI, EPA, NOAA, USACE and FERC; funding for Tribal and State Historic Preservation Offices; a unified ePermitting portal</w:t>
            </w:r>
          </w:p>
        </w:tc>
        <w:tc>
          <w:tcPr>
            <w:tcW w:w="2537" w:type="dxa"/>
          </w:tcPr>
          <w:p>
            <w:pPr/>
            <w:r>
              <w:t xml:space="preserve">Deadlines without staff become rubber stamps or default denials. The report flags agency capacity as the binding constraint.</w:t>
            </w:r>
          </w:p>
        </w:tc>
        <w:tc>
          <w:tcPr>
            <w:tcW w:w="1702" w:type="dxa"/>
          </w:tcPr>
          <w:p>
            <w:pPr/>
            <w:r>
              <w:t xml:space="preserve">Authorize the fund and fight for it in FY2027–28 appropriations</w:t>
            </w:r>
          </w:p>
        </w:tc>
      </w:tr>
      <w:tr>
        <w:tc>
          <w:tcPr>
            <w:tcW w:w="720" w:type="dxa"/>
          </w:tcPr>
          <w:p>
            <w:pPr/>
            <w:r>
              <w:t xml:space="preserve">7</w:t>
            </w:r>
          </w:p>
        </w:tc>
        <w:tc>
          <w:tcPr>
            <w:tcW w:w="4401" w:type="dxa"/>
          </w:tcPr>
          <w:p>
            <w:pPr/>
            <w:r>
              <w:rPr>
                <w:b/>
              </w:rPr>
              <w:t xml:space="preserve">Judicial-review guardrails:</w:t>
            </w:r>
            <w:r>
              <w:t xml:space="preserve"> the 150-day clock starts only at published notice; remand without vacatur doesn't apply to ESA jeopardy findings or violations of substantive law; early community engagement documented before deadlines are set</w:t>
            </w:r>
          </w:p>
        </w:tc>
        <w:tc>
          <w:tcPr>
            <w:tcW w:w="2537" w:type="dxa"/>
          </w:tcPr>
          <w:p>
            <w:pPr/>
            <w:r>
              <w:t xml:space="preserve">Keeps courts able to stop the worst projects while accepting faster litigation</w:t>
            </w:r>
          </w:p>
        </w:tc>
        <w:tc>
          <w:tcPr>
            <w:tcW w:w="1702" w:type="dxa"/>
          </w:tcPr>
          <w:p>
            <w:pPr/>
            <w:r>
              <w:t xml:space="preserve">Notice-trigger only</w:t>
            </w:r>
          </w:p>
        </w:tc>
      </w:tr>
      <w:tr>
        <w:tc>
          <w:tcPr>
            <w:tcW w:w="720" w:type="dxa"/>
          </w:tcPr>
          <w:p>
            <w:pPr/>
            <w:r>
              <w:t xml:space="preserve">8</w:t>
            </w:r>
          </w:p>
        </w:tc>
        <w:tc>
          <w:tcPr>
            <w:tcW w:w="4401" w:type="dxa"/>
          </w:tcPr>
          <w:p>
            <w:pPr/>
            <w:r>
              <w:rPr>
                <w:b/>
              </w:rPr>
              <w:t xml:space="preserve">Respect state and Tribal authority:</w:t>
            </w:r>
            <w:r>
              <w:t xml:space="preserve"> keep the §401 changes limited to interstate gas pipelines and transmission; fund Tribal consultation inside the deadlines</w:t>
            </w:r>
          </w:p>
        </w:tc>
        <w:tc>
          <w:tcPr>
            <w:tcW w:w="2537" w:type="dxa"/>
          </w:tcPr>
          <w:p>
            <w:pPr/>
            <w:r>
              <w:t xml:space="preserve">States are trustees of their water (Chapter 9's third principle), and many Democratic governors will be watching</w:t>
            </w:r>
          </w:p>
        </w:tc>
        <w:tc>
          <w:tcPr>
            <w:tcW w:w="1702" w:type="dxa"/>
          </w:tcPr>
          <w:p>
            <w:pPr/>
            <w:r>
              <w:t xml:space="preserve">Limit the §401 deadline change, drop the scope narrowing</w:t>
            </w:r>
          </w:p>
        </w:tc>
      </w:tr>
      <w:tr>
        <w:tc>
          <w:tcPr>
            <w:tcW w:w="720" w:type="dxa"/>
          </w:tcPr>
          <w:p>
            <w:pPr/>
            <w:r>
              <w:t xml:space="preserve">9</w:t>
            </w:r>
          </w:p>
        </w:tc>
        <w:tc>
          <w:tcPr>
            <w:tcW w:w="4401" w:type="dxa"/>
          </w:tcPr>
          <w:p>
            <w:pPr/>
            <w:r>
              <w:rPr>
                <w:b/>
              </w:rPr>
              <w:t xml:space="preserve">Price for any hardrock mining changes:</w:t>
            </w:r>
            <w:r>
              <w:t xml:space="preserve"> a reclamation fee or royalty, Tribal input on mine location, and protection for named places such as the Boundary Waters</w:t>
            </w:r>
          </w:p>
        </w:tc>
        <w:tc>
          <w:tcPr>
            <w:tcW w:w="2537" w:type="dxa"/>
          </w:tcPr>
          <w:p>
            <w:pPr/>
            <w:r>
              <w:t xml:space="preserve">Chapter 7 wants faster domestic minerals but with taxpayer return and Tribal sovereignty</w:t>
            </w:r>
          </w:p>
        </w:tc>
        <w:tc>
          <w:tcPr>
            <w:tcW w:w="1702" w:type="dxa"/>
          </w:tcPr>
          <w:p>
            <w:pPr/>
            <w:r>
              <w:t xml:space="preserve">Reclamation fee only</w:t>
            </w:r>
          </w:p>
        </w:tc>
      </w:tr>
      <w:tr>
        <w:tc>
          <w:tcPr>
            <w:tcW w:w="720" w:type="dxa"/>
          </w:tcPr>
          <w:p>
            <w:pPr/>
            <w:r>
              <w:t xml:space="preserve">10</w:t>
            </w:r>
          </w:p>
        </w:tc>
        <w:tc>
          <w:tcPr>
            <w:tcW w:w="4401" w:type="dxa"/>
          </w:tcPr>
          <w:p>
            <w:pPr/>
            <w:r>
              <w:rPr>
                <w:b/>
              </w:rPr>
              <w:t xml:space="preserve">A host-community transmission fund</w:t>
            </w:r>
            <w:r>
              <w:t xml:space="preserve"> paid from federal loan interest, and incentives for states using DOE's CITAP one-stop permitting</w:t>
            </w:r>
          </w:p>
        </w:tc>
        <w:tc>
          <w:tcPr>
            <w:tcW w:w="2537" w:type="dxa"/>
          </w:tcPr>
          <w:p>
            <w:pPr/>
            <w:r>
              <w:t xml:space="preserve">Buys local support for the lines FERC can now site</w:t>
            </w:r>
          </w:p>
        </w:tc>
        <w:tc>
          <w:tcPr>
            <w:tcW w:w="1702" w:type="dxa"/>
          </w:tcPr>
          <w:p>
            <w:pPr/>
            <w:r>
              <w:t xml:space="preserve">Report language directing DOE to design one</w:t>
            </w:r>
          </w:p>
        </w:tc>
      </w:tr>
    </w:tbl>
    <w:p>
      <w:pPr>
        <w:pStyle w:val="Heading2"/>
      </w:pPr>
      <w:r>
        <w:t xml:space="preserve">Surface transportation: what Democrats should demand</w:t>
      </w:r>
    </w:p>
    <w:p>
      <w:pPr/>
      <w:r>
        <w:t xml:space="preserve">On the highway bill Democrats should aim to reverse the cuts that do lasting damage (resilience, transit, guaranteed grant money) and accept the EV fee only in exchange for something EV drivers get back. Ranked:</w:t>
      </w:r>
    </w:p>
    <w:tbl>
      <w:tblPr>
        <w:tblStyle w:val="TableGrid"/>
        <w:tblW w:w="0" w:type="auto"/>
        <w:tblLayout w:type="fixed"/>
        <w:tblLook w:val="04A0" w:firstRow="1" w:lastRow="0" w:firstColumn="0" w:lastColumn="0" w:noHBand="0" w:noVBand="1"/>
      </w:tblPr>
      <w:tblGrid>
        <w:gridCol w:w="720"/>
        <w:gridCol w:w="4021"/>
        <w:gridCol w:w="2917"/>
        <w:gridCol w:w="1702"/>
      </w:tblGrid>
      <w:tr>
        <w:trPr>
          <w:tblHeader/>
        </w:trPr>
        <w:tc>
          <w:tcPr>
            <w:tcW w:w="720" w:type="dxa"/>
            <w:shd w:val="clear" w:color="auto" w:fill="F2F2F2"/>
          </w:tcPr>
          <w:p>
            <w:pPr/>
            <w:r>
              <w:t xml:space="preserve">#</w:t>
            </w:r>
          </w:p>
        </w:tc>
        <w:tc>
          <w:tcPr>
            <w:tcW w:w="4021" w:type="dxa"/>
            <w:shd w:val="clear" w:color="auto" w:fill="F2F2F2"/>
          </w:tcPr>
          <w:p>
            <w:pPr/>
            <w:r>
              <w:t xml:space="preserve">Ask</w:t>
            </w:r>
          </w:p>
        </w:tc>
        <w:tc>
          <w:tcPr>
            <w:tcW w:w="2917" w:type="dxa"/>
            <w:shd w:val="clear" w:color="auto" w:fill="F2F2F2"/>
          </w:tcPr>
          <w:p>
            <w:pPr/>
            <w:r>
              <w:t xml:space="preserve">Why it matters</w:t>
            </w:r>
          </w:p>
        </w:tc>
        <w:tc>
          <w:tcPr>
            <w:tcW w:w="1702" w:type="dxa"/>
            <w:shd w:val="clear" w:color="auto" w:fill="F2F2F2"/>
          </w:tcPr>
          <w:p>
            <w:pPr/>
            <w:r>
              <w:t xml:space="preserve">Fallback if refused</w:t>
            </w:r>
          </w:p>
        </w:tc>
      </w:tr>
      <w:tr>
        <w:tc>
          <w:tcPr>
            <w:tcW w:w="720" w:type="dxa"/>
          </w:tcPr>
          <w:p>
            <w:pPr/>
            <w:r>
              <w:t xml:space="preserve">1</w:t>
            </w:r>
          </w:p>
        </w:tc>
        <w:tc>
          <w:tcPr>
            <w:tcW w:w="4021" w:type="dxa"/>
          </w:tcPr>
          <w:p>
            <w:pPr/>
            <w:r>
              <w:rPr>
                <w:b/>
              </w:rPr>
              <w:t xml:space="preserve">Restore PROTECT</w:t>
            </w:r>
            <w:r>
              <w:t xml:space="preserve"> as a resilience formula program with a suballocation to local road owners; make resilience an eligible use across all formula programs; require Emergency Relief rebuilds to meet a forward-looking design standard or relocate</w:t>
            </w:r>
          </w:p>
        </w:tc>
        <w:tc>
          <w:tcPr>
            <w:tcW w:w="2917" w:type="dxa"/>
          </w:tcPr>
          <w:p>
            <w:pPr/>
            <w:r>
              <w:t xml:space="preserve">The report names PROTECT as the delivery vehicle for its Climate-Ready Transportation Standard. It also sells in red states hit by floods and hurricanes. Losing it means rebuilding the same washed-out roads again.</w:t>
            </w:r>
          </w:p>
        </w:tc>
        <w:tc>
          <w:tcPr>
            <w:tcW w:w="1702" w:type="dxa"/>
          </w:tcPr>
          <w:p>
            <w:pPr/>
            <w:r>
              <w:t xml:space="preserve">Resilience eligibility inside the new $9B bridge formula and Emergency Relief, without a standalone program</w:t>
            </w:r>
          </w:p>
        </w:tc>
      </w:tr>
      <w:tr>
        <w:tc>
          <w:tcPr>
            <w:tcW w:w="720" w:type="dxa"/>
          </w:tcPr>
          <w:p>
            <w:pPr/>
            <w:r>
              <w:t xml:space="preserve">2</w:t>
            </w:r>
          </w:p>
        </w:tc>
        <w:tc>
          <w:tcPr>
            <w:tcW w:w="4021" w:type="dxa"/>
          </w:tcPr>
          <w:p>
            <w:pPr/>
            <w:r>
              <w:rPr>
                <w:b/>
              </w:rPr>
              <w:t xml:space="preserve">Make the EV fee a trade, not a gift:</w:t>
            </w:r>
            <w:r>
              <w:t xml:space="preserve"> in exchange for the $130–150 fee, a charger reliability and open-payment standard for any federally funded charger (replacing NEVI's rules), dedicated money for freight electrification corridors and shared truck-charging hubs, and a fee phased in rather than set at the cap</w:t>
            </w:r>
          </w:p>
        </w:tc>
        <w:tc>
          <w:tcPr>
            <w:tcW w:w="2917" w:type="dxa"/>
          </w:tcPr>
          <w:p>
            <w:pPr/>
            <w:r>
              <w:t xml:space="preserve">The first new Highway Trust Fund revenue in three decades falls only on EV and hybrid owners while the bill repeals the programs that serve them</w:t>
            </w:r>
          </w:p>
        </w:tc>
        <w:tc>
          <w:tcPr>
            <w:tcW w:w="1702" w:type="dxa"/>
          </w:tcPr>
          <w:p>
            <w:pPr/>
            <w:r>
              <w:t xml:space="preserve">Keep the fee but phase it in and pair it with the reliability standard</w:t>
            </w:r>
          </w:p>
        </w:tc>
      </w:tr>
      <w:tr>
        <w:tc>
          <w:tcPr>
            <w:tcW w:w="720" w:type="dxa"/>
          </w:tcPr>
          <w:p>
            <w:pPr/>
            <w:r>
              <w:t xml:space="preserve">3</w:t>
            </w:r>
          </w:p>
        </w:tc>
        <w:tc>
          <w:tcPr>
            <w:tcW w:w="4021" w:type="dxa"/>
          </w:tcPr>
          <w:p>
            <w:pPr/>
            <w:r>
              <w:rPr>
                <w:b/>
              </w:rPr>
              <w:t xml:space="preserve">Undo the transit cut and restore guaranteed Capital Investment Grants</w:t>
            </w:r>
            <w:r>
              <w:t xml:space="preserve"> (the $1.6B a year in contract authority)</w:t>
            </w:r>
          </w:p>
        </w:tc>
        <w:tc>
          <w:tcPr>
            <w:tcW w:w="2917" w:type="dxa"/>
          </w:tcPr>
          <w:p>
            <w:pPr/>
            <w:r>
              <w:t xml:space="preserve">Moving CIG to appropriations lets an administration starve projects already in the pipeline; the Thriving Economy Project's "certainty of federal funding" benchmark is exactly this problem</w:t>
            </w:r>
          </w:p>
        </w:tc>
        <w:tc>
          <w:tcPr>
            <w:tcW w:w="1702" w:type="dxa"/>
          </w:tcPr>
          <w:p>
            <w:pPr/>
            <w:r>
              <w:t xml:space="preserve">Guarantee funding at least for projects with signed full funding grant agreements</w:t>
            </w:r>
          </w:p>
        </w:tc>
      </w:tr>
      <w:tr>
        <w:tc>
          <w:tcPr>
            <w:tcW w:w="720" w:type="dxa"/>
          </w:tcPr>
          <w:p>
            <w:pPr/>
            <w:r>
              <w:t xml:space="preserve">4</w:t>
            </w:r>
          </w:p>
        </w:tc>
        <w:tc>
          <w:tcPr>
            <w:tcW w:w="4021" w:type="dxa"/>
          </w:tcPr>
          <w:p>
            <w:pPr/>
            <w:r>
              <w:rPr>
                <w:b/>
              </w:rPr>
              <w:t xml:space="preserve">Trump-proof the grant money:</w:t>
            </w:r>
            <w:r>
              <w:t xml:space="preserve"> restore guaranteed funding for INFRA, MEGA and RAISE; awarded grants terminable only for cause; formula funds released on the statutory schedule; deadlines for obligating funds</w:t>
            </w:r>
          </w:p>
        </w:tc>
        <w:tc>
          <w:tcPr>
            <w:tcW w:w="2917" w:type="dxa"/>
          </w:tcPr>
          <w:p>
            <w:pPr/>
            <w:r>
              <w:t xml:space="preserve">Chapter 9's core ask. Discretionary grants are where 2025–26 cancellations hit; moving them to appropriations invites more.</w:t>
            </w:r>
          </w:p>
        </w:tc>
        <w:tc>
          <w:tcPr>
            <w:tcW w:w="1702" w:type="dxa"/>
          </w:tcPr>
          <w:p>
            <w:pPr/>
            <w:r>
              <w:t xml:space="preserve">Termination-for-cause and release deadlines even if the programs stay subject to appropriations</w:t>
            </w:r>
          </w:p>
        </w:tc>
      </w:tr>
      <w:tr>
        <w:tc>
          <w:tcPr>
            <w:tcW w:w="720" w:type="dxa"/>
          </w:tcPr>
          <w:p>
            <w:pPr/>
            <w:r>
              <w:t xml:space="preserve">5</w:t>
            </w:r>
          </w:p>
        </w:tc>
        <w:tc>
          <w:tcPr>
            <w:tcW w:w="4021" w:type="dxa"/>
          </w:tcPr>
          <w:p>
            <w:pPr/>
            <w:r>
              <w:rPr>
                <w:b/>
              </w:rPr>
              <w:t xml:space="preserve">Passenger rail:</w:t>
            </w:r>
            <w:r>
              <w:t xml:space="preserve"> guaranteed money for Federal-State Partnership grants and the Northeast Corridor; a planning down payment on the report's High-Performance Rail Network corridors; resolve the rail safety fight in the Senate's favor</w:t>
            </w:r>
          </w:p>
        </w:tc>
        <w:tc>
          <w:tcPr>
            <w:tcW w:w="2917" w:type="dxa"/>
          </w:tcPr>
          <w:p>
            <w:pPr/>
            <w:r>
              <w:t xml:space="preserve">The public summaries of the House bill don't address passenger rail, so check the text. A Democratic chair in 2027 can do more, but locking in five years of guaranteed rail money now beats annual appropriations under Trump.</w:t>
            </w:r>
          </w:p>
        </w:tc>
        <w:tc>
          <w:tcPr>
            <w:tcW w:w="1702" w:type="dxa"/>
          </w:tcPr>
          <w:p>
            <w:pPr/>
            <w:r>
              <w:t xml:space="preserve">Keep current rail authorization levels and contract authority</w:t>
            </w:r>
          </w:p>
        </w:tc>
      </w:tr>
      <w:tr>
        <w:tc>
          <w:tcPr>
            <w:tcW w:w="720" w:type="dxa"/>
          </w:tcPr>
          <w:p>
            <w:pPr/>
            <w:r>
              <w:t xml:space="preserve">6</w:t>
            </w:r>
          </w:p>
        </w:tc>
        <w:tc>
          <w:tcPr>
            <w:tcW w:w="4021" w:type="dxa"/>
          </w:tcPr>
          <w:p>
            <w:pPr/>
            <w:r>
              <w:rPr>
                <w:b/>
              </w:rPr>
              <w:t xml:space="preserve">Cheap financing fixes:</w:t>
            </w:r>
            <w:r>
              <w:t xml:space="preserve"> strike TIFIA's investment-grade requirement (23 U.S.C. 603); standing credit subsidy for RRIF; a Build America Bureau loan program for port and airport electrification and resilience</w:t>
            </w:r>
          </w:p>
        </w:tc>
        <w:tc>
          <w:tcPr>
            <w:tcW w:w="2917" w:type="dxa"/>
          </w:tcPr>
          <w:p>
            <w:pPr/>
            <w:r>
              <w:t xml:space="preserve">Bipartisan, low-cost, helps rural and small sponsors; easy to win</w:t>
            </w:r>
          </w:p>
        </w:tc>
        <w:tc>
          <w:tcPr>
            <w:tcW w:w="1702" w:type="dxa"/>
          </w:tcPr>
          <w:p>
            <w:pPr/>
            <w:r>
              <w:t xml:space="preserve">None needed; Republicans should accept</w:t>
            </w:r>
          </w:p>
        </w:tc>
      </w:tr>
      <w:tr>
        <w:tc>
          <w:tcPr>
            <w:tcW w:w="720" w:type="dxa"/>
          </w:tcPr>
          <w:p>
            <w:pPr/>
            <w:r>
              <w:t xml:space="preserve">7</w:t>
            </w:r>
          </w:p>
        </w:tc>
        <w:tc>
          <w:tcPr>
            <w:tcW w:w="4021" w:type="dxa"/>
          </w:tcPr>
          <w:p>
            <w:pPr/>
            <w:r>
              <w:rPr>
                <w:b/>
              </w:rPr>
              <w:t xml:space="preserve">Transmission and broadband in highway rights-of-way:</w:t>
            </w:r>
            <w:r>
              <w:t xml:space="preserve"> make them eligible under the Federal-aid Highway program, with DOT technical help for states</w:t>
            </w:r>
          </w:p>
        </w:tc>
        <w:tc>
          <w:tcPr>
            <w:tcW w:w="2917" w:type="dxa"/>
          </w:tcPr>
          <w:p>
            <w:pPr/>
            <w:r>
              <w:t xml:space="preserve">Links the two bills; co-location avoids the hardest siting fights</w:t>
            </w:r>
          </w:p>
        </w:tc>
        <w:tc>
          <w:tcPr>
            <w:tcW w:w="1702" w:type="dxa"/>
          </w:tcPr>
          <w:p>
            <w:pPr/>
            <w:r>
              <w:t xml:space="preserve">Eligibility only, without the technical-assistance money</w:t>
            </w:r>
          </w:p>
        </w:tc>
      </w:tr>
      <w:tr>
        <w:tc>
          <w:tcPr>
            <w:tcW w:w="720" w:type="dxa"/>
          </w:tcPr>
          <w:p>
            <w:pPr/>
            <w:r>
              <w:t xml:space="preserve">8</w:t>
            </w:r>
          </w:p>
        </w:tc>
        <w:tc>
          <w:tcPr>
            <w:tcW w:w="4021" w:type="dxa"/>
          </w:tcPr>
          <w:p>
            <w:pPr/>
            <w:r>
              <w:rPr>
                <w:b/>
              </w:rPr>
              <w:t xml:space="preserve">Rural and Tribal transit:</w:t>
            </w:r>
            <w:r>
              <w:t xml:space="preserve"> flexible on-demand models, more Tribal transit set-aside, and more Tribal control over routes and safety</w:t>
            </w:r>
          </w:p>
        </w:tc>
        <w:tc>
          <w:tcPr>
            <w:tcW w:w="2917" w:type="dxa"/>
          </w:tcPr>
          <w:p>
            <w:pPr/>
            <w:r>
              <w:t xml:space="preserve">Chapter 2 priority; wins rural votes on both sides</w:t>
            </w:r>
          </w:p>
        </w:tc>
        <w:tc>
          <w:tcPr>
            <w:tcW w:w="1702" w:type="dxa"/>
          </w:tcPr>
          <w:p>
            <w:pPr/>
            <w:r>
              <w:t xml:space="preserve">Pilot program</w:t>
            </w:r>
          </w:p>
        </w:tc>
      </w:tr>
      <w:tr>
        <w:tc>
          <w:tcPr>
            <w:tcW w:w="720" w:type="dxa"/>
          </w:tcPr>
          <w:p>
            <w:pPr/>
            <w:r>
              <w:t xml:space="preserve">9</w:t>
            </w:r>
          </w:p>
        </w:tc>
        <w:tc>
          <w:tcPr>
            <w:tcW w:w="4021" w:type="dxa"/>
          </w:tcPr>
          <w:p>
            <w:pPr/>
            <w:r>
              <w:rPr>
                <w:b/>
              </w:rPr>
              <w:t xml:space="preserve">A National Transportation Vulnerability Atlas</w:t>
            </w:r>
            <w:r>
              <w:t xml:space="preserve"> that every federally funded project must use</w:t>
            </w:r>
          </w:p>
        </w:tc>
        <w:tc>
          <w:tcPr>
            <w:tcW w:w="2917" w:type="dxa"/>
          </w:tcPr>
          <w:p>
            <w:pPr/>
            <w:r>
              <w:t xml:space="preserve">Builds the data a 2029 climate-ready standard needs (see the main tab's scaffolding section)</w:t>
            </w:r>
          </w:p>
        </w:tc>
        <w:tc>
          <w:tcPr>
            <w:tcW w:w="1702" w:type="dxa"/>
          </w:tcPr>
          <w:p>
            <w:pPr/>
            <w:r>
              <w:t xml:space="preserve">Authorize it as a DOT–NOAA study</w:t>
            </w:r>
          </w:p>
        </w:tc>
      </w:tr>
    </w:tbl>
    <w:p>
      <w:pPr/>
      <w:r>
        <w:rPr>
          <w:b/>
        </w:rPr>
        <w:t xml:space="preserve">Tradeable:</w:t>
      </w:r>
      <w:r>
        <w:t xml:space="preserve"> the Carbon Reduction Program. It is the hardest repeal to reverse and the least visible to voters. Conceding it is a reasonable price for items 1–4.</w:t>
      </w:r>
    </w:p>
    <w:p>
      <w:pPr>
        <w:pStyle w:val="Heading2"/>
      </w:pPr>
      <w:r>
        <w:t xml:space="preserve">How to play it</w:t>
      </w:r>
    </w:p>
    <w:p>
      <w:pPr/>
      <w:r>
        <w:t xml:space="preserve">The winning move is to tie the two bills together and show a believable willingness to walk away to January.</w:t>
      </w:r>
    </w:p>
    <w:p>
      <w:pPr>
        <w:pStyle w:val="ListParagraph"/>
        <w:numPr>
          <w:ilvl w:val="0"/>
          <w:numId w:val="2"/>
        </w:numPr>
      </w:pPr>
      <w:r>
        <w:rPr>
          <w:b/>
        </w:rPr>
        <w:t xml:space="preserve">Let the Nov 9 motion to proceed go, and hold final cloture.</w:t>
      </w:r>
      <w:r>
        <w:t xml:space="preserve"> Blocking the first vote looks like obstruction days after winning. The real leverage is the final 60-vote cloture on passage, timed against the Dec 11 highway deadline.</w:t>
      </w:r>
    </w:p>
    <w:p>
      <w:pPr>
        <w:pStyle w:val="ListParagraph"/>
        <w:numPr>
          <w:ilvl w:val="0"/>
          <w:numId w:val="2"/>
        </w:numPr>
      </w:pPr>
      <w:r>
        <w:rPr>
          <w:b/>
        </w:rPr>
        <w:t xml:space="preserve">Pair the bills explicitly.</w:t>
      </w:r>
      <w:r>
        <w:t xml:space="preserve"> Ask for one year-end package, or same-day votes, so Republicans can't bank permitting and then let the highway bill run out. A year-end omnibus or CR for FY2027, or the NDAA, are natural carriers.</w:t>
      </w:r>
    </w:p>
    <w:p>
      <w:pPr>
        <w:pStyle w:val="ListParagraph"/>
        <w:numPr>
          <w:ilvl w:val="0"/>
          <w:numId w:val="2"/>
        </w:numPr>
      </w:pPr>
      <w:r>
        <w:rPr>
          <w:b/>
        </w:rPr>
        <w:t xml:space="preserve">Show the walk-away.</w:t>
      </w:r>
      <w:r>
        <w:t xml:space="preserve"> Democratic leaders should offer a clean highway extension into early 2027 at the same time they negotiate. If Republicans believe Democrats will wait, the permitting price goes up.</w:t>
      </w:r>
    </w:p>
    <w:p>
      <w:pPr>
        <w:pStyle w:val="ListParagraph"/>
        <w:numPr>
          <w:ilvl w:val="0"/>
          <w:numId w:val="2"/>
        </w:numPr>
      </w:pPr>
      <w:r>
        <w:rPr>
          <w:b/>
        </w:rPr>
        <w:t xml:space="preserve">Put every promise in statute.</w:t>
      </w:r>
      <w:r>
        <w:t xml:space="preserve"> The open question in the talks is whether the administration will give wind and solar "regular order." A side commitment from Interior can't be enforced; only text with deadlines and remedies can.</w:t>
      </w:r>
    </w:p>
    <w:p>
      <w:pPr>
        <w:pStyle w:val="ListParagraph"/>
        <w:numPr>
          <w:ilvl w:val="0"/>
          <w:numId w:val="2"/>
        </w:numPr>
      </w:pPr>
      <w:r>
        <w:rPr>
          <w:b/>
        </w:rPr>
        <w:t xml:space="preserve">Make the Senate text the permitting base.</w:t>
      </w:r>
      <w:r>
        <w:t xml:space="preserve"> In any House–Senate negotiation, add from the SPEED Act only what improves the Senate bill, and treat the transmission title and offshore wind coverage as non-negotiable.</w:t>
      </w:r>
    </w:p>
    <w:p>
      <w:pPr>
        <w:pStyle w:val="ListParagraph"/>
        <w:numPr>
          <w:ilvl w:val="0"/>
          <w:numId w:val="2"/>
        </w:numPr>
      </w:pPr>
      <w:r>
        <w:rPr>
          <w:b/>
        </w:rPr>
        <w:t xml:space="preserve">Mobilize the deal's industry winners.</w:t>
      </w:r>
      <w:r>
        <w:t xml:space="preserve"> Transmission developers, wind and solar companies, utilities facing data-center load, governors and building trades all want certainty and can lean on Republicans who otherwise might wait.</w:t>
      </w:r>
    </w:p>
    <w:p>
      <w:pPr>
        <w:pStyle w:val="ListParagraph"/>
        <w:numPr>
          <w:ilvl w:val="0"/>
          <w:numId w:val="2"/>
        </w:numPr>
      </w:pPr>
      <w:r>
        <w:rPr>
          <w:b/>
        </w:rPr>
        <w:t xml:space="preserve">Set red lines inside the caucus early.</w:t>
      </w:r>
      <w:r>
        <w:t xml:space="preserve"> Progressives will oppose the NEPA and litigation changes; moderates want the deal. A short, public list (permitting asks 1–4, highway asks 1, 3 and 4) keeps the caucus together and makes the walk-away believable.</w:t>
      </w:r>
    </w:p>
    <w:p>
      <w:pPr>
        <w:pStyle w:val="Heading2"/>
      </w:pPr>
      <w:r>
        <w:t xml:space="preserve">What not to spend leverage on</w:t>
      </w:r>
    </w:p>
    <w:p>
      <w:pPr/>
      <w:r>
        <w:t xml:space="preserve">Some Thriving Economy priorities belong in other vehicles. Asking for them here would sink the deal or waste leverage.</w:t>
      </w:r>
    </w:p>
    <w:p>
      <w:pPr>
        <w:pStyle w:val="ListParagraph"/>
        <w:numPr>
          <w:ilvl w:val="0"/>
          <w:numId w:val="3"/>
        </w:numPr>
      </w:pPr>
      <w:r>
        <w:rPr>
          <w:b/>
        </w:rPr>
        <w:t xml:space="preserve">Tax credits</w:t>
      </w:r>
      <w:r>
        <w:t xml:space="preserve"> (25C, 25D, EV credits, a transmission ITC, 45X expansions). These are tax-writing committee items with no home in either bill, and they're 2029 reconciliation material.</w:t>
      </w:r>
    </w:p>
    <w:p>
      <w:pPr>
        <w:pStyle w:val="ListParagraph"/>
        <w:numPr>
          <w:ilvl w:val="0"/>
          <w:numId w:val="3"/>
        </w:numPr>
      </w:pPr>
      <w:r>
        <w:rPr>
          <w:b/>
        </w:rPr>
        <w:t xml:space="preserve">Undoing the NEPA rewrite wholesale.</w:t>
      </w:r>
      <w:r>
        <w:t xml:space="preserve"> It is the price of the deal. Fight its edges (asks 7 and 8) and make sure the speed applies equally to clean energy.</w:t>
      </w:r>
    </w:p>
    <w:p>
      <w:pPr>
        <w:pStyle w:val="ListParagraph"/>
        <w:numPr>
          <w:ilvl w:val="0"/>
          <w:numId w:val="3"/>
        </w:numPr>
      </w:pPr>
      <w:r>
        <w:rPr>
          <w:b/>
        </w:rPr>
        <w:t xml:space="preserve">Utility business-model reform</w:t>
      </w:r>
      <w:r>
        <w:t xml:space="preserve"> (performance-based ratemaking, shared savings, an efficiency resource standard). It's too big and too partisan to bolt on now.</w:t>
      </w:r>
    </w:p>
    <w:p>
      <w:pPr>
        <w:pStyle w:val="ListParagraph"/>
        <w:numPr>
          <w:ilvl w:val="0"/>
          <w:numId w:val="3"/>
        </w:numPr>
      </w:pPr>
      <w:r>
        <w:rPr>
          <w:b/>
        </w:rPr>
        <w:t xml:space="preserve">New climate mandates</w:t>
      </w:r>
      <w:r>
        <w:t xml:space="preserve"> (extreme-risk ineligibility, a climate-ready standard with enforcement teeth). Plant the data now (vulnerability atlas, forward-looking design in Emergency Relief) and legislate the mandate later.</w:t>
      </w:r>
    </w:p>
    <w:p>
      <w:pPr>
        <w:pStyle w:val="ListParagraph"/>
        <w:numPr>
          <w:ilvl w:val="0"/>
          <w:numId w:val="3"/>
        </w:numPr>
      </w:pPr>
      <w:r>
        <w:rPr>
          <w:b/>
        </w:rPr>
        <w:t xml:space="preserve">A gas-tax increase or indexing.</w:t>
      </w:r>
      <w:r>
        <w:t xml:space="preserve"> The House bill already chose EV fees as its revenue fix; reopening revenue would blow up the highway deal.</w:t>
      </w:r>
    </w:p>
    <w:p>
      <w:pPr>
        <w:pStyle w:val="Heading2"/>
      </w:pPr>
      <w:r>
        <w:t xml:space="preserve">Sources</w:t>
      </w:r>
    </w:p>
    <w:p>
      <w:pPr>
        <w:pStyle w:val="ListParagraph"/>
        <w:numPr>
          <w:ilvl w:val="0"/>
          <w:numId w:val="4"/>
        </w:numPr>
      </w:pPr>
      <w:r>
        <w:t xml:space="preserve">Holland &amp; Knight, </w:t>
      </w:r>
      <w:hyperlink r:id="rId3" w:history="1">
        <w:r>
          <w:rPr>
            <w:rStyle w:val="Hyperlink"/>
          </w:rPr>
          <w:t xml:space="preserve">Bipartisan Senate Committee Leaders Release Permitting Reform Text</w:t>
        </w:r>
      </w:hyperlink>
      <w:r>
        <w:t xml:space="preserve">, Oct 1, 2026.</w:t>
      </w:r>
    </w:p>
    <w:p>
      <w:pPr>
        <w:pStyle w:val="ListParagraph"/>
        <w:numPr>
          <w:ilvl w:val="0"/>
          <w:numId w:val="4"/>
        </w:numPr>
      </w:pPr>
      <w:r>
        <w:t xml:space="preserve">Oil &amp; Gas Journal, </w:t>
      </w:r>
      <w:hyperlink r:id="rId4" w:history="1">
        <w:r>
          <w:rPr>
            <w:rStyle w:val="Hyperlink"/>
          </w:rPr>
          <w:t xml:space="preserve">US Senate negotiators reach permitting bill deal</w:t>
        </w:r>
      </w:hyperlink>
      <w:r>
        <w:t xml:space="preserve">.</w:t>
      </w:r>
    </w:p>
    <w:p>
      <w:pPr>
        <w:pStyle w:val="ListParagraph"/>
        <w:numPr>
          <w:ilvl w:val="0"/>
          <w:numId w:val="4"/>
        </w:numPr>
      </w:pPr>
      <w:r>
        <w:t xml:space="preserve">Bloomberg Government, </w:t>
      </w:r>
      <w:hyperlink r:id="rId5" w:history="1">
        <w:r>
          <w:rPr>
            <w:rStyle w:val="Hyperlink"/>
          </w:rPr>
          <w:t xml:space="preserve">'Monumental' Senate Permitting Deal Would Expedite Projects</w:t>
        </w:r>
      </w:hyperlink>
      <w:r>
        <w:t xml:space="preserve">.</w:t>
      </w:r>
    </w:p>
    <w:p>
      <w:pPr>
        <w:pStyle w:val="ListParagraph"/>
        <w:numPr>
          <w:ilvl w:val="0"/>
          <w:numId w:val="4"/>
        </w:numPr>
      </w:pPr>
      <w:r>
        <w:t xml:space="preserve">ARTBA, </w:t>
      </w:r>
      <w:hyperlink r:id="rId6" w:history="1">
        <w:r>
          <w:rPr>
            <w:rStyle w:val="Hyperlink"/>
          </w:rPr>
          <w:t xml:space="preserve">BUILD America 250 Act short summary</w:t>
        </w:r>
      </w:hyperlink>
      <w:r>
        <w:t xml:space="preserve">, May 2026.</w:t>
      </w:r>
    </w:p>
    <w:p>
      <w:pPr>
        <w:pStyle w:val="ListParagraph"/>
        <w:numPr>
          <w:ilvl w:val="0"/>
          <w:numId w:val="4"/>
        </w:numPr>
      </w:pPr>
      <w:r>
        <w:t xml:space="preserve">E&amp;E News, </w:t>
      </w:r>
      <w:hyperlink r:id="rId7" w:history="1">
        <w:r>
          <w:rPr>
            <w:rStyle w:val="Hyperlink"/>
          </w:rPr>
          <w:t xml:space="preserve">Permitting, EV fees, climate rollbacks: Inside the House's highway bill</w:t>
        </w:r>
      </w:hyperlink>
      <w:r>
        <w:t xml:space="preserve"> and </w:t>
      </w:r>
      <w:hyperlink r:id="rId8" w:history="1">
        <w:r>
          <w:rPr>
            <w:rStyle w:val="Hyperlink"/>
          </w:rPr>
          <w:t xml:space="preserve">Committee approves highway bill after sparring over EV fees, climate repeals</w:t>
        </w:r>
      </w:hyperlink>
      <w:r>
        <w:t xml:space="preserve">.</w:t>
      </w:r>
    </w:p>
    <w:p>
      <w:pPr>
        <w:pStyle w:val="ListParagraph"/>
        <w:numPr>
          <w:ilvl w:val="0"/>
          <w:numId w:val="4"/>
        </w:numPr>
      </w:pPr>
      <w:r>
        <w:t xml:space="preserve">CRS, </w:t>
      </w:r>
      <w:hyperlink r:id="rId9" w:history="1">
        <w:r>
          <w:rPr>
            <w:rStyle w:val="Hyperlink"/>
          </w:rPr>
          <w:t xml:space="preserve">Surface Transportation Authorization Legislation: Timelines and Extensions</w:t>
        </w:r>
      </w:hyperlink>
      <w:r>
        <w:t xml:space="preserve">, Sept 14, 2026.</w:t>
      </w:r>
    </w:p>
    <w:p>
      <w:pPr>
        <w:pStyle w:val="ListParagraph"/>
        <w:numPr>
          <w:ilvl w:val="0"/>
          <w:numId w:val="4"/>
        </w:numPr>
      </w:pPr>
      <w:r>
        <w:t xml:space="preserve">SEEC Institute, </w:t>
      </w:r>
      <w:hyperlink r:id="rId10" w:history="1">
        <w:r>
          <w:rPr>
            <w:rStyle w:val="Hyperlink"/>
          </w:rPr>
          <w:t xml:space="preserve">Thriving Economy Project</w:t>
        </w:r>
      </w:hyperlink>
      <w:r>
        <w:t xml:space="preserve"> (Chapters 3, 5, 7 and 9).</w:t>
      </w:r>
    </w:p>
    <w:p>
      <w:pPr/>
      <w:r>
        <w:t xml:space="preserve">The ranking of asks, the fallbacks and the leverage assessment are my analysis.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hklaw.com/en/insights/publications/2026/10/bipartisan-senate-committee-leaders-release-permitting-reform-text" TargetMode="External"/><Relationship Id="rId4" Type="http://schemas.openxmlformats.org/officeDocument/2006/relationships/hyperlink" Target="https://www.ogj.com/general-interest/government/news/55408949/us-senate-negotiators-reach-permitting-bill-deal-ending-yearslong-impasse" TargetMode="External"/><Relationship Id="rId5" Type="http://schemas.openxmlformats.org/officeDocument/2006/relationships/hyperlink" Target="https://news.bgov.com/bloomberg-government-news/senate-permitting-deal-includes-perks-for-republicans-democrats" TargetMode="External"/><Relationship Id="rId6" Type="http://schemas.openxmlformats.org/officeDocument/2006/relationships/hyperlink" Target="https://www.artba.org/wp-content/uploads/2026/05/BA250-Short-Summary.pdf" TargetMode="External"/><Relationship Id="rId7" Type="http://schemas.openxmlformats.org/officeDocument/2006/relationships/hyperlink" Target="https://www.eenews.net/articles/permitting-ev-fees-climate-rollbacks-inside-the-houses-highway-bill/" TargetMode="External"/><Relationship Id="rId8" Type="http://schemas.openxmlformats.org/officeDocument/2006/relationships/hyperlink" Target="https://www.eenews.net/articles/committee-approves-highway-bill-after-sparring-over-ev-fees-climate-repeals/" TargetMode="External"/><Relationship Id="rId9" Type="http://schemas.openxmlformats.org/officeDocument/2006/relationships/hyperlink" Target="https://www.everycrsreport.com/files/2026-09-14_IG10101_7bde9a13a694b6e97925717dcb69733c2b454af8.html" TargetMode="External"/><Relationship Id="rId10" Type="http://schemas.openxmlformats.org/officeDocument/2006/relationships/hyperlink" Target="https://www.seecinstitute.org/thriving-economy-projec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Lame-duck leverage permitting and surface transportation</dc:title>
  <dc:description>Claude Docs node/3fd7279a-caf5@8 docx-w7</dc:description>
  <cp:revision>8</cp:revision>
</cp:coreProperties>
</file>