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Thriving Economy Project: Legislative Agenda Map</w:t>
      </w:r>
    </w:p>
    <w:p>
      <w:pPr/>
      <w:r>
        <w:t xml:space="preserve">Oct 9, 2026</w:t>
      </w:r>
      <w:r>
        <w:t xml:space="preserve"> · </w:t>
      </w:r>
      <w:r>
        <w:t xml:space="preserve">@espen</w:t>
      </w:r>
    </w:p>
    <w:p>
      <w:pPr/>
      <w:r>
        <w:t xml:space="preserve">Under Trump with a Democratic House, roughly a third of the Thriving Economy Project can realistically become law, almost all of it riding on must-pass bills; the core of it, rebuilding the IRA's tax architecture and adding new federal mandates on utilities, insurers and land use, waits for a 2029 trifecta and mostly needs reconciliation.</w:t>
      </w:r>
    </w:p>
    <w:p>
      <w:pPr>
        <w:pStyle w:val="Heading2"/>
      </w:pPr>
      <w:r>
        <w:t xml:space="preserve">What the report is, and how this map sorts it</w:t>
      </w:r>
    </w:p>
    <w:p>
      <w:pPr/>
      <w:r>
        <w:t xml:space="preserve">The report is a menu, not a bill. SEEC Institute (the nonprofit arm of the 100-plus-member House caucus) says so repeatedly: "options, not prescriptions," "never intended to become a single legislative package," "not always internally consistent," and "does not necessarily represent the individual beliefs" of the member chapter leads. It runs 253 pages: 9 chapters, 53 benchmarks, about 165 named challenges, and several hundred policy options.</w:t>
      </w:r>
    </w:p>
    <w:p>
      <w:pPr/>
      <w:r>
        <w:t xml:space="preserve">It also positions itself as "a policy blueprint ready for 2027," was released weeks before the midterms, and has nine sitting members (Castor, Budzinski, Stansbury, Dexter, Levin, Ross, Whitesides, Casten, Amo) attached to chapters. Treating it as the working framework for a Democratic House is reasonable. Treating any single item as caucus policy is not.</w:t>
      </w:r>
    </w:p>
    <w:p>
      <w:pPr/>
      <w:r>
        <w:t xml:space="preserve">The report never sorts its own items by political feasibility. That sorting is my analysis, using three tests:</w:t>
      </w:r>
    </w:p>
    <w:p>
      <w:pPr>
        <w:pStyle w:val="ListParagraph"/>
        <w:numPr>
          <w:ilvl w:val="0"/>
          <w:numId w:val="2"/>
        </w:numPr>
      </w:pPr>
      <w:r>
        <w:rPr>
          <w:b/>
        </w:rPr>
        <w:t xml:space="preserve">Vehicle.</w:t>
      </w:r>
      <w:r>
        <w:t xml:space="preserve"> Is there a must-pass or bipartisan bill it can ride on in 2027–28 (farm bill, surface transportation, NDAA, WRDA, NFIP, appropriations)?</w:t>
      </w:r>
    </w:p>
    <w:p>
      <w:pPr>
        <w:pStyle w:val="ListParagraph"/>
        <w:numPr>
          <w:ilvl w:val="0"/>
          <w:numId w:val="2"/>
        </w:numPr>
      </w:pPr>
      <w:r>
        <w:rPr>
          <w:b/>
        </w:rPr>
        <w:t xml:space="preserve">Signature.</w:t>
      </w:r>
      <w:r>
        <w:t xml:space="preserve"> Does it fit a Trump White House's stated priorities (nuclear, geothermal, critical minerals, permitting speed, rural, defense, anti-China), or does it reverse them (IRA credits, Solar for All, efficiency standards, climate disclosure)?</w:t>
      </w:r>
    </w:p>
    <w:p>
      <w:pPr>
        <w:pStyle w:val="ListParagraph"/>
        <w:numPr>
          <w:ilvl w:val="0"/>
          <w:numId w:val="2"/>
        </w:numPr>
      </w:pPr>
      <w:r>
        <w:rPr>
          <w:b/>
        </w:rPr>
        <w:t xml:space="preserve">Senate math.</w:t>
      </w:r>
      <w:r>
        <w:t xml:space="preserve"> Is it budgetary (reconciliation-eligible, 50 votes) or regulatory and structural (60 votes)?</w:t>
      </w:r>
    </w:p>
    <w:p>
      <w:pPr/>
      <w:r>
        <w:t xml:space="preserve">Some items are executive actions the report hopes a future administration takes (finalizing the OSHA heat rule, reinstating OMB ecosystem-valuation guidance, reinstating the BLM Public Lands Rule). Those are noted where they matter but are not the focus.</w:t>
      </w:r>
    </w:p>
    <w:p>
      <w:pPr/>
      <w:r>
        <w:t xml:space="preserve">The report's own framing carries the clearest strategic signal. Every chapter leads with </w:t>
      </w:r>
      <w:r>
        <w:rPr>
          <w:b/>
        </w:rPr>
        <w:t xml:space="preserve">affordability</w:t>
      </w:r>
      <w:r>
        <w:t xml:space="preserve"> (electric bills, premiums, gas prices after the 2026 Iran war and Hormuz disruption) and </w:t>
      </w:r>
      <w:r>
        <w:rPr>
          <w:b/>
        </w:rPr>
        <w:t xml:space="preserve">security</w:t>
      </w:r>
      <w:r>
        <w:t xml:space="preserve"> (China, critical minerals, grid cyber), with "climate" moved to the supporting role. It also adopts the administration's vocabulary where useful (the DOE "Office of Energy Dominance Financing") and repeatedly asks to </w:t>
      </w:r>
      <w:r>
        <w:rPr>
          <w:b/>
        </w:rPr>
        <w:t xml:space="preserve">restore and protect</w:t>
      </w:r>
      <w:r>
        <w:t xml:space="preserve"> what was cancelled, rather than only proposing new spending.</w:t>
      </w:r>
    </w:p>
    <w:p>
      <w:pPr>
        <w:pStyle w:val="Heading2"/>
      </w:pPr>
      <w:r>
        <w:t xml:space="preserve">At a glance: three stages</w:t>
      </w:r>
    </w:p>
    <w:p>
      <w:pPr/>
      <w:r>
        <w:t xml:space="preserve">The agenda sequences naturally into three stages: bank bipartisan wins and protect existing money (2027–28), draw contrasts for 2028, then legislate structurally with a trifecta (2029+).</w:t>
      </w:r>
    </w:p>
    <w:tbl>
      <w:tblPr>
        <w:tblStyle w:val="TableGrid"/>
        <w:tblW w:w="0" w:type="auto"/>
        <w:tblLayout w:type="fixed"/>
        <w:tblLook w:val="04A0" w:firstRow="1" w:lastRow="0" w:firstColumn="0" w:lastColumn="0" w:noHBand="0" w:noVBand="1"/>
      </w:tblPr>
      <w:tblGrid>
        <w:gridCol w:w="1107"/>
        <w:gridCol w:w="1081"/>
        <w:gridCol w:w="1187"/>
        <w:gridCol w:w="2231"/>
        <w:gridCol w:w="3754"/>
      </w:tblGrid>
      <w:tr>
        <w:trPr>
          <w:tblHeader/>
        </w:trPr>
        <w:tc>
          <w:tcPr>
            <w:tcW w:w="1107" w:type="dxa"/>
            <w:shd w:val="clear" w:color="auto" w:fill="F2F2F2"/>
          </w:tcPr>
          <w:p>
            <w:pPr/>
            <w:r>
              <w:t xml:space="preserve">Stage</w:t>
            </w:r>
          </w:p>
        </w:tc>
        <w:tc>
          <w:tcPr>
            <w:tcW w:w="1081" w:type="dxa"/>
            <w:shd w:val="clear" w:color="auto" w:fill="F2F2F2"/>
          </w:tcPr>
          <w:p>
            <w:pPr/>
            <w:r>
              <w:t xml:space="preserve">Window</w:t>
            </w:r>
          </w:p>
        </w:tc>
        <w:tc>
          <w:tcPr>
            <w:tcW w:w="1187" w:type="dxa"/>
            <w:shd w:val="clear" w:color="auto" w:fill="F2F2F2"/>
          </w:tcPr>
          <w:p>
            <w:pPr/>
            <w:r>
              <w:t xml:space="preserve">Political condition</w:t>
            </w:r>
          </w:p>
        </w:tc>
        <w:tc>
          <w:tcPr>
            <w:tcW w:w="2231" w:type="dxa"/>
            <w:shd w:val="clear" w:color="auto" w:fill="F2F2F2"/>
          </w:tcPr>
          <w:p>
            <w:pPr/>
            <w:r>
              <w:t xml:space="preserve">Main vehicles</w:t>
            </w:r>
          </w:p>
        </w:tc>
        <w:tc>
          <w:tcPr>
            <w:tcW w:w="3754" w:type="dxa"/>
            <w:shd w:val="clear" w:color="auto" w:fill="F2F2F2"/>
          </w:tcPr>
          <w:p>
            <w:pPr/>
            <w:r>
              <w:t xml:space="preserve">What it accomplishes</w:t>
            </w:r>
          </w:p>
        </w:tc>
      </w:tr>
      <w:tr>
        <w:tc>
          <w:tcPr>
            <w:tcW w:w="1107" w:type="dxa"/>
          </w:tcPr>
          <w:p>
            <w:pPr/>
            <w:r>
              <w:rPr>
                <w:b/>
              </w:rPr>
              <w:t xml:space="preserve">1. Bank and defend</w:t>
            </w:r>
          </w:p>
        </w:tc>
        <w:tc>
          <w:tcPr>
            <w:tcW w:w="1081" w:type="dxa"/>
          </w:tcPr>
          <w:p>
            <w:pPr/>
            <w:r>
              <w:t xml:space="preserve">Jan 2027 – Dec 2028</w:t>
            </w:r>
          </w:p>
        </w:tc>
        <w:tc>
          <w:tcPr>
            <w:tcW w:w="1187" w:type="dxa"/>
          </w:tcPr>
          <w:p>
            <w:pPr/>
            <w:r>
              <w:t xml:space="preserve">Trump veto; Dem House; Senate filibuster either way</w:t>
            </w:r>
          </w:p>
        </w:tc>
        <w:tc>
          <w:tcPr>
            <w:tcW w:w="2231" w:type="dxa"/>
          </w:tcPr>
          <w:p>
            <w:pPr/>
            <w:r>
              <w:t xml:space="preserve">Farm bill, surface transportation, NFIP, WRDA 2026/2028, NDAA, FY2028–29 appropriations, a permitting deal, FEMA/Stafford reform</w:t>
            </w:r>
          </w:p>
        </w:tc>
        <w:tc>
          <w:tcPr>
            <w:tcW w:w="3754" w:type="dxa"/>
          </w:tcPr>
          <w:p>
            <w:pPr/>
            <w:r>
              <w:t xml:space="preserve">Grid, nuclear, geothermal, minerals, disaster and rural items that fit both parties; restores cancelled awards through appropriations; builds the data systems later mandates need</w:t>
            </w:r>
          </w:p>
        </w:tc>
      </w:tr>
      <w:tr>
        <w:tc>
          <w:tcPr>
            <w:tcW w:w="1107" w:type="dxa"/>
          </w:tcPr>
          <w:p>
            <w:pPr/>
            <w:r>
              <w:rPr>
                <w:b/>
              </w:rPr>
              <w:t xml:space="preserve">2. Contrast</w:t>
            </w:r>
          </w:p>
        </w:tc>
        <w:tc>
          <w:tcPr>
            <w:tcW w:w="1081" w:type="dxa"/>
          </w:tcPr>
          <w:p>
            <w:pPr/>
            <w:r>
              <w:t xml:space="preserve">Mostly 2028</w:t>
            </w:r>
          </w:p>
        </w:tc>
        <w:tc>
          <w:tcPr>
            <w:tcW w:w="1187" w:type="dxa"/>
          </w:tcPr>
          <w:p>
            <w:pPr/>
            <w:r>
              <w:t xml:space="preserve">Same</w:t>
            </w:r>
          </w:p>
        </w:tc>
        <w:tc>
          <w:tcPr>
            <w:tcW w:w="2231" w:type="dxa"/>
          </w:tcPr>
          <w:p>
            <w:pPr/>
            <w:r>
              <w:t xml:space="preserve">House-passed standalone bills; discharge or veto fights if Senate flips</w:t>
            </w:r>
          </w:p>
        </w:tc>
        <w:tc>
          <w:tcPr>
            <w:tcW w:w="3754" w:type="dxa"/>
          </w:tcPr>
          <w:p>
            <w:pPr/>
            <w:r>
              <w:t xml:space="preserve">Puts affordability (bills, premiums, gas prices) and data-center cost shifting on the record for the presidential cycle</w:t>
            </w:r>
          </w:p>
        </w:tc>
      </w:tr>
      <w:tr>
        <w:tc>
          <w:tcPr>
            <w:tcW w:w="1107" w:type="dxa"/>
          </w:tcPr>
          <w:p>
            <w:pPr/>
            <w:r>
              <w:rPr>
                <w:b/>
              </w:rPr>
              <w:t xml:space="preserve">3. Build</w:t>
            </w:r>
          </w:p>
        </w:tc>
        <w:tc>
          <w:tcPr>
            <w:tcW w:w="1081" w:type="dxa"/>
          </w:tcPr>
          <w:p>
            <w:pPr/>
            <w:r>
              <w:t xml:space="preserve">2029+</w:t>
            </w:r>
          </w:p>
        </w:tc>
        <w:tc>
          <w:tcPr>
            <w:tcW w:w="1187" w:type="dxa"/>
          </w:tcPr>
          <w:p>
            <w:pPr/>
            <w:r>
              <w:t xml:space="preserve">Dem trifecta</w:t>
            </w:r>
          </w:p>
        </w:tc>
        <w:tc>
          <w:tcPr>
            <w:tcW w:w="2231" w:type="dxa"/>
          </w:tcPr>
          <w:p>
            <w:pPr/>
            <w:r>
              <w:t xml:space="preserve">Reconciliation (tax, spending, revenue), plus 60-vote or filibuster-reformed regular order</w:t>
            </w:r>
          </w:p>
        </w:tc>
        <w:tc>
          <w:tcPr>
            <w:tcW w:w="3754" w:type="dxa"/>
          </w:tcPr>
          <w:p>
            <w:pPr/>
            <w:r>
              <w:t xml:space="preserve">Restores and expands IRA credits as refundable and direct pay; new revenue (windfall, border carbon, data-center fee); federal standards on utilities, transmission siting, insurance, land use, disclosure; Trump-proofing of grants</w:t>
            </w:r>
          </w:p>
        </w:tc>
      </w:tr>
    </w:tbl>
    <w:p>
      <w:pPr/>
      <w:r>
        <w:t xml:space="preserve">A rough rule from the report itself: anything phrased as "restore," "reauthorize," "fund," "study," "pilot," or "collect data" is Stage 1 material; anything phrased as "require," "prohibit," "condition federal funding on," or "establish a tax credit" is Stage 3.</w:t>
      </w:r>
    </w:p>
    <w:p>
      <w:pPr>
        <w:pStyle w:val="Heading2"/>
      </w:pPr>
      <w:r>
        <w:t xml:space="preserve">Stage 1a: must-pass vehicles in 2027–28</w:t>
      </w:r>
    </w:p>
    <w:p>
      <w:pPr/>
      <w:r>
        <w:t xml:space="preserve">The most realistic path for the report's ideas under Trump is attaching them to bills that have to move anyway. Seven vehicles carry most of the achievable agenda; the farm bill and surface transportation are both live right now.</w:t>
      </w:r>
    </w:p>
    <w:tbl>
      <w:tblPr>
        <w:tblStyle w:val="TableGrid"/>
        <w:tblW w:w="0" w:type="auto"/>
        <w:tblLayout w:type="fixed"/>
        <w:tblLook w:val="04A0" w:firstRow="1" w:lastRow="0" w:firstColumn="0" w:lastColumn="0" w:noHBand="0" w:noVBand="1"/>
      </w:tblPr>
      <w:tblGrid>
        <w:gridCol w:w="1900"/>
        <w:gridCol w:w="4920"/>
        <w:gridCol w:w="2540"/>
      </w:tblGrid>
      <w:tr>
        <w:trPr>
          <w:tblHeader/>
        </w:trPr>
        <w:tc>
          <w:tcPr>
            <w:tcW w:w="1900" w:type="dxa"/>
            <w:shd w:val="clear" w:color="auto" w:fill="F2F2F2"/>
          </w:tcPr>
          <w:p>
            <w:pPr/>
            <w:r>
              <w:t xml:space="preserve">Vehicle and timing</w:t>
            </w:r>
          </w:p>
        </w:tc>
        <w:tc>
          <w:tcPr>
            <w:tcW w:w="4920" w:type="dxa"/>
            <w:shd w:val="clear" w:color="auto" w:fill="F2F2F2"/>
          </w:tcPr>
          <w:p>
            <w:pPr/>
            <w:r>
              <w:t xml:space="preserve">Thriving Economy items that fit</w:t>
            </w:r>
          </w:p>
        </w:tc>
        <w:tc>
          <w:tcPr>
            <w:tcW w:w="2540" w:type="dxa"/>
            <w:shd w:val="clear" w:color="auto" w:fill="F2F2F2"/>
          </w:tcPr>
          <w:p>
            <w:pPr/>
            <w:r>
              <w:t xml:space="preserve">Effect if enacted</w:t>
            </w:r>
          </w:p>
        </w:tc>
      </w:tr>
      <w:tr>
        <w:tc>
          <w:tcPr>
            <w:tcW w:w="1900" w:type="dxa"/>
          </w:tcPr>
          <w:p>
            <w:pPr/>
            <w:r>
              <w:rPr>
                <w:b/>
              </w:rPr>
              <w:t xml:space="preserve">Farm bill.</w:t>
            </w:r>
            <w:r>
              <w:t xml:space="preserve"> House passed its bill in April 2026; Senate Ag stalled in August; remaining "skinny" authorities lapsed again at the end of September 2026. Likely a lame-duck or 2027 fight, with a Dem House rewriting its side. Note: OBBBA already reauthorized ARC/PLC and crop insurance through 2031.</w:t>
            </w:r>
          </w:p>
        </w:tc>
        <w:tc>
          <w:tcPr>
            <w:tcW w:w="4920" w:type="dxa"/>
          </w:tcPr>
          <w:p>
            <w:pPr/>
            <w:r>
              <w:t xml:space="preserve">Mandatory Conservation Technical Assistance funding; EQIP small-producer set-aside raised from 5% to 30%; NRCS auto-approval of standard soil-health practices; FSA enrolling farmers in EQIP at acreage reporting; CRP climate payments plus a working-lands grazing component; enforce conservation compliance; fund AgARDA; statutory USDA Climate Hubs; RMA 508(h) fast track (12-month decision), provisional approvals and pre-submission consults; reinstate PACE; fix T-yields and APH for new crops; simplify Whole Farm Revenue Protection; pilots for cover crops, agroforestry and perennials; paid transition off repeat-loss acres; heirs' property grants via nonprofits; TOTAL survey on absentee ownership; fund the Commission on Farm Transition and DBAN; REAP for agrivoltaics and wind; tiered nitrogen-surplus payments; Section 32 and school-food procurement set-asides for regenerative crops; single biotech review across USDA, FDA, EPA; statutory Rural Partners Network</w:t>
            </w:r>
          </w:p>
        </w:tc>
        <w:tc>
          <w:tcPr>
            <w:tcW w:w="2540" w:type="dxa"/>
          </w:tcPr>
          <w:p>
            <w:pPr/>
            <w:r>
              <w:t xml:space="preserve">Moves conservation money toward small and beginning farmers; lets crop insurance cover diversification instead of penalizing it; starts paying for outcomes (nitrogen, soil) rather than yield. The bigger commodity-program redesign (pay on revenue and ecosystem services, stop subsidizing crops in unsuitable climates) is blocked until the 2031 reauthorization or a trifecta reconciliation bill.</w:t>
            </w:r>
          </w:p>
        </w:tc>
      </w:tr>
      <w:tr>
        <w:tc>
          <w:tcPr>
            <w:tcW w:w="1900" w:type="dxa"/>
          </w:tcPr>
          <w:p>
            <w:pPr/>
            <w:r>
              <w:rPr>
                <w:b/>
              </w:rPr>
              <w:t xml:space="preserve">Surface transportation reauthorization.</w:t>
            </w:r>
            <w:r>
              <w:t xml:space="preserve"> IIJA authorizations extended to Dec 11, 2026 (P.L. 119-103); House T&amp;I has advanced a multiyear bill. Expect more extensions into the 120th Congress.</w:t>
            </w:r>
          </w:p>
        </w:tc>
        <w:tc>
          <w:tcPr>
            <w:tcW w:w="4920" w:type="dxa"/>
          </w:tcPr>
          <w:p>
            <w:pPr/>
            <w:r>
              <w:t xml:space="preserve">Scale PROTECT resilience funding with a suballocation to local road owners; make resilience eligible across formula programs; strike TIFIA's investment-grade requirement (23 U.S.C. 603); standing credit subsidy for RRIF on the DOE loan-office model; a National Transportation Vulnerability Atlas; transmission and broadband in highway rights-of-way; freight electrification corridors; NEVI-style uptime and open-payment rules for any federally funded charger; bulk rolling-stock procurement; flexible rural and Tribal transit; a Build America Bureau loan program for port and airport decarbonization</w:t>
            </w:r>
          </w:p>
        </w:tc>
        <w:tc>
          <w:tcPr>
            <w:tcW w:w="2540" w:type="dxa"/>
          </w:tcPr>
          <w:p>
            <w:pPr/>
            <w:r>
              <w:t xml:space="preserve">Cheaper capital for small and rural sponsors; fewer rebuild-in-place cycles after disasters; co-locating transmission in existing corridors sidesteps the hardest siting fights. The ADA-style Climate-Ready Transportation Standard and the Interstate-scale High-Performance Rail Network are Stage 3.</w:t>
            </w:r>
          </w:p>
        </w:tc>
      </w:tr>
      <w:tr>
        <w:tc>
          <w:tcPr>
            <w:tcW w:w="1900" w:type="dxa"/>
          </w:tcPr>
          <w:p>
            <w:pPr/>
            <w:r>
              <w:rPr>
                <w:b/>
              </w:rPr>
              <w:t xml:space="preserve">NFIP reauthorization.</w:t>
            </w:r>
            <w:r>
              <w:t xml:space="preserve"> Running on 30-plus short-term extensions since FY2017; ~$22.5B debt to Treasury.</w:t>
            </w:r>
          </w:p>
        </w:tc>
        <w:tc>
          <w:tcPr>
            <w:tcW w:w="4920" w:type="dxa"/>
          </w:tcPr>
          <w:p>
            <w:pPr/>
            <w:r>
              <w:t xml:space="preserve">Multi-year reauthorization; means-tested premium support for LMI primary residences (not rate caps, non-transferable on sale); higher Increased Cost of Compliance limits; authority to forgive or restructure NFIP debt; future-conditions and rainfall (pluvial) flood mapping on a set cycle; Community Rating System reform for sea-level rise</w:t>
            </w:r>
          </w:p>
        </w:tc>
        <w:tc>
          <w:tcPr>
            <w:tcW w:w="2540" w:type="dxa"/>
          </w:tcPr>
          <w:p>
            <w:pPr/>
            <w:r>
              <w:t xml:space="preserve">Stops debt service from inflating premiums; lets risk-based pricing (Risk Rating 2.0) continue while shielding existing low-income owners; better maps feed every later land-use and mortgage reform.</w:t>
            </w:r>
          </w:p>
        </w:tc>
      </w:tr>
      <w:tr>
        <w:tc>
          <w:tcPr>
            <w:tcW w:w="1900" w:type="dxa"/>
          </w:tcPr>
          <w:p>
            <w:pPr/>
            <w:r>
              <w:rPr>
                <w:b/>
              </w:rPr>
              <w:t xml:space="preserve">FEMA and Stafford Act reform.</w:t>
            </w:r>
            <w:r>
              <w:t xml:space="preserve"> The President's FEMA Review Council (final report May 2026) wants parametric block grants, a single survivor payment and higher declaration thresholds; CRS notes most need Congress. That makes this a negotiation, not a Dem-only bill.</w:t>
            </w:r>
          </w:p>
        </w:tc>
        <w:tc>
          <w:tcPr>
            <w:tcW w:w="4920" w:type="dxa"/>
          </w:tcPr>
          <w:p>
            <w:pPr/>
            <w:r>
              <w:t xml:space="preserve">Counteroffer package: independent, cabinet-level FEMA with Senate-confirmed leadership and its own IG; a mitigation set-aside of $1 for every $1 of disaster supplemental; estimate-based Public Assistance; a Universal Survivor Application; codify alternative ownership documents (heirs' affidavits); wildfire-smoke eligibility; a sub-presidential declaration pathway for rural and Tribal disasters; slow-onset hazards (permafrost, subsidence); permanent CDBG-DR authorization; a National Disaster Safety Board on the NTSB model; renter protections; FEMA pays attorney fees on wrongful denials</w:t>
            </w:r>
          </w:p>
        </w:tc>
        <w:tc>
          <w:tcPr>
            <w:tcW w:w="2540" w:type="dxa"/>
          </w:tcPr>
          <w:p>
            <w:pPr/>
            <w:r>
              <w:t xml:space="preserve">Faster, more predictable recovery money; shifts spending from rebuilding toward prevention (the report cites $6 returned per $1 of mitigation grants); prevents the Council's block-grant model from becoming a way to shrink the federal role.</w:t>
            </w:r>
          </w:p>
        </w:tc>
      </w:tr>
      <w:tr>
        <w:tc>
          <w:tcPr>
            <w:tcW w:w="1900" w:type="dxa"/>
          </w:tcPr>
          <w:p>
            <w:pPr/>
            <w:r>
              <w:rPr>
                <w:b/>
              </w:rPr>
              <w:t xml:space="preserve">WRDA 2026 and WRDA 2028.</w:t>
            </w:r>
            <w:r>
              <w:t xml:space="preserve"> Biennial and reliably bipartisan.</w:t>
            </w:r>
          </w:p>
        </w:tc>
        <w:tc>
          <w:tcPr>
            <w:tcW w:w="4920" w:type="dxa"/>
          </w:tcPr>
          <w:p>
            <w:pPr/>
            <w:r>
              <w:t xml:space="preserve">Future-conditions hydrology in all USACE design and planning; nature-based and hybrid flood infrastructure; high-hazard dam removal; implement National Committee on Levee Safety recommendations; inland waterways locks and dams; a protect-or-relocate lifecycle cost test before re-funding structural protection</w:t>
            </w:r>
          </w:p>
        </w:tc>
        <w:tc>
          <w:tcPr>
            <w:tcW w:w="2540" w:type="dxa"/>
          </w:tcPr>
          <w:p>
            <w:pPr/>
            <w:r>
              <w:t xml:space="preserve">Puts climate projections into the Corps' project math without calling it climate policy; makes buyouts a real alternative to levees.</w:t>
            </w:r>
          </w:p>
        </w:tc>
      </w:tr>
      <w:tr>
        <w:tc>
          <w:tcPr>
            <w:tcW w:w="1900" w:type="dxa"/>
          </w:tcPr>
          <w:p>
            <w:pPr/>
            <w:r>
              <w:rPr>
                <w:b/>
              </w:rPr>
              <w:t xml:space="preserve">NDAA, FY2028 and FY2029.</w:t>
            </w:r>
            <w:r>
              <w:t xml:space="preserve"> Annual, bipartisan, and Trump-friendly on China and energy security.</w:t>
            </w:r>
          </w:p>
        </w:tc>
        <w:tc>
          <w:tcPr>
            <w:tcW w:w="4920" w:type="dxa"/>
          </w:tcPr>
          <w:p>
            <w:pPr/>
            <w:r>
              <w:t xml:space="preserve">DOD as anchor tenant for HVDC lines serving installations; installation microgrids and SMR "energy hubs"; widen Defense Critical Electric Infrastructure to include wildfire risk and indirect mission support; climate vulnerability assessments for every installation; military-community resilience partnerships on the Sentinel Landscapes model; DPA Title III and Office of Strategic Capital focused on minerals and magnets; critical-materials stress tests and stockpiles; ban adversary remote-access tech, LiDAR and network gear in critical infrastructure; phase out PRC-controlled grid software; HBOM/SBOM for procurement; minerals training in Professional Military Education</w:t>
            </w:r>
          </w:p>
        </w:tc>
        <w:tc>
          <w:tcPr>
            <w:tcW w:w="2540" w:type="dxa"/>
          </w:tcPr>
          <w:p>
            <w:pPr/>
            <w:r>
              <w:t xml:space="preserve">The cleanest route for grid, storage and nuclear money under Trump, because it is framed as readiness. Gives DOD a stake in interregional transmission.</w:t>
            </w:r>
          </w:p>
        </w:tc>
      </w:tr>
      <w:tr>
        <w:tc>
          <w:tcPr>
            <w:tcW w:w="1900" w:type="dxa"/>
          </w:tcPr>
          <w:p>
            <w:pPr/>
            <w:r>
              <w:rPr>
                <w:b/>
              </w:rPr>
              <w:t xml:space="preserve">FAA reauthorization.</w:t>
            </w:r>
            <w:r>
              <w:t xml:space="preserve"> The 2024 act runs through FY2028, so the next bill is due in 2028.</w:t>
            </w:r>
          </w:p>
        </w:tc>
        <w:tc>
          <w:tcPr>
            <w:tcW w:w="4920" w:type="dxa"/>
          </w:tcPr>
          <w:p>
            <w:pPr/>
            <w:r>
              <w:t xml:space="preserve">Modernized AIP for resilient, electrified airports; reform and stabilize Essential Air Service; performance benchmarks for the new Airspace Modernization Office including fuel burn; controller pipeline protected by advance appropriations; SAF incentives; hybrid-electric and hydrogen propulsion R&amp;D</w:t>
            </w:r>
          </w:p>
        </w:tc>
        <w:tc>
          <w:tcPr>
            <w:tcW w:w="2540" w:type="dxa"/>
          </w:tcPr>
          <w:p>
            <w:pPr/>
            <w:r>
              <w:t xml:space="preserve">Lower delay and fuel costs; protects rural air service; keeps U.S. aerospace ahead. Likely the last bipartisan vehicle before the 2029 transition.</w:t>
            </w:r>
          </w:p>
        </w:tc>
      </w:tr>
    </w:tbl>
    <w:p>
      <w:pPr/>
      <w:r>
        <w:t xml:space="preserve">Two more vehicles lack a deadline but are actively negotiated. A </w:t>
      </w:r>
      <w:r>
        <w:rPr>
          <w:b/>
        </w:rPr>
        <w:t xml:space="preserve">permitting deal</w:t>
      </w:r>
      <w:r>
        <w:t xml:space="preserve"> (see Stage 1b) is the biggest. A </w:t>
      </w:r>
      <w:r>
        <w:rPr>
          <w:b/>
        </w:rPr>
        <w:t xml:space="preserve">housing follow-on</w:t>
      </w:r>
      <w:r>
        <w:t xml:space="preserve"> to the 21st Century ROAD to Housing Act would carry the report's risk dimension: hazard-resistant code baselines as a condition of federal housing aid, and weighting the Act's "Build Now" production credit toward lower-risk, infrastructure-served sites.</w:t>
      </w:r>
    </w:p>
    <w:p>
      <w:pPr>
        <w:pStyle w:val="Heading2"/>
      </w:pPr>
      <w:r>
        <w:t xml:space="preserve">Stage 1b: standalone bills Trump could plausibly sign</w:t>
      </w:r>
    </w:p>
    <w:p>
      <w:pPr/>
      <w:r>
        <w:t xml:space="preserve">Outside the must-pass bills, the signable items cluster where the report deliberately overlaps the administration's "energy dominance" and anti-China agenda: firm power, minerals, grid speed, rural capacity and government efficiency. The Democratic price for each is usually a guardrail (technology neutrality, community benefit, Tribal consent) rather than the item itself.</w:t>
      </w:r>
    </w:p>
    <w:tbl>
      <w:tblPr>
        <w:tblStyle w:val="TableGrid"/>
        <w:tblW w:w="0" w:type="auto"/>
        <w:tblLayout w:type="fixed"/>
        <w:tblLook w:val="04A0" w:firstRow="1" w:lastRow="0" w:firstColumn="0" w:lastColumn="0" w:noHBand="0" w:noVBand="1"/>
      </w:tblPr>
      <w:tblGrid>
        <w:gridCol w:w="4751"/>
        <w:gridCol w:w="910"/>
        <w:gridCol w:w="1786"/>
        <w:gridCol w:w="1913"/>
      </w:tblGrid>
      <w:tr>
        <w:trPr>
          <w:tblHeader/>
        </w:trPr>
        <w:tc>
          <w:tcPr>
            <w:tcW w:w="4751" w:type="dxa"/>
            <w:shd w:val="clear" w:color="auto" w:fill="F2F2F2"/>
          </w:tcPr>
          <w:p>
            <w:pPr/>
            <w:r>
              <w:t xml:space="preserve">Item</w:t>
            </w:r>
          </w:p>
        </w:tc>
        <w:tc>
          <w:tcPr>
            <w:tcW w:w="910" w:type="dxa"/>
            <w:shd w:val="clear" w:color="auto" w:fill="F2F2F2"/>
          </w:tcPr>
          <w:p>
            <w:pPr/>
            <w:r>
              <w:t xml:space="preserve">Ch.</w:t>
            </w:r>
          </w:p>
        </w:tc>
        <w:tc>
          <w:tcPr>
            <w:tcW w:w="1786" w:type="dxa"/>
            <w:shd w:val="clear" w:color="auto" w:fill="F2F2F2"/>
          </w:tcPr>
          <w:p>
            <w:pPr/>
            <w:r>
              <w:t xml:space="preserve">Why it is signable</w:t>
            </w:r>
          </w:p>
        </w:tc>
        <w:tc>
          <w:tcPr>
            <w:tcW w:w="1913" w:type="dxa"/>
            <w:shd w:val="clear" w:color="auto" w:fill="F2F2F2"/>
          </w:tcPr>
          <w:p>
            <w:pPr/>
            <w:r>
              <w:t xml:space="preserve">Effect</w:t>
            </w:r>
          </w:p>
        </w:tc>
      </w:tr>
      <w:tr>
        <w:tc>
          <w:tcPr>
            <w:tcW w:w="4751" w:type="dxa"/>
          </w:tcPr>
          <w:p>
            <w:pPr/>
            <w:r>
              <w:rPr>
                <w:b/>
              </w:rPr>
              <w:t xml:space="preserve">Permitting package:</w:t>
            </w:r>
            <w:r>
              <w:t xml:space="preserve"> technology-neutral review (no slow-walking wind or solar); statutory ban on retroactive permit or lease cancellation (the NGA's bipartisan ask); expedited challenges that keep third-party standing; ePermitting and a unified interagency portal; a central EOP permitting manager with public timelines; FERC authority to permit national-interest lines (345 kV+/750 MW+, two states or 150 miles) without DOE first designating a corridor</w:t>
            </w:r>
          </w:p>
        </w:tc>
        <w:tc>
          <w:tcPr>
            <w:tcW w:w="910" w:type="dxa"/>
          </w:tcPr>
          <w:p>
            <w:pPr/>
            <w:r>
              <w:t xml:space="preserve">5, 9</w:t>
            </w:r>
          </w:p>
        </w:tc>
        <w:tc>
          <w:tcPr>
            <w:tcW w:w="1786" w:type="dxa"/>
          </w:tcPr>
          <w:p>
            <w:pPr/>
            <w:r>
              <w:t xml:space="preserve">Republicans want NEPA speed and pipelines; Democrats trade for neutrality and transmission</w:t>
            </w:r>
          </w:p>
        </w:tc>
        <w:tc>
          <w:tcPr>
            <w:tcW w:w="1913" w:type="dxa"/>
          </w:tcPr>
          <w:p>
            <w:pPr/>
            <w:r>
              <w:t xml:space="preserve">Removes the main tool used against offshore wind in 2025–26; unlocks interstate lines. The hardest tradeoff in the report.</w:t>
            </w:r>
          </w:p>
        </w:tc>
      </w:tr>
      <w:tr>
        <w:tc>
          <w:tcPr>
            <w:tcW w:w="4751" w:type="dxa"/>
          </w:tcPr>
          <w:p>
            <w:pPr/>
            <w:r>
              <w:rPr>
                <w:b/>
              </w:rPr>
              <w:t xml:space="preserve">Transmission without new agencies:</w:t>
            </w:r>
            <w:r>
              <w:t xml:space="preserve"> more Transmission Facilitation Program money and flexibility; merchant-line cost recovery and a standard merchant interconnection agreement; incentives for states joining DOE's CITAP one-stop process; aid to state transmission authorities (NM RETA model); a host-community economic development fund paid from federal loan interest</w:t>
            </w:r>
          </w:p>
        </w:tc>
        <w:tc>
          <w:tcPr>
            <w:tcW w:w="910" w:type="dxa"/>
          </w:tcPr>
          <w:p>
            <w:pPr/>
            <w:r>
              <w:t xml:space="preserve">5, 8</w:t>
            </w:r>
          </w:p>
        </w:tc>
        <w:tc>
          <w:tcPr>
            <w:tcW w:w="1786" w:type="dxa"/>
          </w:tcPr>
          <w:p>
            <w:pPr/>
            <w:r>
              <w:t xml:space="preserve">The report explicitly defers a National Transmission Authority as "longer-term" and picks competition within existing structures</w:t>
            </w:r>
          </w:p>
        </w:tc>
        <w:tc>
          <w:tcPr>
            <w:tcW w:w="1913" w:type="dxa"/>
          </w:tcPr>
          <w:p>
            <w:pPr/>
            <w:r>
              <w:t xml:space="preserve">More interregional capacity; addresses the $12B-a-year congestion cost the report cites; local buy-in.</w:t>
            </w:r>
          </w:p>
        </w:tc>
      </w:tr>
      <w:tr>
        <w:tc>
          <w:tcPr>
            <w:tcW w:w="4751" w:type="dxa"/>
          </w:tcPr>
          <w:p>
            <w:pPr/>
            <w:r>
              <w:rPr>
                <w:b/>
              </w:rPr>
              <w:t xml:space="preserve">Nuclear follow-on to the ADVANCE Act:</w:t>
            </w:r>
            <w:r>
              <w:t xml:space="preserve"> lighter NRC licensing for microreactors and pilots; make uncontested hearings discretionary (Atomic Energy Act §189a); point ACRS at novel safety questions; federal long-term PPAs and CfDs for advanced nuclear; TVA and PMAs as first deployers</w:t>
            </w:r>
          </w:p>
        </w:tc>
        <w:tc>
          <w:tcPr>
            <w:tcW w:w="910" w:type="dxa"/>
          </w:tcPr>
          <w:p>
            <w:pPr/>
            <w:r>
              <w:t xml:space="preserve">6</w:t>
            </w:r>
          </w:p>
        </w:tc>
        <w:tc>
          <w:tcPr>
            <w:tcW w:w="1786" w:type="dxa"/>
          </w:tcPr>
          <w:p>
            <w:pPr/>
            <w:r>
              <w:t xml:space="preserve">Administration priority</w:t>
            </w:r>
          </w:p>
        </w:tc>
        <w:tc>
          <w:tcPr>
            <w:tcW w:w="1913" w:type="dxa"/>
          </w:tcPr>
          <w:p>
            <w:pPr/>
            <w:r>
              <w:t xml:space="preserve">Faster first-of-a-kind deployment; federal footprint as the buyer of first resort.</w:t>
            </w:r>
          </w:p>
        </w:tc>
      </w:tr>
      <w:tr>
        <w:tc>
          <w:tcPr>
            <w:tcW w:w="4751" w:type="dxa"/>
          </w:tcPr>
          <w:p>
            <w:pPr/>
            <w:r>
              <w:rPr>
                <w:b/>
              </w:rPr>
              <w:t xml:space="preserve">Geothermal:</w:t>
            </w:r>
            <w:r>
              <w:t xml:space="preserve"> standardized permitting, more frequent leasing, USGS state-by-state resource assessment, 45X for drilling and heat-exchange components</w:t>
            </w:r>
          </w:p>
        </w:tc>
        <w:tc>
          <w:tcPr>
            <w:tcW w:w="910" w:type="dxa"/>
          </w:tcPr>
          <w:p>
            <w:pPr/>
            <w:r>
              <w:t xml:space="preserve">5, 6, 7</w:t>
            </w:r>
          </w:p>
        </w:tc>
        <w:tc>
          <w:tcPr>
            <w:tcW w:w="1786" w:type="dxa"/>
          </w:tcPr>
          <w:p>
            <w:pPr/>
            <w:r>
              <w:t xml:space="preserve">Broad bipartisan support; oil-and-gas skills transfer</w:t>
            </w:r>
          </w:p>
        </w:tc>
        <w:tc>
          <w:tcPr>
            <w:tcW w:w="1913" w:type="dxa"/>
          </w:tcPr>
          <w:p>
            <w:pPr/>
            <w:r>
              <w:t xml:space="preserve">Opens enhanced geothermal as 24/7 clean power for data centers.</w:t>
            </w:r>
          </w:p>
        </w:tc>
      </w:tr>
      <w:tr>
        <w:tc>
          <w:tcPr>
            <w:tcW w:w="4751" w:type="dxa"/>
          </w:tcPr>
          <w:p>
            <w:pPr/>
            <w:r>
              <w:rPr>
                <w:b/>
              </w:rPr>
              <w:t xml:space="preserve">Critical minerals:</w:t>
            </w:r>
            <w:r>
              <w:t xml:space="preserve"> permanent Office of Global Energy Security in the EOP; authorize FORGE (formerly the Minerals Security Partnership); price floors and federal offtake; sector-wide price insurance; EarthMRI expansion; recycling and battery Extended Producer Responsibility; trusted-ally content counting toward domestic-content rules; a tracing and certification system; Mining Law of 1872 update</w:t>
            </w:r>
          </w:p>
        </w:tc>
        <w:tc>
          <w:tcPr>
            <w:tcW w:w="910" w:type="dxa"/>
          </w:tcPr>
          <w:p>
            <w:pPr/>
            <w:r>
              <w:t xml:space="preserve">6, 7, 8</w:t>
            </w:r>
          </w:p>
        </w:tc>
        <w:tc>
          <w:tcPr>
            <w:tcW w:w="1786" w:type="dxa"/>
          </w:tcPr>
          <w:p>
            <w:pPr/>
            <w:r>
              <w:t xml:space="preserve">Administration already took equity in MP Materials and Trilogy Metals; the report asks to make that transparent and rules-based</w:t>
            </w:r>
          </w:p>
        </w:tc>
        <w:tc>
          <w:tcPr>
            <w:tcW w:w="1913" w:type="dxa"/>
          </w:tcPr>
          <w:p>
            <w:pPr/>
            <w:r>
              <w:t xml:space="preserve">Stable prices let non-Chinese producers finance; the Democratic add is environmental, labor and Tribal standards, including Boundary Waters protection.</w:t>
            </w:r>
          </w:p>
        </w:tc>
      </w:tr>
      <w:tr>
        <w:tc>
          <w:tcPr>
            <w:tcW w:w="4751" w:type="dxa"/>
          </w:tcPr>
          <w:p>
            <w:pPr/>
            <w:r>
              <w:rPr>
                <w:b/>
              </w:rPr>
              <w:t xml:space="preserve">Carbon management and hydrogen rules:</w:t>
            </w:r>
            <w:r>
              <w:t xml:space="preserve"> PHMSA CO2 and hydrogen pipeline safety standards; EPA Class VI backlog and state primacy; long-term CO2 storage liability; federal siting for interstate CO2 pipelines</w:t>
            </w:r>
          </w:p>
        </w:tc>
        <w:tc>
          <w:tcPr>
            <w:tcW w:w="910" w:type="dxa"/>
          </w:tcPr>
          <w:p>
            <w:pPr/>
            <w:r>
              <w:t xml:space="preserve">5, 6</w:t>
            </w:r>
          </w:p>
        </w:tc>
        <w:tc>
          <w:tcPr>
            <w:tcW w:w="1786" w:type="dxa"/>
          </w:tcPr>
          <w:p>
            <w:pPr/>
            <w:r>
              <w:t xml:space="preserve">Oil-state Republicans support CCS and 45Q</w:t>
            </w:r>
          </w:p>
        </w:tc>
        <w:tc>
          <w:tcPr>
            <w:tcW w:w="1913" w:type="dxa"/>
          </w:tcPr>
          <w:p>
            <w:pPr/>
            <w:r>
              <w:t xml:space="preserve">Makes the existing 45Q credit and hydrogen hubs actually bankable.</w:t>
            </w:r>
          </w:p>
        </w:tc>
      </w:tr>
      <w:tr>
        <w:tc>
          <w:tcPr>
            <w:tcW w:w="4751" w:type="dxa"/>
          </w:tcPr>
          <w:p>
            <w:pPr/>
            <w:r>
              <w:rPr>
                <w:b/>
              </w:rPr>
              <w:t xml:space="preserve">Grid data and modernization:</w:t>
            </w:r>
            <w:r>
              <w:t xml:space="preserve"> EIA grid-utilization metrics; DOE transmission congestion maps; utility disclosure of hosting capacity; national transmission conductor standard; DOE guidance and PMA partnerships on grid-enhancing technologies; storage counted as transmission</w:t>
            </w:r>
          </w:p>
        </w:tc>
        <w:tc>
          <w:tcPr>
            <w:tcW w:w="910" w:type="dxa"/>
          </w:tcPr>
          <w:p>
            <w:pPr/>
            <w:r>
              <w:t xml:space="preserve">5</w:t>
            </w:r>
          </w:p>
        </w:tc>
        <w:tc>
          <w:tcPr>
            <w:tcW w:w="1786" w:type="dxa"/>
          </w:tcPr>
          <w:p>
            <w:pPr/>
            <w:r>
              <w:t xml:space="preserve">"Get more out of the existing grid" is cost-saving and pro-utility-investment</w:t>
            </w:r>
          </w:p>
        </w:tc>
        <w:tc>
          <w:tcPr>
            <w:tcW w:w="1913" w:type="dxa"/>
          </w:tcPr>
          <w:p>
            <w:pPr/>
            <w:r>
              <w:t xml:space="preserve">The report cites $100B+ in consumer savings over a decade from better utilization.</w:t>
            </w:r>
          </w:p>
        </w:tc>
      </w:tr>
      <w:tr>
        <w:tc>
          <w:tcPr>
            <w:tcW w:w="4751" w:type="dxa"/>
          </w:tcPr>
          <w:p>
            <w:pPr/>
            <w:r>
              <w:rPr>
                <w:b/>
              </w:rPr>
              <w:t xml:space="preserve">Large-load reliability:</w:t>
            </w:r>
            <w:r>
              <w:t xml:space="preserve"> register data centers under NERC standards; ride-through requirements; remote curtailment during firm load-shed (Texas model); disclosure of ramp schedules</w:t>
            </w:r>
          </w:p>
        </w:tc>
        <w:tc>
          <w:tcPr>
            <w:tcW w:w="910" w:type="dxa"/>
          </w:tcPr>
          <w:p>
            <w:pPr/>
            <w:r>
              <w:t xml:space="preserve">5</w:t>
            </w:r>
          </w:p>
        </w:tc>
        <w:tc>
          <w:tcPr>
            <w:tcW w:w="1786" w:type="dxa"/>
          </w:tcPr>
          <w:p>
            <w:pPr/>
            <w:r>
              <w:t xml:space="preserve">Reliability, not climate; FERC and NERC are already moving</w:t>
            </w:r>
          </w:p>
        </w:tc>
        <w:tc>
          <w:tcPr>
            <w:tcW w:w="1913" w:type="dxa"/>
          </w:tcPr>
          <w:p>
            <w:pPr/>
            <w:r>
              <w:t xml:space="preserve">Protects other customers from AI-load blackouts and equipment damage.</w:t>
            </w:r>
          </w:p>
        </w:tc>
      </w:tr>
      <w:tr>
        <w:tc>
          <w:tcPr>
            <w:tcW w:w="4751" w:type="dxa"/>
          </w:tcPr>
          <w:p>
            <w:pPr/>
            <w:r>
              <w:rPr>
                <w:b/>
              </w:rPr>
              <w:t xml:space="preserve">Cybersecurity:</w:t>
            </w:r>
            <w:r>
              <w:t xml:space="preserve"> Assistant National Cyber Director for Energy; authorize DOE CESER; mandatory standards for distribution utilities, aggregated DERs and inverters (with funding for small co-ops); extend America's Water Infrastructure Act risk assessments to wastewater and small systems; EPA authority to require fixes; a cyber 911 line for grid operators; reauthorize the Rural and Municipal Utility Cybersecurity program</w:t>
            </w:r>
          </w:p>
        </w:tc>
        <w:tc>
          <w:tcPr>
            <w:tcW w:w="910" w:type="dxa"/>
          </w:tcPr>
          <w:p>
            <w:pPr/>
            <w:r>
              <w:t xml:space="preserve">3, 5, 7</w:t>
            </w:r>
          </w:p>
        </w:tc>
        <w:tc>
          <w:tcPr>
            <w:tcW w:w="1786" w:type="dxa"/>
          </w:tcPr>
          <w:p>
            <w:pPr/>
            <w:r>
              <w:t xml:space="preserve">Bipartisan after the 2026 Iranian PLC advisory</w:t>
            </w:r>
          </w:p>
        </w:tc>
        <w:tc>
          <w:tcPr>
            <w:tcW w:w="1913" w:type="dxa"/>
          </w:tcPr>
          <w:p>
            <w:pPr/>
            <w:r>
              <w:t xml:space="preserve">Closes the gap where distribution grids and most water systems face no federal cyber floor.</w:t>
            </w:r>
          </w:p>
        </w:tc>
      </w:tr>
      <w:tr>
        <w:tc>
          <w:tcPr>
            <w:tcW w:w="4751" w:type="dxa"/>
          </w:tcPr>
          <w:p>
            <w:pPr/>
            <w:r>
              <w:rPr>
                <w:b/>
              </w:rPr>
              <w:t xml:space="preserve">Public lands and rural:</w:t>
            </w:r>
            <w:r>
              <w:t xml:space="preserve"> reauthorize the Great American Outdoors Act Legacy Restoration Fund (inflation-adjusted); mandatory full PILT; reauthorize the Tribal Land Buy-Back Program and SIREN Act; fund the Tribal 477 program across more agencies; extend BEAD, ReConnect and Tribal broadband until the gap closes</w:t>
            </w:r>
          </w:p>
        </w:tc>
        <w:tc>
          <w:tcPr>
            <w:tcW w:w="910" w:type="dxa"/>
          </w:tcPr>
          <w:p>
            <w:pPr/>
            <w:r>
              <w:t xml:space="preserve">2, 4</w:t>
            </w:r>
          </w:p>
        </w:tc>
        <w:tc>
          <w:tcPr>
            <w:tcW w:w="1786" w:type="dxa"/>
          </w:tcPr>
          <w:p>
            <w:pPr/>
            <w:r>
              <w:t xml:space="preserve">Western and rural Republicans own these</w:t>
            </w:r>
          </w:p>
        </w:tc>
        <w:tc>
          <w:tcPr>
            <w:tcW w:w="1913" w:type="dxa"/>
          </w:tcPr>
          <w:p>
            <w:pPr/>
            <w:r>
              <w:t xml:space="preserve">Steadier county budgets; deferred-maintenance relief; rural EMS and broadband.</w:t>
            </w:r>
          </w:p>
        </w:tc>
      </w:tr>
      <w:tr>
        <w:tc>
          <w:tcPr>
            <w:tcW w:w="4751" w:type="dxa"/>
          </w:tcPr>
          <w:p>
            <w:pPr/>
            <w:r>
              <w:rPr>
                <w:b/>
              </w:rPr>
              <w:t xml:space="preserve">Innovation plumbing:</w:t>
            </w:r>
            <w:r>
              <w:t xml:space="preserve"> DOE "Fast Pass" trusted-partner contracting; a $5–50M "Pilot Bridge"; Commercialization Readiness Fund; SBIR Phase III; OTA and multi-year money at DOE; break DOE "colors of money"; federal buildings as living labs; a dedicated loan guarantee for first-of-a-kind factories</w:t>
            </w:r>
          </w:p>
        </w:tc>
        <w:tc>
          <w:tcPr>
            <w:tcW w:w="910" w:type="dxa"/>
          </w:tcPr>
          <w:p>
            <w:pPr/>
            <w:r>
              <w:t xml:space="preserve">6</w:t>
            </w:r>
          </w:p>
        </w:tc>
        <w:tc>
          <w:tcPr>
            <w:tcW w:w="1786" w:type="dxa"/>
          </w:tcPr>
          <w:p>
            <w:pPr/>
            <w:r>
              <w:t xml:space="preserve">Pro-innovation, competes with China</w:t>
            </w:r>
          </w:p>
        </w:tc>
        <w:tc>
          <w:tcPr>
            <w:tcW w:w="1913" w:type="dxa"/>
          </w:tcPr>
          <w:p>
            <w:pPr/>
            <w:r>
              <w:t xml:space="preserve">Closes the lab-to-market gap where U.S. inventions get commercialized abroad.</w:t>
            </w:r>
          </w:p>
        </w:tc>
      </w:tr>
      <w:tr>
        <w:tc>
          <w:tcPr>
            <w:tcW w:w="4751" w:type="dxa"/>
          </w:tcPr>
          <w:p>
            <w:pPr/>
            <w:r>
              <w:rPr>
                <w:b/>
              </w:rPr>
              <w:t xml:space="preserve">Workforce:</w:t>
            </w:r>
            <w:r>
              <w:t xml:space="preserve"> tax incentives for energy apprenticeships; mining and rare-earth education pipelines and national-lab minerals internships; non-competitive eligibility for veterans in energy security jobs; direct-hire authority and locality pay at national labs</w:t>
            </w:r>
          </w:p>
        </w:tc>
        <w:tc>
          <w:tcPr>
            <w:tcW w:w="910" w:type="dxa"/>
          </w:tcPr>
          <w:p>
            <w:pPr/>
            <w:r>
              <w:t xml:space="preserve">6, 7</w:t>
            </w:r>
          </w:p>
        </w:tc>
        <w:tc>
          <w:tcPr>
            <w:tcW w:w="1786" w:type="dxa"/>
          </w:tcPr>
          <w:p>
            <w:pPr/>
            <w:r>
              <w:t xml:space="preserve">Workforce and veterans</w:t>
            </w:r>
          </w:p>
        </w:tc>
        <w:tc>
          <w:tcPr>
            <w:tcW w:w="1913" w:type="dxa"/>
          </w:tcPr>
          <w:p>
            <w:pPr/>
            <w:r>
              <w:t xml:space="preserve">Builds the processing and refining talent the U.S. lacks (China graduates 500+ a year in rare-earth programs).</w:t>
            </w:r>
          </w:p>
        </w:tc>
      </w:tr>
      <w:tr>
        <w:tc>
          <w:tcPr>
            <w:tcW w:w="4751" w:type="dxa"/>
          </w:tcPr>
          <w:p>
            <w:pPr/>
            <w:r>
              <w:rPr>
                <w:b/>
              </w:rPr>
              <w:t xml:space="preserve">Government process:</w:t>
            </w:r>
            <w:r>
              <w:t xml:space="preserve"> modernize the Paperwork Reduction Act; expand the Intergovernmental Personnel Act to private-sector experts; a universal federal application for rural and Tribal programs; a statutory definition of "rural" and "persistent poverty"</w:t>
            </w:r>
          </w:p>
        </w:tc>
        <w:tc>
          <w:tcPr>
            <w:tcW w:w="910" w:type="dxa"/>
          </w:tcPr>
          <w:p>
            <w:pPr/>
            <w:r>
              <w:t xml:space="preserve">2, 9</w:t>
            </w:r>
          </w:p>
        </w:tc>
        <w:tc>
          <w:tcPr>
            <w:tcW w:w="1786" w:type="dxa"/>
          </w:tcPr>
          <w:p>
            <w:pPr/>
            <w:r>
              <w:t xml:space="preserve">Efficiency framing</w:t>
            </w:r>
          </w:p>
        </w:tc>
        <w:tc>
          <w:tcPr>
            <w:tcW w:w="1913" w:type="dxa"/>
          </w:tcPr>
          <w:p>
            <w:pPr/>
            <w:r>
              <w:t xml:space="preserve">Cuts the 9-month PRA delay; lets small communities apply once.</w:t>
            </w:r>
          </w:p>
        </w:tc>
      </w:tr>
    </w:tbl>
    <w:p>
      <w:pPr>
        <w:pStyle w:val="Heading2"/>
      </w:pPr>
      <w:r>
        <w:t xml:space="preserve">Stage 1c: House-majority leverage</w:t>
      </w:r>
    </w:p>
    <w:p>
      <w:pPr/>
      <w:r>
        <w:t xml:space="preserve">A House majority's real power under Trump is the purse and the gavel, and Chapter 9 reads like a manual for using both against impoundment and cancelled awards. The FY2028 bills (written spring 2027) are the first full Democratic appropriations; FY2029 is the last before the transition.</w:t>
      </w:r>
    </w:p>
    <w:p>
      <w:pPr>
        <w:pStyle w:val="Heading3"/>
      </w:pPr>
      <w:r>
        <w:t xml:space="preserve">Appropriations: what to fund</w:t>
      </w:r>
    </w:p>
    <w:p>
      <w:pPr>
        <w:pStyle w:val="ListParagraph"/>
        <w:numPr>
          <w:ilvl w:val="0"/>
          <w:numId w:val="3"/>
        </w:numPr>
      </w:pPr>
      <w:r>
        <w:rPr>
          <w:b/>
        </w:rPr>
        <w:t xml:space="preserve">Restore cancelled or frozen money:</w:t>
      </w:r>
      <w:r>
        <w:t xml:space="preserve"> legally obligated Greenhouse Gas Reduction Fund awards (including Solar for All), Environmental and Climate Justice Block Grants, Community Change Grants, Neighborhood Access and Equity grants, and paused DOE clean-energy and carbon-removal awards (CDR Purchase Prize phases 2–3).</w:t>
      </w:r>
    </w:p>
    <w:p>
      <w:pPr>
        <w:pStyle w:val="ListParagraph"/>
        <w:numPr>
          <w:ilvl w:val="0"/>
          <w:numId w:val="3"/>
        </w:numPr>
      </w:pPr>
      <w:r>
        <w:rPr>
          <w:b/>
        </w:rPr>
        <w:t xml:space="preserve">Grid:</w:t>
      </w:r>
      <w:r>
        <w:t xml:space="preserve"> restore and expand GRIP and the Grid Resilience State and Tribal Formula Grants; more TFP and SPARK reconductoring money; more for DOE CESER and R-STEP siting help.</w:t>
      </w:r>
    </w:p>
    <w:p>
      <w:pPr>
        <w:pStyle w:val="ListParagraph"/>
        <w:numPr>
          <w:ilvl w:val="0"/>
          <w:numId w:val="3"/>
        </w:numPr>
      </w:pPr>
      <w:r>
        <w:rPr>
          <w:b/>
        </w:rPr>
        <w:t xml:space="preserve">Household bills:</w:t>
      </w:r>
      <w:r>
        <w:t xml:space="preserve"> a large LIHEAP increase with cooling treated equally; WAP able to fund heat pumps and whole-home retrofits; raise the Weatherization Readiness Fund from $30M toward the $91–94M need; a permanent low-income water assistance program (LIHWAP) separate from LIHEAP.</w:t>
      </w:r>
    </w:p>
    <w:p>
      <w:pPr>
        <w:pStyle w:val="ListParagraph"/>
        <w:numPr>
          <w:ilvl w:val="0"/>
          <w:numId w:val="3"/>
        </w:numPr>
      </w:pPr>
      <w:r>
        <w:rPr>
          <w:b/>
        </w:rPr>
        <w:t xml:space="preserve">Science and data:</w:t>
      </w:r>
      <w:r>
        <w:t xml:space="preserve"> full funding for NOAA, NWS, USGS, NSF and FEMA mapping; EIA data collection; AgARDA and ARS; ARPA-E; a $100B-over-10-years agricultural R&amp;D ramp starts here.</w:t>
      </w:r>
    </w:p>
    <w:p>
      <w:pPr>
        <w:pStyle w:val="ListParagraph"/>
        <w:numPr>
          <w:ilvl w:val="0"/>
          <w:numId w:val="3"/>
        </w:numPr>
      </w:pPr>
      <w:r>
        <w:rPr>
          <w:b/>
        </w:rPr>
        <w:t xml:space="preserve">Capacity:</w:t>
      </w:r>
      <w:r>
        <w:t xml:space="preserve"> CDFI Fund; state energy offices; state PUC and consumer-advocate grants; BIA and BIE staffing; agency permitting staff at EPA, DOI and NOAA.</w:t>
      </w:r>
    </w:p>
    <w:p>
      <w:pPr>
        <w:pStyle w:val="ListParagraph"/>
        <w:numPr>
          <w:ilvl w:val="0"/>
          <w:numId w:val="3"/>
        </w:numPr>
      </w:pPr>
      <w:r>
        <w:rPr>
          <w:b/>
        </w:rPr>
        <w:t xml:space="preserve">Resilience:</w:t>
      </w:r>
      <w:r>
        <w:t xml:space="preserve"> predictable annual hazard-mitigation money that does not depend on a disaster happening; CDC's Climate-Ready States and Cities expanded from 13 jurisdictions toward all 50.</w:t>
      </w:r>
    </w:p>
    <w:p>
      <w:pPr>
        <w:pStyle w:val="Heading3"/>
      </w:pPr>
      <w:r>
        <w:t xml:space="preserve">Appropriations: general provisions to fight for</w:t>
      </w:r>
    </w:p>
    <w:p>
      <w:pPr/>
      <w:r>
        <w:t xml:space="preserve">These are the report's "Trump-proofing" ideas. Each is a likely shutdown-level fight and veto bait, but they can ride an omnibus as conditions on how money is spent.</w:t>
      </w:r>
    </w:p>
    <w:tbl>
      <w:tblPr>
        <w:tblStyle w:val="TableGrid"/>
        <w:tblW w:w="0" w:type="auto"/>
        <w:tblLayout w:type="fixed"/>
        <w:tblLook w:val="04A0" w:firstRow="1" w:lastRow="0" w:firstColumn="0" w:lastColumn="0" w:noHBand="0" w:noVBand="1"/>
      </w:tblPr>
      <w:tblGrid>
        <w:gridCol w:w="1509"/>
        <w:gridCol w:w="4581"/>
        <w:gridCol w:w="3269"/>
      </w:tblGrid>
      <w:tr>
        <w:trPr>
          <w:tblHeader/>
        </w:trPr>
        <w:tc>
          <w:tcPr>
            <w:tcW w:w="1509" w:type="dxa"/>
            <w:shd w:val="clear" w:color="auto" w:fill="F2F2F2"/>
          </w:tcPr>
          <w:p>
            <w:pPr/>
            <w:r>
              <w:t xml:space="preserve">Provision</w:t>
            </w:r>
          </w:p>
        </w:tc>
        <w:tc>
          <w:tcPr>
            <w:tcW w:w="4581" w:type="dxa"/>
            <w:shd w:val="clear" w:color="auto" w:fill="F2F2F2"/>
          </w:tcPr>
          <w:p>
            <w:pPr/>
            <w:r>
              <w:t xml:space="preserve">What it does</w:t>
            </w:r>
          </w:p>
        </w:tc>
        <w:tc>
          <w:tcPr>
            <w:tcW w:w="3269" w:type="dxa"/>
            <w:shd w:val="clear" w:color="auto" w:fill="F2F2F2"/>
          </w:tcPr>
          <w:p>
            <w:pPr/>
            <w:r>
              <w:t xml:space="preserve">Effect</w:t>
            </w:r>
          </w:p>
        </w:tc>
      </w:tr>
      <w:tr>
        <w:tc>
          <w:tcPr>
            <w:tcW w:w="1509" w:type="dxa"/>
          </w:tcPr>
          <w:p>
            <w:pPr/>
            <w:r>
              <w:t xml:space="preserve">Federal Resilience Funds Delivery Standard</w:t>
            </w:r>
          </w:p>
        </w:tc>
        <w:tc>
          <w:tcPr>
            <w:tcW w:w="4581" w:type="dxa"/>
          </w:tcPr>
          <w:p>
            <w:pPr/>
            <w:r>
              <w:t xml:space="preserve">Statutory obligation and disbursement deadlines; public appropriation-to-outlay dashboard; formula funds released automatically on schedule; funds "deemed apportioned" when OMB misses its deadline; Prompt-Payment-style interest when the government pays late</w:t>
            </w:r>
          </w:p>
        </w:tc>
        <w:tc>
          <w:tcPr>
            <w:tcW w:w="3269" w:type="dxa"/>
          </w:tcPr>
          <w:p>
            <w:pPr/>
            <w:r>
              <w:t xml:space="preserve">Converts appropriations from "an opening position in a negotiation with the executive" into a decision, in the report's words</w:t>
            </w:r>
          </w:p>
        </w:tc>
      </w:tr>
      <w:tr>
        <w:tc>
          <w:tcPr>
            <w:tcW w:w="1509" w:type="dxa"/>
          </w:tcPr>
          <w:p>
            <w:pPr/>
            <w:r>
              <w:t xml:space="preserve">Termination only for cause</w:t>
            </w:r>
          </w:p>
        </w:tc>
        <w:tc>
          <w:tcPr>
            <w:tcW w:w="4581" w:type="dxa"/>
          </w:tcPr>
          <w:p>
            <w:pPr/>
            <w:r>
              <w:t xml:space="preserve">Strips "termination for convenience" clauses from priority energy and infrastructure awards</w:t>
            </w:r>
          </w:p>
        </w:tc>
        <w:tc>
          <w:tcPr>
            <w:tcW w:w="3269" w:type="dxa"/>
          </w:tcPr>
          <w:p>
            <w:pPr/>
            <w:r>
              <w:t xml:space="preserve">Ends the 2025–26 pattern of canceling signed grants after a change in administration</w:t>
            </w:r>
          </w:p>
        </w:tc>
      </w:tr>
      <w:tr>
        <w:tc>
          <w:tcPr>
            <w:tcW w:w="1509" w:type="dxa"/>
          </w:tcPr>
          <w:p>
            <w:pPr/>
            <w:r>
              <w:t xml:space="preserve">No rescission except by law</w:t>
            </w:r>
          </w:p>
        </w:tc>
        <w:tc>
          <w:tcPr>
            <w:tcW w:w="4581" w:type="dxa"/>
          </w:tcPr>
          <w:p>
            <w:pPr/>
            <w:r>
              <w:t xml:space="preserve">"Funds awarded under [program] may not be rescinded, reprogrammed, or deferred except by law"</w:t>
            </w:r>
          </w:p>
        </w:tc>
        <w:tc>
          <w:tcPr>
            <w:tcW w:w="3269" w:type="dxa"/>
          </w:tcPr>
          <w:p>
            <w:pPr/>
            <w:r>
              <w:t xml:space="preserve">Makes awards durable enough for private co-investment</w:t>
            </w:r>
          </w:p>
        </w:tc>
      </w:tr>
      <w:tr>
        <w:tc>
          <w:tcPr>
            <w:tcW w:w="1509" w:type="dxa"/>
          </w:tcPr>
          <w:p>
            <w:pPr/>
            <w:r>
              <w:t xml:space="preserve">District court jurisdiction and expedited review</w:t>
            </w:r>
          </w:p>
        </w:tc>
        <w:tc>
          <w:tcPr>
            <w:tcW w:w="4581" w:type="dxa"/>
          </w:tcPr>
          <w:p>
            <w:pPr/>
            <w:r>
              <w:t xml:space="preserve">Gives U.S. District Courts primary jurisdiction over wrongfully terminated grants, with deadlines and a private right of action</w:t>
            </w:r>
          </w:p>
        </w:tc>
        <w:tc>
          <w:tcPr>
            <w:tcW w:w="3269" w:type="dxa"/>
          </w:tcPr>
          <w:p>
            <w:pPr/>
            <w:r>
              <w:t xml:space="preserve">Fixes the split created by </w:t>
            </w:r>
            <w:r>
              <w:rPr>
                <w:i/>
              </w:rPr>
              <w:t xml:space="preserve">NIH v. American Public Health Association</w:t>
            </w:r>
            <w:r>
              <w:t xml:space="preserve">, where the Court of Federal Claims can award money but cannot reinstate a grant</w:t>
            </w:r>
          </w:p>
        </w:tc>
      </w:tr>
      <w:tr>
        <w:tc>
          <w:tcPr>
            <w:tcW w:w="1509" w:type="dxa"/>
          </w:tcPr>
          <w:p>
            <w:pPr/>
            <w:r>
              <w:t xml:space="preserve">No new grant conditions beyond statute</w:t>
            </w:r>
          </w:p>
        </w:tc>
        <w:tc>
          <w:tcPr>
            <w:tcW w:w="4581" w:type="dxa"/>
          </w:tcPr>
          <w:p>
            <w:pPr/>
            <w:r>
              <w:t xml:space="preserve">Bars agencies from attaching policy conditions to already-awarded grants</w:t>
            </w:r>
          </w:p>
        </w:tc>
        <w:tc>
          <w:tcPr>
            <w:tcW w:w="3269" w:type="dxa"/>
          </w:tcPr>
          <w:p>
            <w:pPr/>
            <w:r>
              <w:t xml:space="preserve">Blocks using grants as leverage over states and cities</w:t>
            </w:r>
          </w:p>
        </w:tc>
      </w:tr>
      <w:tr>
        <w:tc>
          <w:tcPr>
            <w:tcW w:w="1509" w:type="dxa"/>
          </w:tcPr>
          <w:p>
            <w:pPr/>
            <w:r>
              <w:t xml:space="preserve">Third-party fiscal agents</w:t>
            </w:r>
          </w:p>
        </w:tc>
        <w:tc>
          <w:tcPr>
            <w:tcW w:w="4581" w:type="dxa"/>
          </w:tcPr>
          <w:p>
            <w:pPr/>
            <w:r>
              <w:t xml:space="preserve">Lets funds flow through Financial Agency Agreements or nonprofit intermediaries (FESI)</w:t>
            </w:r>
          </w:p>
        </w:tc>
        <w:tc>
          <w:tcPr>
            <w:tcW w:w="3269" w:type="dxa"/>
          </w:tcPr>
          <w:p>
            <w:pPr/>
            <w:r>
              <w:t xml:space="preserve">Insulates long-term programs from political swings</w:t>
            </w:r>
          </w:p>
        </w:tc>
      </w:tr>
    </w:tbl>
    <w:p>
      <w:pPr>
        <w:pStyle w:val="Heading3"/>
      </w:pPr>
      <w:r>
        <w:t xml:space="preserve">Oversight targets</w:t>
      </w:r>
    </w:p>
    <w:p>
      <w:pPr/>
      <w:r>
        <w:t xml:space="preserve">The report supplies a ready list of hearings and GAO requests: cancelled DOE awards and their effect on private capital; DOE loan-office (EDF) timelines averaging over two years; Treasury's 8-month delay on OBBBA Foreign Entity of Concern guidance; FERC independence and compliance with the June 2026 large-load show-cause orders; the end of NOAA's billion-dollar disaster dataset (now kept by Climate Central) and the EPA GHG inventory released only by FOIA; the May 2026 rescission of the BLM Public Lands Rule; the Disaster Relief Fund running short every year since FY2023; staffing cuts at FEMA, the national labs and land agencies; and the Federal Reserve, FDIC and FIO leaving the central banks' climate network.</w:t>
      </w:r>
    </w:p>
    <w:p>
      <w:pPr/>
      <w:r>
        <w:t xml:space="preserve">Oversight is also how the House builds the record for Stage 3: each hearing documents a cost (higher bills, delayed recovery, stranded investment) that a 2029 bill then answers.</w:t>
      </w:r>
    </w:p>
    <w:p>
      <w:pPr>
        <w:pStyle w:val="Heading2"/>
      </w:pPr>
      <w:r>
        <w:t xml:space="preserve">Stage 2: the 2028 contrast agenda</w:t>
      </w:r>
    </w:p>
    <w:p>
      <w:pPr/>
      <w:r>
        <w:t xml:space="preserve">Chapter 5's affordability options are built for a House floor vote: concrete, bill-sized, aimed at utilities, oil and gas producers and data centers rather than voters, and unlikely to get a Trump signature. Passed in 2027–28, they define the presidential-cycle message; several also have real cross-party appeal at the state level and could split Republicans.</w:t>
      </w:r>
    </w:p>
    <w:tbl>
      <w:tblPr>
        <w:tblStyle w:val="TableGrid"/>
        <w:tblW w:w="0" w:type="auto"/>
        <w:tblLayout w:type="fixed"/>
        <w:tblLook w:val="04A0" w:firstRow="1" w:lastRow="0" w:firstColumn="0" w:lastColumn="0" w:noHBand="0" w:noVBand="1"/>
      </w:tblPr>
      <w:tblGrid>
        <w:gridCol w:w="1702"/>
        <w:gridCol w:w="4267"/>
        <w:gridCol w:w="1729"/>
        <w:gridCol w:w="1662"/>
      </w:tblGrid>
      <w:tr>
        <w:trPr>
          <w:tblHeader/>
        </w:trPr>
        <w:tc>
          <w:tcPr>
            <w:tcW w:w="1702" w:type="dxa"/>
            <w:shd w:val="clear" w:color="auto" w:fill="F2F2F2"/>
          </w:tcPr>
          <w:p>
            <w:pPr/>
            <w:r>
              <w:t xml:space="preserve">Bill</w:t>
            </w:r>
          </w:p>
        </w:tc>
        <w:tc>
          <w:tcPr>
            <w:tcW w:w="4267" w:type="dxa"/>
            <w:shd w:val="clear" w:color="auto" w:fill="F2F2F2"/>
          </w:tcPr>
          <w:p>
            <w:pPr/>
            <w:r>
              <w:t xml:space="preserve">What it does</w:t>
            </w:r>
          </w:p>
        </w:tc>
        <w:tc>
          <w:tcPr>
            <w:tcW w:w="1729" w:type="dxa"/>
            <w:shd w:val="clear" w:color="auto" w:fill="F2F2F2"/>
          </w:tcPr>
          <w:p>
            <w:pPr/>
            <w:r>
              <w:t xml:space="preserve">Effect</w:t>
            </w:r>
          </w:p>
        </w:tc>
        <w:tc>
          <w:tcPr>
            <w:tcW w:w="1662" w:type="dxa"/>
            <w:shd w:val="clear" w:color="auto" w:fill="F2F2F2"/>
          </w:tcPr>
          <w:p>
            <w:pPr/>
            <w:r>
              <w:t xml:space="preserve">Cross-party odds</w:t>
            </w:r>
          </w:p>
        </w:tc>
      </w:tr>
      <w:tr>
        <w:tc>
          <w:tcPr>
            <w:tcW w:w="1702" w:type="dxa"/>
          </w:tcPr>
          <w:p>
            <w:pPr/>
            <w:r>
              <w:rPr>
                <w:b/>
              </w:rPr>
              <w:t xml:space="preserve">Two free hours of electricity a day</w:t>
            </w:r>
          </w:p>
        </w:tc>
        <w:tc>
          <w:tcPr>
            <w:tcW w:w="4267" w:type="dxa"/>
          </w:tcPr>
          <w:p>
            <w:pPr/>
            <w:r>
              <w:t xml:space="preserve">National time-of-use standard giving every household a midday free window, tunable by regulators (Australia's "Solar Sharer" model)</w:t>
            </w:r>
          </w:p>
        </w:tc>
        <w:tc>
          <w:tcPr>
            <w:tcW w:w="1729" w:type="dxa"/>
          </w:tcPr>
          <w:p>
            <w:pPr/>
            <w:r>
              <w:t xml:space="preserve">Shifts load to solar hours, cuts evening peaks and bills; no new spending</w:t>
            </w:r>
          </w:p>
        </w:tc>
        <w:tc>
          <w:tcPr>
            <w:tcW w:w="1662" w:type="dxa"/>
          </w:tcPr>
          <w:p>
            <w:pPr/>
            <w:r>
              <w:t xml:space="preserve">Low federally; a strong message</w:t>
            </w:r>
          </w:p>
        </w:tc>
      </w:tr>
      <w:tr>
        <w:tc>
          <w:tcPr>
            <w:tcW w:w="1702" w:type="dxa"/>
          </w:tcPr>
          <w:p>
            <w:pPr/>
            <w:r>
              <w:rPr>
                <w:b/>
              </w:rPr>
              <w:t xml:space="preserve">Data centers pay their way</w:t>
            </w:r>
          </w:p>
        </w:tc>
        <w:tc>
          <w:tcPr>
            <w:tcW w:w="4267" w:type="dxa"/>
          </w:tcPr>
          <w:p>
            <w:pPr/>
            <w:r>
              <w:t xml:space="preserve">Federal ratepayer-protection floor for large loads (separate rate class, take-or-pay minimums, exit fees, direct assignment of grid costs, deposits from parent companies, community benefit agreements); disclosure of special contracts; behind-the-meter plants must be new clean power plus storage; a data-center fee feeding LIHEAP, WAP and Home Energy Rebates; energy and water disclosure</w:t>
            </w:r>
          </w:p>
        </w:tc>
        <w:tc>
          <w:tcPr>
            <w:tcW w:w="1729" w:type="dxa"/>
          </w:tcPr>
          <w:p>
            <w:pPr/>
            <w:r>
              <w:t xml:space="preserve">Stops shifting AI grid costs onto households; keeps ~100 GW of planned behind-the-meter gas from bidding up residential gas prices</w:t>
            </w:r>
          </w:p>
        </w:tc>
        <w:tc>
          <w:tcPr>
            <w:tcW w:w="1662" w:type="dxa"/>
          </w:tcPr>
          <w:p>
            <w:pPr/>
            <w:r>
              <w:rPr>
                <w:b/>
              </w:rPr>
              <w:t xml:space="preserve">Highest.</w:t>
            </w:r>
            <w:r>
              <w:t xml:space="preserve"> Arizona, Texas and Virginia have enacted pieces; populist on both sides</w:t>
            </w:r>
          </w:p>
        </w:tc>
      </w:tr>
      <w:tr>
        <w:tc>
          <w:tcPr>
            <w:tcW w:w="1702" w:type="dxa"/>
          </w:tcPr>
          <w:p>
            <w:pPr/>
            <w:r>
              <w:rPr>
                <w:b/>
              </w:rPr>
              <w:t xml:space="preserve">Utility accountability</w:t>
            </w:r>
          </w:p>
        </w:tc>
        <w:tc>
          <w:tcPr>
            <w:tcW w:w="4267" w:type="dxa"/>
          </w:tcPr>
          <w:p>
            <w:pPr/>
            <w:r>
              <w:t xml:space="preserve">End ratepayer-funded lobbying and advertising; CEO-to-worker pay ratio and the share of pay tied to reliability; a national floor disallowing jets and club dues in interstate transmission rates; FERC review of whether returns exceed what is needed; narrower formula rates and stronger discovery for state commissions; price caps during extreme weather</w:t>
            </w:r>
          </w:p>
        </w:tc>
        <w:tc>
          <w:tcPr>
            <w:tcW w:w="1729" w:type="dxa"/>
          </w:tcPr>
          <w:p>
            <w:pPr/>
            <w:r>
              <w:t xml:space="preserve">Targets the 7.3% residential rate rise in 2025–26 and the $18.6B in rate requests in early 2026</w:t>
            </w:r>
          </w:p>
        </w:tc>
        <w:tc>
          <w:tcPr>
            <w:tcW w:w="1662" w:type="dxa"/>
          </w:tcPr>
          <w:p>
            <w:pPr/>
            <w:r>
              <w:t xml:space="preserve">Medium; red and blue states (Colorado, Maine, Maryland, Connecticut) have passed versions</w:t>
            </w:r>
          </w:p>
        </w:tc>
      </w:tr>
      <w:tr>
        <w:tc>
          <w:tcPr>
            <w:tcW w:w="1702" w:type="dxa"/>
          </w:tcPr>
          <w:p>
            <w:pPr/>
            <w:r>
              <w:rPr>
                <w:b/>
              </w:rPr>
              <w:t xml:space="preserve">Strategic Energy Affordability Reserve</w:t>
            </w:r>
          </w:p>
        </w:tc>
        <w:tc>
          <w:tcPr>
            <w:tcW w:w="4267" w:type="dxa"/>
          </w:tcPr>
          <w:p>
            <w:pPr/>
            <w:r>
              <w:t xml:space="preserve">Windfall-profits tax on oil and gas funds a reserve; a presidential "Energy Affordability Emergency" sends money to states for bills, transportation and efficient appliances</w:t>
            </w:r>
          </w:p>
        </w:tc>
        <w:tc>
          <w:tcPr>
            <w:tcW w:w="1729" w:type="dxa"/>
          </w:tcPr>
          <w:p>
            <w:pPr/>
            <w:r>
              <w:t xml:space="preserve">Direct relief in price spikes like the 2026 Hormuz shock (about $1/gal in a month)</w:t>
            </w:r>
          </w:p>
        </w:tc>
        <w:tc>
          <w:tcPr>
            <w:tcW w:w="1662" w:type="dxa"/>
          </w:tcPr>
          <w:p>
            <w:pPr/>
            <w:r>
              <w:t xml:space="preserve">Very low under Trump; a Stage 3 reconciliation item later</w:t>
            </w:r>
          </w:p>
        </w:tc>
      </w:tr>
      <w:tr>
        <w:tc>
          <w:tcPr>
            <w:tcW w:w="1702" w:type="dxa"/>
          </w:tcPr>
          <w:p>
            <w:pPr/>
            <w:r>
              <w:rPr>
                <w:b/>
              </w:rPr>
              <w:t xml:space="preserve">Energy Price Safety Valve and LNG test</w:t>
            </w:r>
          </w:p>
        </w:tc>
        <w:tc>
          <w:tcPr>
            <w:tcW w:w="4267" w:type="dxa"/>
          </w:tcPr>
          <w:p>
            <w:pPr/>
            <w:r>
              <w:t xml:space="preserve">Temporary export limits on fuels in short supply (LNG, gasoline, diesel, heating oil); DOE may approve LNG exports only if they will not materially raise domestic prices or burden vulnerable communities</w:t>
            </w:r>
          </w:p>
        </w:tc>
        <w:tc>
          <w:tcPr>
            <w:tcW w:w="1729" w:type="dxa"/>
          </w:tcPr>
          <w:p>
            <w:pPr/>
            <w:r>
              <w:t xml:space="preserve">Cites a 60% wholesale gas price rise in 2024–25 tied partly to exports</w:t>
            </w:r>
          </w:p>
        </w:tc>
        <w:tc>
          <w:tcPr>
            <w:tcW w:w="1662" w:type="dxa"/>
          </w:tcPr>
          <w:p>
            <w:pPr/>
            <w:r>
              <w:t xml:space="preserve">Very low; splits Democrats from producing-state members and allies</w:t>
            </w:r>
          </w:p>
        </w:tc>
      </w:tr>
      <w:tr>
        <w:tc>
          <w:tcPr>
            <w:tcW w:w="1702" w:type="dxa"/>
          </w:tcPr>
          <w:p>
            <w:pPr/>
            <w:r>
              <w:rPr>
                <w:b/>
              </w:rPr>
              <w:t xml:space="preserve">Gas market transparency</w:t>
            </w:r>
          </w:p>
        </w:tc>
        <w:tc>
          <w:tcPr>
            <w:tcW w:w="4267" w:type="dxa"/>
          </w:tcPr>
          <w:p>
            <w:pPr/>
            <w:r>
              <w:t xml:space="preserve">Quarterly reporting of spot gas trades by hub; FERC authority to police gouging (not just manipulation); FERC–CFTC coordination; methane leak, venting and flaring limits</w:t>
            </w:r>
          </w:p>
        </w:tc>
        <w:tc>
          <w:tcPr>
            <w:tcW w:w="1729" w:type="dxa"/>
          </w:tcPr>
          <w:p>
            <w:pPr/>
            <w:r>
              <w:t xml:space="preserve">Less hidden price volatility; recovers wasted gas</w:t>
            </w:r>
          </w:p>
        </w:tc>
        <w:tc>
          <w:tcPr>
            <w:tcW w:w="1662" w:type="dxa"/>
          </w:tcPr>
          <w:p>
            <w:pPr/>
            <w:r>
              <w:t xml:space="preserve">Medium on transparency, low on methane</w:t>
            </w:r>
          </w:p>
        </w:tc>
      </w:tr>
      <w:tr>
        <w:tc>
          <w:tcPr>
            <w:tcW w:w="1702" w:type="dxa"/>
          </w:tcPr>
          <w:p>
            <w:pPr/>
            <w:r>
              <w:rPr>
                <w:b/>
              </w:rPr>
              <w:t xml:space="preserve">Restore household credits</w:t>
            </w:r>
          </w:p>
        </w:tc>
        <w:tc>
          <w:tcPr>
            <w:tcW w:w="4267" w:type="dxa"/>
          </w:tcPr>
          <w:p>
            <w:pPr/>
            <w:r>
              <w:t xml:space="preserve">Restore 25C and 25D and make them refundable; restore 30D and 25E with point-of-sale transfer to dealers; restore 30C charging</w:t>
            </w:r>
          </w:p>
        </w:tc>
        <w:tc>
          <w:tcPr>
            <w:tcW w:w="1729" w:type="dxa"/>
          </w:tcPr>
          <w:p>
            <w:pPr/>
            <w:r>
              <w:t xml:space="preserve">Ties OBBBA's repeals to gas prices and bills</w:t>
            </w:r>
          </w:p>
        </w:tc>
        <w:tc>
          <w:tcPr>
            <w:tcW w:w="1662" w:type="dxa"/>
          </w:tcPr>
          <w:p>
            <w:pPr/>
            <w:r>
              <w:t xml:space="preserve">Messaging now, reconciliation in 2029</w:t>
            </w:r>
          </w:p>
        </w:tc>
      </w:tr>
      <w:tr>
        <w:tc>
          <w:tcPr>
            <w:tcW w:w="1702" w:type="dxa"/>
          </w:tcPr>
          <w:p>
            <w:pPr/>
            <w:r>
              <w:rPr>
                <w:b/>
              </w:rPr>
              <w:t xml:space="preserve">Heat and health</w:t>
            </w:r>
          </w:p>
        </w:tc>
        <w:tc>
          <w:tcPr>
            <w:tcW w:w="4267" w:type="dxa"/>
          </w:tcPr>
          <w:p>
            <w:pPr/>
            <w:r>
              <w:t xml:space="preserve">Codify OSHA's heat injury standard; heat-season utility shutoff protections as a LIHEAP condition; cooling as an eligible WAP and LIHEAP measure</w:t>
            </w:r>
          </w:p>
        </w:tc>
        <w:tc>
          <w:tcPr>
            <w:tcW w:w="1729" w:type="dxa"/>
          </w:tcPr>
          <w:p>
            <w:pPr/>
            <w:r>
              <w:t xml:space="preserve">Heat deaths more than doubled 1999–2023 per the JAMA figures cited</w:t>
            </w:r>
          </w:p>
        </w:tc>
        <w:tc>
          <w:tcPr>
            <w:tcW w:w="1662" w:type="dxa"/>
          </w:tcPr>
          <w:p>
            <w:pPr/>
            <w:r>
              <w:t xml:space="preserve">Low; strong with labor</w:t>
            </w:r>
          </w:p>
        </w:tc>
      </w:tr>
      <w:tr>
        <w:tc>
          <w:tcPr>
            <w:tcW w:w="1702" w:type="dxa"/>
          </w:tcPr>
          <w:p>
            <w:pPr/>
            <w:r>
              <w:rPr>
                <w:b/>
              </w:rPr>
              <w:t xml:space="preserve">Insurance affordability</w:t>
            </w:r>
          </w:p>
        </w:tc>
        <w:tc>
          <w:tcPr>
            <w:tcW w:w="4267" w:type="dxa"/>
          </w:tcPr>
          <w:p>
            <w:pPr/>
            <w:r>
              <w:t xml:space="preserve">Means-tested Climate Insurance and Recovery Affordability Program for LMI owners and renters; CFPB, FTC and HUD oversight of force-placed insurance and post-disaster servicing; Fair Credit Reporting and Fair Housing protections against climate redlining</w:t>
            </w:r>
          </w:p>
        </w:tc>
        <w:tc>
          <w:tcPr>
            <w:tcW w:w="1729" w:type="dxa"/>
          </w:tcPr>
          <w:p>
            <w:pPr/>
            <w:r>
              <w:t xml:space="preserve">Speaks to premiums rising 25%+ in disaster-prone southern coastal areas (GAO)</w:t>
            </w:r>
          </w:p>
        </w:tc>
        <w:tc>
          <w:tcPr>
            <w:tcW w:w="1662" w:type="dxa"/>
          </w:tcPr>
          <w:p>
            <w:pPr/>
            <w:r>
              <w:t xml:space="preserve">Low federally; high salience in FL, CA, LA</w:t>
            </w:r>
          </w:p>
        </w:tc>
      </w:tr>
      <w:tr>
        <w:tc>
          <w:tcPr>
            <w:tcW w:w="1702" w:type="dxa"/>
          </w:tcPr>
          <w:p>
            <w:pPr/>
            <w:r>
              <w:rPr>
                <w:b/>
              </w:rPr>
              <w:t xml:space="preserve">Restore Chevron</w:t>
            </w:r>
          </w:p>
        </w:tc>
        <w:tc>
          <w:tcPr>
            <w:tcW w:w="4267" w:type="dxa"/>
          </w:tcPr>
          <w:p>
            <w:pPr/>
            <w:r>
              <w:t xml:space="preserve">Statutory deference to reasonable agency interpretations, overriding </w:t>
            </w:r>
            <w:r>
              <w:rPr>
                <w:i/>
              </w:rPr>
              <w:t xml:space="preserve">Loper Bright</w:t>
            </w:r>
          </w:p>
        </w:tc>
        <w:tc>
          <w:tcPr>
            <w:tcW w:w="1729" w:type="dxa"/>
          </w:tcPr>
          <w:p>
            <w:pPr/>
            <w:r>
              <w:t xml:space="preserve">The report argues it restores predictability for regulated parties</w:t>
            </w:r>
          </w:p>
        </w:tc>
        <w:tc>
          <w:tcPr>
            <w:tcW w:w="1662" w:type="dxa"/>
          </w:tcPr>
          <w:p>
            <w:pPr/>
            <w:r>
              <w:t xml:space="preserve">Very low; frames the courts as a 2028 issue</w:t>
            </w:r>
          </w:p>
        </w:tc>
      </w:tr>
    </w:tbl>
    <w:p>
      <w:pPr/>
      <w:r>
        <w:t xml:space="preserve">The common thread is that each bill names who pays (utilities, producers, data centers, insurers) and who saves (households). That is the report's political theory: climate policy sold as consumer protection.</w:t>
      </w:r>
    </w:p>
    <w:p>
      <w:pPr>
        <w:pStyle w:val="Heading2"/>
      </w:pPr>
      <w:r>
        <w:t xml:space="preserve">What a Democratic Senate adds before 2029</w:t>
      </w:r>
    </w:p>
    <w:p>
      <w:pPr/>
      <w:r>
        <w:t xml:space="preserve">A Democratic Senate changes leverage and preparation far more than it changes what becomes law. Trump's veto, the 60-vote cloture threshold, and the fact that reconciliation still needs a presidential signature all hold either way.</w:t>
      </w:r>
    </w:p>
    <w:p>
      <w:pPr/>
      <w:r>
        <w:t xml:space="preserve">What it does add:</w:t>
      </w:r>
    </w:p>
    <w:p>
      <w:pPr>
        <w:pStyle w:val="ListParagraph"/>
        <w:numPr>
          <w:ilvl w:val="0"/>
          <w:numId w:val="4"/>
        </w:numPr>
      </w:pPr>
      <w:r>
        <w:rPr>
          <w:b/>
        </w:rPr>
        <w:t xml:space="preserve">Conference leverage on the must-pass bills.</w:t>
      </w:r>
      <w:r>
        <w:t xml:space="preserve"> Democrats would write both chambers' versions of the farm bill, surface transportation, NFIP and WRDA, so Stage 1a outcomes move noticeably toward the report.</w:t>
      </w:r>
    </w:p>
    <w:p>
      <w:pPr>
        <w:pStyle w:val="ListParagraph"/>
        <w:numPr>
          <w:ilvl w:val="0"/>
          <w:numId w:val="4"/>
        </w:numPr>
      </w:pPr>
      <w:r>
        <w:rPr>
          <w:b/>
        </w:rPr>
        <w:t xml:space="preserve">Appropriations from both ends.</w:t>
      </w:r>
      <w:r>
        <w:t xml:space="preserve"> Two Democratic bills make the Trump-proofing provisions far harder to strip in conference.</w:t>
      </w:r>
    </w:p>
    <w:p>
      <w:pPr>
        <w:pStyle w:val="ListParagraph"/>
        <w:numPr>
          <w:ilvl w:val="0"/>
          <w:numId w:val="4"/>
        </w:numPr>
      </w:pPr>
      <w:r>
        <w:rPr>
          <w:b/>
        </w:rPr>
        <w:t xml:space="preserve">Confirmations.</w:t>
      </w:r>
      <w:r>
        <w:t xml:space="preserve"> The report repeatedly ties its grid agenda to an independent FERC ("a fundamental principle that underlies many of the recommendations"). A Senate majority can hold or shape FERC, NRC, TVA board, FEMA and DOE nominees, which matters more under Trump than most statutes would.</w:t>
      </w:r>
    </w:p>
    <w:p>
      <w:pPr>
        <w:pStyle w:val="ListParagraph"/>
        <w:numPr>
          <w:ilvl w:val="0"/>
          <w:numId w:val="4"/>
        </w:numPr>
      </w:pPr>
      <w:r>
        <w:rPr>
          <w:b/>
        </w:rPr>
        <w:t xml:space="preserve">Forced vetoes.</w:t>
      </w:r>
      <w:r>
        <w:t xml:space="preserve"> Stage 2 bills could reach Trump's desk, turning House messaging votes into veto fights before November 2028.</w:t>
      </w:r>
    </w:p>
    <w:p>
      <w:pPr>
        <w:pStyle w:val="ListParagraph"/>
        <w:numPr>
          <w:ilvl w:val="0"/>
          <w:numId w:val="4"/>
        </w:numPr>
      </w:pPr>
      <w:r>
        <w:rPr>
          <w:b/>
        </w:rPr>
        <w:t xml:space="preserve">Senate oversight.</w:t>
      </w:r>
      <w:r>
        <w:t xml:space="preserve"> EPW, ENR, Commerce and Banking gavels add subpoenas on cancelled awards, insurance markets and FERC.</w:t>
      </w:r>
    </w:p>
    <w:p>
      <w:pPr>
        <w:pStyle w:val="ListParagraph"/>
        <w:numPr>
          <w:ilvl w:val="0"/>
          <w:numId w:val="4"/>
        </w:numPr>
      </w:pPr>
      <w:r>
        <w:rPr>
          <w:b/>
        </w:rPr>
        <w:t xml:space="preserve">Pre-drafted 2029 bills.</w:t>
      </w:r>
      <w:r>
        <w:t xml:space="preserve"> Committees can mark up Stage 3 bills and reconciliation text in 2028 so a trifecta moves in its first 100 days instead of spending 2029 drafting.</w:t>
      </w:r>
    </w:p>
    <w:p>
      <w:pPr/>
      <w:r>
        <w:t xml:space="preserve">A House-only lever worth noting: SEEC Institute says it built this project to fill the gap left when the House Select Committee on the Climate Crisis ended in early 2023. A January 2027 rules package could re-create that committee, and this report would be its natural starting text.</w:t>
      </w:r>
    </w:p>
    <w:p>
      <w:pPr>
        <w:pStyle w:val="Heading2"/>
      </w:pPr>
      <w:r>
        <w:t xml:space="preserve">Stage 3a: the trifecta reconciliation package</w:t>
      </w:r>
    </w:p>
    <w:p>
      <w:pPr/>
      <w:r>
        <w:t xml:space="preserve">With a 2029 trifecta, the budgetary half of the report becomes a reconciliation bill that does three things: reverses OBBBA's repeals, extends the IRA model to the grid and supply chain, and pays for part of it with new fossil and carbon revenue. The design lesson from 2022–25 runs through all of it: refundable, direct-pay, point-of-sale and long-dated, so benefits reach people quickly and are harder to repeal.</w:t>
      </w:r>
    </w:p>
    <w:p>
      <w:pPr>
        <w:pStyle w:val="Heading3"/>
      </w:pPr>
      <w:r>
        <w:t xml:space="preserve">Tax credits</w:t>
      </w:r>
    </w:p>
    <w:tbl>
      <w:tblPr>
        <w:tblStyle w:val="TableGrid"/>
        <w:tblW w:w="0" w:type="auto"/>
        <w:tblLayout w:type="fixed"/>
        <w:tblLook w:val="04A0" w:firstRow="1" w:lastRow="0" w:firstColumn="0" w:lastColumn="0" w:noHBand="0" w:noVBand="1"/>
      </w:tblPr>
      <w:tblGrid>
        <w:gridCol w:w="4920"/>
        <w:gridCol w:w="910"/>
        <w:gridCol w:w="3530"/>
      </w:tblGrid>
      <w:tr>
        <w:trPr>
          <w:tblHeader/>
        </w:trPr>
        <w:tc>
          <w:tcPr>
            <w:tcW w:w="4920" w:type="dxa"/>
            <w:shd w:val="clear" w:color="auto" w:fill="F2F2F2"/>
          </w:tcPr>
          <w:p>
            <w:pPr/>
            <w:r>
              <w:t xml:space="preserve">Item</w:t>
            </w:r>
          </w:p>
        </w:tc>
        <w:tc>
          <w:tcPr>
            <w:tcW w:w="910" w:type="dxa"/>
            <w:shd w:val="clear" w:color="auto" w:fill="F2F2F2"/>
          </w:tcPr>
          <w:p>
            <w:pPr/>
            <w:r>
              <w:t xml:space="preserve">Ch.</w:t>
            </w:r>
          </w:p>
        </w:tc>
        <w:tc>
          <w:tcPr>
            <w:tcW w:w="3530" w:type="dxa"/>
            <w:shd w:val="clear" w:color="auto" w:fill="F2F2F2"/>
          </w:tcPr>
          <w:p>
            <w:pPr/>
            <w:r>
              <w:t xml:space="preserve">Effect</w:t>
            </w:r>
          </w:p>
        </w:tc>
      </w:tr>
      <w:tr>
        <w:tc>
          <w:tcPr>
            <w:tcW w:w="4920" w:type="dxa"/>
          </w:tcPr>
          <w:p>
            <w:pPr/>
            <w:r>
              <w:t xml:space="preserve">Restore 25C (efficiency) and 25D (residential clean energy), refundable and delivered at point of sale</w:t>
            </w:r>
          </w:p>
        </w:tc>
        <w:tc>
          <w:tcPr>
            <w:tcW w:w="910" w:type="dxa"/>
          </w:tcPr>
          <w:p>
            <w:pPr/>
            <w:r>
              <w:t xml:space="preserve">8</w:t>
            </w:r>
          </w:p>
        </w:tc>
        <w:tc>
          <w:tcPr>
            <w:tcW w:w="3530" w:type="dxa"/>
          </w:tcPr>
          <w:p>
            <w:pPr/>
            <w:r>
              <w:t xml:space="preserve">Reaches LMI households with no tax liability; heat pumps and rooftop solar without the upfront wait</w:t>
            </w:r>
          </w:p>
        </w:tc>
      </w:tr>
      <w:tr>
        <w:tc>
          <w:tcPr>
            <w:tcW w:w="4920" w:type="dxa"/>
          </w:tcPr>
          <w:p>
            <w:pPr/>
            <w:r>
              <w:t xml:space="preserve">Restore 30D (new EVs) and 25E (used EVs) with dealer transfer; restore and expand 30C (charging); a technology-neutral heavy-duty and fleet credit; an MPGe-based vehicle rebate</w:t>
            </w:r>
          </w:p>
        </w:tc>
        <w:tc>
          <w:tcPr>
            <w:tcW w:w="910" w:type="dxa"/>
          </w:tcPr>
          <w:p>
            <w:pPr/>
            <w:r>
              <w:t xml:space="preserve">3, 5, 8</w:t>
            </w:r>
          </w:p>
        </w:tc>
        <w:tc>
          <w:tcPr>
            <w:tcW w:w="3530" w:type="dxa"/>
          </w:tcPr>
          <w:p>
            <w:pPr/>
            <w:r>
              <w:t xml:space="preserve">Demand for the domestic EV and battery supply chain 45X is building; diesel-price insulation for freight</w:t>
            </w:r>
          </w:p>
        </w:tc>
      </w:tr>
      <w:tr>
        <w:tc>
          <w:tcPr>
            <w:tcW w:w="4920" w:type="dxa"/>
          </w:tcPr>
          <w:p>
            <w:pPr/>
            <w:r>
              <w:t xml:space="preserve">Extend the Clean Electricity Investment Credit with domestic-content bonus and high-road labor standards; a long-term credit for emerging firm clean power to meet AI demand</w:t>
            </w:r>
          </w:p>
        </w:tc>
        <w:tc>
          <w:tcPr>
            <w:tcW w:w="910" w:type="dxa"/>
          </w:tcPr>
          <w:p>
            <w:pPr/>
            <w:r>
              <w:t xml:space="preserve">5</w:t>
            </w:r>
          </w:p>
        </w:tc>
        <w:tc>
          <w:tcPr>
            <w:tcW w:w="3530" w:type="dxa"/>
          </w:tcPr>
          <w:p>
            <w:pPr/>
            <w:r>
              <w:t xml:space="preserve">Steady demand signal through the 2030s</w:t>
            </w:r>
          </w:p>
        </w:tc>
      </w:tr>
      <w:tr>
        <w:tc>
          <w:tcPr>
            <w:tcW w:w="4920" w:type="dxa"/>
          </w:tcPr>
          <w:p>
            <w:pPr/>
            <w:r>
              <w:t xml:space="preserve">30% ITC for interregional and interstate transmission and for reconductoring and advanced transmission upgrades, with transferability, direct pay and codified "tax chaining"</w:t>
            </w:r>
          </w:p>
        </w:tc>
        <w:tc>
          <w:tcPr>
            <w:tcW w:w="910" w:type="dxa"/>
          </w:tcPr>
          <w:p>
            <w:pPr/>
            <w:r>
              <w:t xml:space="preserve">5, 8</w:t>
            </w:r>
          </w:p>
        </w:tc>
        <w:tc>
          <w:tcPr>
            <w:tcW w:w="3530" w:type="dxa"/>
          </w:tcPr>
          <w:p>
            <w:pPr/>
            <w:r>
              <w:t xml:space="preserve">First federal tax support for wires; lets public power, co-ops and Tribes monetize it</w:t>
            </w:r>
          </w:p>
        </w:tc>
      </w:tr>
      <w:tr>
        <w:tc>
          <w:tcPr>
            <w:tcW w:w="4920" w:type="dxa"/>
          </w:tcPr>
          <w:p>
            <w:pPr/>
            <w:r>
              <w:t xml:space="preserve">45X expansions: drop the 2027 wind-component cutoff; add LDES components, geothermal drilling and power equipment, transformers, switchgear, grid-forming inverters, advanced conductors, rare-earth magnets (higher for recycled), industrial-heat components; adders for battery chemistry and supplier diversity; restore domestic-content credits for solar midstream</w:t>
            </w:r>
          </w:p>
        </w:tc>
        <w:tc>
          <w:tcPr>
            <w:tcW w:w="910" w:type="dxa"/>
          </w:tcPr>
          <w:p>
            <w:pPr/>
            <w:r>
              <w:t xml:space="preserve">5, 6, 8</w:t>
            </w:r>
          </w:p>
        </w:tc>
        <w:tc>
          <w:tcPr>
            <w:tcW w:w="3530" w:type="dxa"/>
          </w:tcPr>
          <w:p>
            <w:pPr/>
            <w:r>
              <w:t xml:space="preserve">Targets the transformer and switchgear bottleneck and China's magnet dominance</w:t>
            </w:r>
          </w:p>
        </w:tc>
      </w:tr>
      <w:tr>
        <w:tc>
          <w:tcPr>
            <w:tcW w:w="4920" w:type="dxa"/>
          </w:tcPr>
          <w:p>
            <w:pPr/>
            <w:r>
              <w:t xml:space="preserve">More 48C allocation; production incentives for low-carbon steel and cement; a credit for U.S.-made efficient appliances paired with stronger DOE standards</w:t>
            </w:r>
          </w:p>
        </w:tc>
        <w:tc>
          <w:tcPr>
            <w:tcW w:w="910" w:type="dxa"/>
          </w:tcPr>
          <w:p>
            <w:pPr/>
            <w:r>
              <w:t xml:space="preserve">3, 5, 6</w:t>
            </w:r>
          </w:p>
        </w:tc>
        <w:tc>
          <w:tcPr>
            <w:tcW w:w="3530" w:type="dxa"/>
          </w:tcPr>
          <w:p>
            <w:pPr/>
            <w:r>
              <w:t xml:space="preserve">Replaces the IRA low-carbon materials money OBBBA repealed; makes efficiency standards politically durable</w:t>
            </w:r>
          </w:p>
        </w:tc>
      </w:tr>
      <w:tr>
        <w:tc>
          <w:tcPr>
            <w:tcW w:w="4920" w:type="dxa"/>
          </w:tcPr>
          <w:p>
            <w:pPr/>
            <w:r>
              <w:t xml:space="preserve">Household resilience: a refundable Resilience Tax Credit (roofs, shutters, elevation, defensible space); tax-advantaged Disaster Savings Accounts; extend the §139(g) exclusion to state, utility, insurer and charity mitigation grants</w:t>
            </w:r>
          </w:p>
        </w:tc>
        <w:tc>
          <w:tcPr>
            <w:tcW w:w="910" w:type="dxa"/>
          </w:tcPr>
          <w:p>
            <w:pPr/>
            <w:r>
              <w:t xml:space="preserve">3</w:t>
            </w:r>
          </w:p>
        </w:tc>
        <w:tc>
          <w:tcPr>
            <w:tcW w:w="3530" w:type="dxa"/>
          </w:tcPr>
          <w:p>
            <w:pPr/>
            <w:r>
              <w:t xml:space="preserve">Ends taxing a state roof grant while exempting a FEMA one</w:t>
            </w:r>
          </w:p>
        </w:tc>
      </w:tr>
      <w:tr>
        <w:tc>
          <w:tcPr>
            <w:tcW w:w="4920" w:type="dxa"/>
          </w:tcPr>
          <w:p>
            <w:pPr/>
            <w:r>
              <w:t xml:space="preserve">Insurer and residual-market tax: deduction for pre-event catastrophe reserves (conditioned on pricing in mitigation); tax exemption for FAIR Plan surplus (conditioned on state standards)</w:t>
            </w:r>
          </w:p>
        </w:tc>
        <w:tc>
          <w:tcPr>
            <w:tcW w:w="910" w:type="dxa"/>
          </w:tcPr>
          <w:p>
            <w:pPr/>
            <w:r>
              <w:t xml:space="preserve">3</w:t>
            </w:r>
          </w:p>
        </w:tc>
        <w:tc>
          <w:tcPr>
            <w:tcW w:w="3530" w:type="dxa"/>
          </w:tcPr>
          <w:p>
            <w:pPr/>
            <w:r>
              <w:t xml:space="preserve">Pre-funds catastrophe capacity instead of taxing it</w:t>
            </w:r>
          </w:p>
        </w:tc>
      </w:tr>
      <w:tr>
        <w:tc>
          <w:tcPr>
            <w:tcW w:w="4920" w:type="dxa"/>
          </w:tcPr>
          <w:p>
            <w:pPr/>
            <w:r>
              <w:t xml:space="preserve">Municipal finance: new private activity bond categories for clean energy, grid, resilience and residual-insurer capitalization, with higher state caps; raise the $10M small-issue limit; fix §148 arbitrage rules for revolving funds</w:t>
            </w:r>
          </w:p>
        </w:tc>
        <w:tc>
          <w:tcPr>
            <w:tcW w:w="910" w:type="dxa"/>
          </w:tcPr>
          <w:p>
            <w:pPr/>
            <w:r>
              <w:t xml:space="preserve">3</w:t>
            </w:r>
          </w:p>
        </w:tc>
        <w:tc>
          <w:tcPr>
            <w:tcW w:w="3530" w:type="dxa"/>
          </w:tcPr>
          <w:p>
            <w:pPr/>
            <w:r>
              <w:t xml:space="preserve">Cheaper local capital for resilience</w:t>
            </w:r>
          </w:p>
        </w:tc>
      </w:tr>
      <w:tr>
        <w:tc>
          <w:tcPr>
            <w:tcW w:w="4920" w:type="dxa"/>
          </w:tcPr>
          <w:p>
            <w:pPr/>
            <w:r>
              <w:t xml:space="preserve">Rural and workforce: credits for on-site childcare in rural and Tribal areas, primary-care recruitment, energy apprenticeships, and loan repayment for service in rural and Tribal communities</w:t>
            </w:r>
          </w:p>
        </w:tc>
        <w:tc>
          <w:tcPr>
            <w:tcW w:w="910" w:type="dxa"/>
          </w:tcPr>
          <w:p>
            <w:pPr/>
            <w:r>
              <w:t xml:space="preserve">2, 6</w:t>
            </w:r>
          </w:p>
        </w:tc>
        <w:tc>
          <w:tcPr>
            <w:tcW w:w="3530" w:type="dxa"/>
          </w:tcPr>
          <w:p>
            <w:pPr/>
            <w:r>
              <w:t xml:space="preserve">Addresses the workforce gaps that stall rural projects</w:t>
            </w:r>
          </w:p>
        </w:tc>
      </w:tr>
      <w:tr>
        <w:tc>
          <w:tcPr>
            <w:tcW w:w="4920" w:type="dxa"/>
          </w:tcPr>
          <w:p>
            <w:pPr/>
            <w:r>
              <w:t xml:space="preserve">A "Tax Code for Nature": credits for verified private-land stewardship and nature-based solutions</w:t>
            </w:r>
          </w:p>
        </w:tc>
        <w:tc>
          <w:tcPr>
            <w:tcW w:w="910" w:type="dxa"/>
          </w:tcPr>
          <w:p>
            <w:pPr/>
            <w:r>
              <w:t xml:space="preserve">4</w:t>
            </w:r>
          </w:p>
        </w:tc>
        <w:tc>
          <w:tcPr>
            <w:tcW w:w="3530" w:type="dxa"/>
          </w:tcPr>
          <w:p>
            <w:pPr/>
            <w:r>
              <w:t xml:space="preserve">Pays landowners for ecosystem outcomes</w:t>
            </w:r>
          </w:p>
        </w:tc>
      </w:tr>
    </w:tbl>
    <w:p>
      <w:pPr>
        <w:pStyle w:val="Heading3"/>
      </w:pPr>
      <w:r>
        <w:t xml:space="preserve">Revenue</w:t>
      </w:r>
    </w:p>
    <w:tbl>
      <w:tblPr>
        <w:tblStyle w:val="TableGrid"/>
        <w:tblW w:w="0" w:type="auto"/>
        <w:tblLayout w:type="fixed"/>
        <w:tblLook w:val="04A0" w:firstRow="1" w:lastRow="0" w:firstColumn="0" w:lastColumn="0" w:noHBand="0" w:noVBand="1"/>
      </w:tblPr>
      <w:tblGrid>
        <w:gridCol w:w="4920"/>
        <w:gridCol w:w="720"/>
        <w:gridCol w:w="3720"/>
      </w:tblGrid>
      <w:tr>
        <w:trPr>
          <w:tblHeader/>
        </w:trPr>
        <w:tc>
          <w:tcPr>
            <w:tcW w:w="4920" w:type="dxa"/>
            <w:shd w:val="clear" w:color="auto" w:fill="F2F2F2"/>
          </w:tcPr>
          <w:p>
            <w:pPr/>
            <w:r>
              <w:t xml:space="preserve">Item</w:t>
            </w:r>
          </w:p>
        </w:tc>
        <w:tc>
          <w:tcPr>
            <w:tcW w:w="720" w:type="dxa"/>
            <w:shd w:val="clear" w:color="auto" w:fill="F2F2F2"/>
          </w:tcPr>
          <w:p>
            <w:pPr/>
            <w:r>
              <w:t xml:space="preserve">Ch.</w:t>
            </w:r>
          </w:p>
        </w:tc>
        <w:tc>
          <w:tcPr>
            <w:tcW w:w="3720" w:type="dxa"/>
            <w:shd w:val="clear" w:color="auto" w:fill="F2F2F2"/>
          </w:tcPr>
          <w:p>
            <w:pPr/>
            <w:r>
              <w:t xml:space="preserve">Effect</w:t>
            </w:r>
          </w:p>
        </w:tc>
      </w:tr>
      <w:tr>
        <w:tc>
          <w:tcPr>
            <w:tcW w:w="4920" w:type="dxa"/>
          </w:tcPr>
          <w:p>
            <w:pPr/>
            <w:r>
              <w:t xml:space="preserve">Windfall-profits tax on oil and gas, funding a Strategic Energy Affordability Reserve</w:t>
            </w:r>
          </w:p>
        </w:tc>
        <w:tc>
          <w:tcPr>
            <w:tcW w:w="720" w:type="dxa"/>
          </w:tcPr>
          <w:p>
            <w:pPr/>
            <w:r>
              <w:t xml:space="preserve">5</w:t>
            </w:r>
          </w:p>
        </w:tc>
        <w:tc>
          <w:tcPr>
            <w:tcW w:w="3720" w:type="dxa"/>
          </w:tcPr>
          <w:p>
            <w:pPr/>
            <w:r>
              <w:t xml:space="preserve">Pays for household relief in price spikes</w:t>
            </w:r>
          </w:p>
        </w:tc>
      </w:tr>
      <w:tr>
        <w:tc>
          <w:tcPr>
            <w:tcW w:w="4920" w:type="dxa"/>
          </w:tcPr>
          <w:p>
            <w:pPr/>
            <w:r>
              <w:t xml:space="preserve">A greenhouse-gas border adjustment (GBAM) with domestic methane and industrial emissions fees, plus a Responsible Energy Partnership on oil-and-gas methane</w:t>
            </w:r>
          </w:p>
        </w:tc>
        <w:tc>
          <w:tcPr>
            <w:tcW w:w="720" w:type="dxa"/>
          </w:tcPr>
          <w:p>
            <w:pPr/>
            <w:r>
              <w:t xml:space="preserve">7</w:t>
            </w:r>
          </w:p>
        </w:tc>
        <w:tc>
          <w:tcPr>
            <w:tcW w:w="3720" w:type="dxa"/>
          </w:tcPr>
          <w:p>
            <w:pPr/>
            <w:r>
              <w:t xml:space="preserve">The report cites $120–240B over 10 years; protects cleaner U.S. producers from EU CBAM charges</w:t>
            </w:r>
          </w:p>
        </w:tc>
      </w:tr>
      <w:tr>
        <w:tc>
          <w:tcPr>
            <w:tcW w:w="4920" w:type="dxa"/>
          </w:tcPr>
          <w:p>
            <w:pPr/>
            <w:r>
              <w:t xml:space="preserve">The "Electron Accelerator" fee-and-rebate: data centers pay for consumption not matched hourly and locally by new clean power; revenue auctions to subsidize 24/7 clean contracts</w:t>
            </w:r>
          </w:p>
        </w:tc>
        <w:tc>
          <w:tcPr>
            <w:tcW w:w="720" w:type="dxa"/>
          </w:tcPr>
          <w:p>
            <w:pPr/>
            <w:r>
              <w:t xml:space="preserve">5</w:t>
            </w:r>
          </w:p>
        </w:tc>
        <w:tc>
          <w:tcPr>
            <w:tcW w:w="3720" w:type="dxa"/>
          </w:tcPr>
          <w:p>
            <w:pPr/>
            <w:r>
              <w:t xml:space="preserve">Pulls geothermal, nuclear and LDES forward using AI demand</w:t>
            </w:r>
          </w:p>
        </w:tc>
      </w:tr>
      <w:tr>
        <w:tc>
          <w:tcPr>
            <w:tcW w:w="4920" w:type="dxa"/>
          </w:tcPr>
          <w:p>
            <w:pPr/>
            <w:r>
              <w:t xml:space="preserve">Market-linked federal oil and gas royalties (with discounts for verified practices); a hardrock mining royalty</w:t>
            </w:r>
          </w:p>
        </w:tc>
        <w:tc>
          <w:tcPr>
            <w:tcW w:w="720" w:type="dxa"/>
          </w:tcPr>
          <w:p>
            <w:pPr/>
            <w:r>
              <w:t xml:space="preserve">4</w:t>
            </w:r>
          </w:p>
        </w:tc>
        <w:tc>
          <w:tcPr>
            <w:tcW w:w="3720" w:type="dxa"/>
          </w:tcPr>
          <w:p>
            <w:pPr/>
            <w:r>
              <w:t xml:space="preserve">The report notes a &lt;5% royalty increase on $7.5B of FY2025 revenue yields ~$320M a year</w:t>
            </w:r>
          </w:p>
        </w:tc>
      </w:tr>
      <w:tr>
        <w:tc>
          <w:tcPr>
            <w:tcW w:w="4920" w:type="dxa"/>
          </w:tcPr>
          <w:p>
            <w:pPr/>
            <w:r>
              <w:t xml:space="preserve">A beneficiary-pays excise on outdoor-recreation industries for a conservation trust fund</w:t>
            </w:r>
          </w:p>
        </w:tc>
        <w:tc>
          <w:tcPr>
            <w:tcW w:w="720" w:type="dxa"/>
          </w:tcPr>
          <w:p>
            <w:pPr/>
            <w:r>
              <w:t xml:space="preserve">4</w:t>
            </w:r>
          </w:p>
        </w:tc>
        <w:tc>
          <w:tcPr>
            <w:tcW w:w="3720" w:type="dxa"/>
          </w:tcPr>
          <w:p>
            <w:pPr/>
            <w:r>
              <w:t xml:space="preserve">Extends the hunting and fishing model (Pittman-Robertson) to the wider outdoor economy</w:t>
            </w:r>
          </w:p>
        </w:tc>
      </w:tr>
    </w:tbl>
    <w:p>
      <w:pPr>
        <w:pStyle w:val="Heading3"/>
      </w:pPr>
      <w:r>
        <w:t xml:space="preserve">Mandatory spending</w:t>
      </w:r>
    </w:p>
    <w:tbl>
      <w:tblPr>
        <w:tblStyle w:val="TableGrid"/>
        <w:tblW w:w="0" w:type="auto"/>
        <w:tblLayout w:type="fixed"/>
        <w:tblLook w:val="04A0" w:firstRow="1" w:lastRow="0" w:firstColumn="0" w:lastColumn="0" w:noHBand="0" w:noVBand="1"/>
      </w:tblPr>
      <w:tblGrid>
        <w:gridCol w:w="4920"/>
        <w:gridCol w:w="910"/>
        <w:gridCol w:w="3530"/>
      </w:tblGrid>
      <w:tr>
        <w:trPr>
          <w:tblHeader/>
        </w:trPr>
        <w:tc>
          <w:tcPr>
            <w:tcW w:w="4920" w:type="dxa"/>
            <w:shd w:val="clear" w:color="auto" w:fill="F2F2F2"/>
          </w:tcPr>
          <w:p>
            <w:pPr/>
            <w:r>
              <w:t xml:space="preserve">Item</w:t>
            </w:r>
          </w:p>
        </w:tc>
        <w:tc>
          <w:tcPr>
            <w:tcW w:w="910" w:type="dxa"/>
            <w:shd w:val="clear" w:color="auto" w:fill="F2F2F2"/>
          </w:tcPr>
          <w:p>
            <w:pPr/>
            <w:r>
              <w:t xml:space="preserve">Ch.</w:t>
            </w:r>
          </w:p>
        </w:tc>
        <w:tc>
          <w:tcPr>
            <w:tcW w:w="3530" w:type="dxa"/>
            <w:shd w:val="clear" w:color="auto" w:fill="F2F2F2"/>
          </w:tcPr>
          <w:p>
            <w:pPr/>
            <w:r>
              <w:t xml:space="preserve">Effect</w:t>
            </w:r>
          </w:p>
        </w:tc>
      </w:tr>
      <w:tr>
        <w:tc>
          <w:tcPr>
            <w:tcW w:w="4920" w:type="dxa"/>
          </w:tcPr>
          <w:p>
            <w:pPr/>
            <w:r>
              <w:t xml:space="preserve">A Clean Energy State Revolving Fund on the CWSRF model, plus SEFI expansion and enterprise capital for green banks and CDFIs</w:t>
            </w:r>
          </w:p>
        </w:tc>
        <w:tc>
          <w:tcPr>
            <w:tcW w:w="910" w:type="dxa"/>
          </w:tcPr>
          <w:p>
            <w:pPr/>
            <w:r>
              <w:t xml:space="preserve">8</w:t>
            </w:r>
          </w:p>
        </w:tc>
        <w:tc>
          <w:tcPr>
            <w:tcW w:w="3530" w:type="dxa"/>
          </w:tcPr>
          <w:p>
            <w:pPr/>
            <w:r>
              <w:t xml:space="preserve">Money that recycles at the state level beyond federal election cycles (CWSRF turned $62B federal into $194B lent)</w:t>
            </w:r>
          </w:p>
        </w:tc>
      </w:tr>
      <w:tr>
        <w:tc>
          <w:tcPr>
            <w:tcW w:w="4920" w:type="dxa"/>
          </w:tcPr>
          <w:p>
            <w:pPr/>
            <w:r>
              <w:t xml:space="preserve">Commodity-program redesign: ARC/PLC pay on revenue and income loss and actual plantings, not historic base; pay for ecosystem services; stop subsidizing crops in unsuitable climates</w:t>
            </w:r>
          </w:p>
        </w:tc>
        <w:tc>
          <w:tcPr>
            <w:tcW w:w="910" w:type="dxa"/>
          </w:tcPr>
          <w:p>
            <w:pPr/>
            <w:r>
              <w:t xml:space="preserve">1</w:t>
            </w:r>
          </w:p>
        </w:tc>
        <w:tc>
          <w:tcPr>
            <w:tcW w:w="3530" w:type="dxa"/>
          </w:tcPr>
          <w:p>
            <w:pPr/>
            <w:r>
              <w:t xml:space="preserve">OBBBA used reconciliation for these programs, which sets the precedent to redo them the same way</w:t>
            </w:r>
          </w:p>
        </w:tc>
      </w:tr>
      <w:tr>
        <w:tc>
          <w:tcPr>
            <w:tcW w:w="4920" w:type="dxa"/>
          </w:tcPr>
          <w:p>
            <w:pPr/>
            <w:r>
              <w:t xml:space="preserve">$100B over 10 years for agricultural R&amp;D; mandatory CTA; mandatory full PILT; permanent Legacy Restoration Fund</w:t>
            </w:r>
          </w:p>
        </w:tc>
        <w:tc>
          <w:tcPr>
            <w:tcW w:w="910" w:type="dxa"/>
          </w:tcPr>
          <w:p>
            <w:pPr/>
            <w:r>
              <w:t xml:space="preserve">1, 2, 4</w:t>
            </w:r>
          </w:p>
        </w:tc>
        <w:tc>
          <w:tcPr>
            <w:tcW w:w="3530" w:type="dxa"/>
          </w:tcPr>
          <w:p>
            <w:pPr/>
            <w:r>
              <w:t xml:space="preserve">Stable funding no appropriator can trim</w:t>
            </w:r>
          </w:p>
        </w:tc>
      </w:tr>
      <w:tr>
        <w:tc>
          <w:tcPr>
            <w:tcW w:w="4920" w:type="dxa"/>
          </w:tcPr>
          <w:p>
            <w:pPr/>
            <w:r>
              <w:t xml:space="preserve">Permanent federal voluntary climate relocation program (buyouts, receiving-community investment, PILT-style revenue bridges for origin towns) and a National Safe Growth Bonus for infill in low-risk, served places</w:t>
            </w:r>
          </w:p>
        </w:tc>
        <w:tc>
          <w:tcPr>
            <w:tcW w:w="910" w:type="dxa"/>
          </w:tcPr>
          <w:p>
            <w:pPr/>
            <w:r>
              <w:t xml:space="preserve">3</w:t>
            </w:r>
          </w:p>
        </w:tc>
        <w:tc>
          <w:tcPr>
            <w:tcW w:w="3530" w:type="dxa"/>
          </w:tcPr>
          <w:p>
            <w:pPr/>
            <w:r>
              <w:t xml:space="preserve">Turns unmanaged retreat into planned moves; steers growth away from floodplains and the wildland-urban interface</w:t>
            </w:r>
          </w:p>
        </w:tc>
      </w:tr>
      <w:tr>
        <w:tc>
          <w:tcPr>
            <w:tcW w:w="4920" w:type="dxa"/>
          </w:tcPr>
          <w:p>
            <w:pPr/>
            <w:r>
              <w:t xml:space="preserve">Climate Insurance and Recovery Affordability Program; NFIP means-tested premium support; Resilience Revolving Loan Funds</w:t>
            </w:r>
          </w:p>
        </w:tc>
        <w:tc>
          <w:tcPr>
            <w:tcW w:w="910" w:type="dxa"/>
          </w:tcPr>
          <w:p>
            <w:pPr/>
            <w:r>
              <w:t xml:space="preserve">3</w:t>
            </w:r>
          </w:p>
        </w:tc>
        <w:tc>
          <w:tcPr>
            <w:tcW w:w="3530" w:type="dxa"/>
          </w:tcPr>
          <w:p>
            <w:pPr/>
            <w:r>
              <w:t xml:space="preserve">Keeps coverage affordable while prices reflect risk</w:t>
            </w:r>
          </w:p>
        </w:tc>
      </w:tr>
      <w:tr>
        <w:tc>
          <w:tcPr>
            <w:tcW w:w="4920" w:type="dxa"/>
          </w:tcPr>
          <w:p>
            <w:pPr/>
            <w:r>
              <w:t xml:space="preserve">LIHEAP and WAP expansion; permanent LIHWAP</w:t>
            </w:r>
          </w:p>
        </w:tc>
        <w:tc>
          <w:tcPr>
            <w:tcW w:w="910" w:type="dxa"/>
          </w:tcPr>
          <w:p>
            <w:pPr/>
            <w:r>
              <w:t xml:space="preserve">3, 5</w:t>
            </w:r>
          </w:p>
        </w:tc>
        <w:tc>
          <w:tcPr>
            <w:tcW w:w="3530" w:type="dxa"/>
          </w:tcPr>
          <w:p>
            <w:pPr/>
            <w:r>
              <w:t xml:space="preserve">Durable bill relief</w:t>
            </w:r>
          </w:p>
        </w:tc>
      </w:tr>
      <w:tr>
        <w:tc>
          <w:tcPr>
            <w:tcW w:w="4920" w:type="dxa"/>
          </w:tcPr>
          <w:p>
            <w:pPr/>
            <w:r>
              <w:t xml:space="preserve">Reappropriate Clean Air Act §137 (CPRG) and expand STAG</w:t>
            </w:r>
          </w:p>
        </w:tc>
        <w:tc>
          <w:tcPr>
            <w:tcW w:w="910" w:type="dxa"/>
          </w:tcPr>
          <w:p>
            <w:pPr/>
            <w:r>
              <w:t xml:space="preserve">9</w:t>
            </w:r>
          </w:p>
        </w:tc>
        <w:tc>
          <w:tcPr>
            <w:tcW w:w="3530" w:type="dxa"/>
          </w:tcPr>
          <w:p>
            <w:pPr/>
            <w:r>
              <w:t xml:space="preserve">The CPRG round drew $30B+ in requests for ~$4.5B</w:t>
            </w:r>
          </w:p>
        </w:tc>
      </w:tr>
      <w:tr>
        <w:tc>
          <w:tcPr>
            <w:tcW w:w="4920" w:type="dxa"/>
          </w:tcPr>
          <w:p>
            <w:pPr/>
            <w:r>
              <w:t xml:space="preserve">A Strategic Resource Reserve focused on price stabilization, plus federal offtake for minerals and carbon removal (reverse auctions, multi-year contracts)</w:t>
            </w:r>
          </w:p>
        </w:tc>
        <w:tc>
          <w:tcPr>
            <w:tcW w:w="910" w:type="dxa"/>
          </w:tcPr>
          <w:p>
            <w:pPr/>
            <w:r>
              <w:t xml:space="preserve">6, 7</w:t>
            </w:r>
          </w:p>
        </w:tc>
        <w:tc>
          <w:tcPr>
            <w:tcW w:w="3530" w:type="dxa"/>
          </w:tcPr>
          <w:p>
            <w:pPr/>
            <w:r>
              <w:t xml:space="preserve">Stable demand for domestic processing and durable CDR</w:t>
            </w:r>
          </w:p>
        </w:tc>
      </w:tr>
      <w:tr>
        <w:tc>
          <w:tcPr>
            <w:tcW w:w="4920" w:type="dxa"/>
          </w:tcPr>
          <w:p>
            <w:pPr/>
            <w:r>
              <w:t xml:space="preserve">Healthcare Resilience Investment Program; Community Resilience Hubs; broadband to close the remaining $120–200B gap</w:t>
            </w:r>
          </w:p>
        </w:tc>
        <w:tc>
          <w:tcPr>
            <w:tcW w:w="910" w:type="dxa"/>
          </w:tcPr>
          <w:p>
            <w:pPr/>
            <w:r>
              <w:t xml:space="preserve">2, 3</w:t>
            </w:r>
          </w:p>
        </w:tc>
        <w:tc>
          <w:tcPr>
            <w:tcW w:w="3530" w:type="dxa"/>
          </w:tcPr>
          <w:p>
            <w:pPr/>
            <w:r>
              <w:t xml:space="preserve">Keeps hospitals, clinics and communications running in disasters</w:t>
            </w:r>
          </w:p>
        </w:tc>
      </w:tr>
    </w:tbl>
    <w:p>
      <w:pPr/>
      <w:r>
        <w:t xml:space="preserve">What cannot ride reconciliation, because the Byrd rule strips non-budgetary policy: the mandates, standards, disclosure rules and agency reorganizations in Stage 3b. Several tax items above lean on conditions (insurer reserves, FAIR Plan exemption) that are tax-linked and probably survive; outright requirements on states or utilities do not.</w:t>
      </w:r>
    </w:p>
    <w:p>
      <w:pPr>
        <w:pStyle w:val="Heading2"/>
      </w:pPr>
      <w:r>
        <w:t xml:space="preserve">Stage 3b: structural statutes that need 60 votes or filibuster reform</w:t>
      </w:r>
    </w:p>
    <w:p>
      <w:pPr/>
      <w:r>
        <w:t xml:space="preserve">The report's most consequential long-term ideas are regulatory, not fiscal: they rewrite how utilities earn money, who can block transmission, where federal money may build, and what risk markets must disclose. None survives the Byrd rule, so a trifecta gets them only with Republican votes, a narrower carve-out, or ending the filibuster. Where a piece has bipartisan potential, it may be better pursued in Stage 1.</w:t>
      </w:r>
    </w:p>
    <w:tbl>
      <w:tblPr>
        <w:tblStyle w:val="TableGrid"/>
        <w:tblW w:w="0" w:type="auto"/>
        <w:tblLayout w:type="fixed"/>
        <w:tblLook w:val="04A0" w:firstRow="1" w:lastRow="0" w:firstColumn="0" w:lastColumn="0" w:noHBand="0" w:noVBand="1"/>
      </w:tblPr>
      <w:tblGrid>
        <w:gridCol w:w="1471"/>
        <w:gridCol w:w="4249"/>
        <w:gridCol w:w="1820"/>
        <w:gridCol w:w="1820"/>
      </w:tblGrid>
      <w:tr>
        <w:trPr>
          <w:tblHeader/>
        </w:trPr>
        <w:tc>
          <w:tcPr>
            <w:tcW w:w="1471" w:type="dxa"/>
            <w:shd w:val="clear" w:color="auto" w:fill="F2F2F2"/>
          </w:tcPr>
          <w:p>
            <w:pPr/>
            <w:r>
              <w:t xml:space="preserve">Cluster</w:t>
            </w:r>
          </w:p>
        </w:tc>
        <w:tc>
          <w:tcPr>
            <w:tcW w:w="4249" w:type="dxa"/>
            <w:shd w:val="clear" w:color="auto" w:fill="F2F2F2"/>
          </w:tcPr>
          <w:p>
            <w:pPr/>
            <w:r>
              <w:t xml:space="preserve">Key statutory changes</w:t>
            </w:r>
          </w:p>
        </w:tc>
        <w:tc>
          <w:tcPr>
            <w:tcW w:w="1820" w:type="dxa"/>
            <w:shd w:val="clear" w:color="auto" w:fill="F2F2F2"/>
          </w:tcPr>
          <w:p>
            <w:pPr/>
            <w:r>
              <w:t xml:space="preserve">Effect</w:t>
            </w:r>
          </w:p>
        </w:tc>
        <w:tc>
          <w:tcPr>
            <w:tcW w:w="1820" w:type="dxa"/>
            <w:shd w:val="clear" w:color="auto" w:fill="F2F2F2"/>
          </w:tcPr>
          <w:p>
            <w:pPr/>
            <w:r>
              <w:t xml:space="preserve">Path</w:t>
            </w:r>
          </w:p>
        </w:tc>
      </w:tr>
      <w:tr>
        <w:tc>
          <w:tcPr>
            <w:tcW w:w="1471" w:type="dxa"/>
          </w:tcPr>
          <w:p>
            <w:pPr/>
            <w:r>
              <w:rPr>
                <w:b/>
              </w:rPr>
              <w:t xml:space="preserve">Utility business model (Federal Power Act, PURPA)</w:t>
            </w:r>
          </w:p>
        </w:tc>
        <w:tc>
          <w:tcPr>
            <w:tcW w:w="4249" w:type="dxa"/>
          </w:tcPr>
          <w:p>
            <w:pPr/>
            <w:r>
              <w:t xml:space="preserve">Shared-savings incentive for grid-enhancing technologies and advanced conductors; a PURPA §111(d) standard pushing states toward performance-based ratemaking; a national energy efficiency resource standard; minimum governance and transparency rules for RTOs/ISOs with intervenor funding; a statutory federal floor for large-load ratepayer protection; customer rights to real-time usage data and third-party sharing</w:t>
            </w:r>
          </w:p>
        </w:tc>
        <w:tc>
          <w:tcPr>
            <w:tcW w:w="1820" w:type="dxa"/>
          </w:tcPr>
          <w:p>
            <w:pPr/>
            <w:r>
              <w:t xml:space="preserve">Pays utilities for cutting costs instead of growing rate base; the report's answer to "cap-ex bias"</w:t>
            </w:r>
          </w:p>
        </w:tc>
        <w:tc>
          <w:tcPr>
            <w:tcW w:w="1820" w:type="dxa"/>
          </w:tcPr>
          <w:p>
            <w:pPr/>
            <w:r>
              <w:t xml:space="preserve">Mostly partisan; the large-load floor could go bipartisan</w:t>
            </w:r>
          </w:p>
        </w:tc>
      </w:tr>
      <w:tr>
        <w:tc>
          <w:tcPr>
            <w:tcW w:w="1471" w:type="dxa"/>
          </w:tcPr>
          <w:p>
            <w:pPr/>
            <w:r>
              <w:rPr>
                <w:b/>
              </w:rPr>
              <w:t xml:space="preserve">Grid build-out rules</w:t>
            </w:r>
          </w:p>
        </w:tc>
        <w:tc>
          <w:tcPr>
            <w:tcW w:w="4249" w:type="dxa"/>
          </w:tcPr>
          <w:p>
            <w:pPr/>
            <w:r>
              <w:t xml:space="preserve">Codify FERC Order 1920 planning; require connect-and-manage or consolidated interconnection (ERCOT and SPP models) with enforceable study deadlines; 20-year interregional planning implementing NERC's transfer-capability study; competitive bidding for interregional lines; storage as transmission; statutory beneficiary-pays definitions; wholesale market redesign after a congressional expert convening; thermal storage counted as wholesale (FPA §201)</w:t>
            </w:r>
          </w:p>
        </w:tc>
        <w:tc>
          <w:tcPr>
            <w:tcW w:w="1820" w:type="dxa"/>
          </w:tcPr>
          <w:p>
            <w:pPr/>
            <w:r>
              <w:t xml:space="preserve">Interconnection in six months or less for ready projects; a grid "bigger than the weather"</w:t>
            </w:r>
          </w:p>
        </w:tc>
        <w:tc>
          <w:tcPr>
            <w:tcW w:w="1820" w:type="dxa"/>
          </w:tcPr>
          <w:p>
            <w:pPr/>
            <w:r>
              <w:t xml:space="preserve">Partly in a permitting deal; the rest partisan</w:t>
            </w:r>
          </w:p>
        </w:tc>
      </w:tr>
      <w:tr>
        <w:tc>
          <w:tcPr>
            <w:tcW w:w="1471" w:type="dxa"/>
          </w:tcPr>
          <w:p>
            <w:pPr/>
            <w:r>
              <w:rPr>
                <w:b/>
              </w:rPr>
              <w:t xml:space="preserve">Wildfire and utilities</w:t>
            </w:r>
          </w:p>
        </w:tc>
        <w:tc>
          <w:tcPr>
            <w:tcW w:w="4249" w:type="dxa"/>
          </w:tcPr>
          <w:p>
            <w:pPr/>
            <w:r>
              <w:t xml:space="preserve">A Federal Wildfire Relief Fund and voluntary federal insurance backstop for utilities meeting certified safety standards; federal reliability and cyber standards for interstate gas pipelines</w:t>
            </w:r>
          </w:p>
        </w:tc>
        <w:tc>
          <w:tcPr>
            <w:tcW w:w="1820" w:type="dxa"/>
          </w:tcPr>
          <w:p>
            <w:pPr/>
            <w:r>
              <w:t xml:space="preserve">Stabilizes Western utility finance; uniform treatment across states</w:t>
            </w:r>
          </w:p>
        </w:tc>
        <w:tc>
          <w:tcPr>
            <w:tcW w:w="1820" w:type="dxa"/>
          </w:tcPr>
          <w:p>
            <w:pPr/>
            <w:r>
              <w:t xml:space="preserve">Possibly bipartisan (Western members)</w:t>
            </w:r>
          </w:p>
        </w:tc>
      </w:tr>
      <w:tr>
        <w:tc>
          <w:tcPr>
            <w:tcW w:w="1471" w:type="dxa"/>
          </w:tcPr>
          <w:p>
            <w:pPr/>
            <w:r>
              <w:rPr>
                <w:b/>
              </w:rPr>
              <w:t xml:space="preserve">Where federal money may build</w:t>
            </w:r>
          </w:p>
        </w:tc>
        <w:tc>
          <w:tcPr>
            <w:tcW w:w="4249" w:type="dxa"/>
          </w:tcPr>
          <w:p>
            <w:pPr/>
            <w:r>
              <w:t xml:space="preserve">No federal funding, permits or federally backed mortgages for new development in extreme-risk zones (with transition support); a forward-looking federal floodplain standard; a "One Plan" climate-risk standard for all federally approved plans; an ADA-style Climate-Ready Transportation Standard; no federally funded rebuilding in the most hazardous places absent real mitigation; hazard-resistant code baselines as a condition of aid; a 30-minute access standard and combined housing-plus-transportation cost cap</w:t>
            </w:r>
          </w:p>
        </w:tc>
        <w:tc>
          <w:tcPr>
            <w:tcW w:w="1820" w:type="dxa"/>
          </w:tcPr>
          <w:p>
            <w:pPr/>
            <w:r>
              <w:t xml:space="preserve">The single biggest long-run fiscal lever: stops federal subsidy of building in harm's way (44M homes are already in the wildland-urban interface)</w:t>
            </w:r>
          </w:p>
        </w:tc>
        <w:tc>
          <w:tcPr>
            <w:tcW w:w="1820" w:type="dxa"/>
          </w:tcPr>
          <w:p>
            <w:pPr/>
            <w:r>
              <w:t xml:space="preserve">Partisan, and politically hard even for Democrats in coastal and Western seats</w:t>
            </w:r>
          </w:p>
        </w:tc>
      </w:tr>
      <w:tr>
        <w:tc>
          <w:tcPr>
            <w:tcW w:w="1471" w:type="dxa"/>
          </w:tcPr>
          <w:p>
            <w:pPr/>
            <w:r>
              <w:rPr>
                <w:b/>
              </w:rPr>
              <w:t xml:space="preserve">Risk disclosure and finance</w:t>
            </w:r>
          </w:p>
        </w:tc>
        <w:tc>
          <w:tcPr>
            <w:tcW w:w="4249" w:type="dxa"/>
          </w:tcPr>
          <w:p>
            <w:pPr/>
            <w:r>
              <w:t xml:space="preserve">A national climate-risk disclosure at sale or lease (lead-paint model); forward-looking climate risk in GSE, FHA, VA and USDA underwriting and appraisal with anti-redlining guardrails; a national property insurance data partnership with a Treasury backstop; enhanced federal disaster cost-share only for states meeting insurance-regulation standards; codify FSOC's climate role with biennial system-wide scenario analysis; climate scenario analysis for large banks; SEC municipal climate disclosure; GHGRP-based corporate disclosure; federal carbon-credit quality standards and a registry</w:t>
            </w:r>
          </w:p>
        </w:tc>
        <w:tc>
          <w:tcPr>
            <w:tcW w:w="1820" w:type="dxa"/>
          </w:tcPr>
          <w:p>
            <w:pPr/>
            <w:r>
              <w:t xml:space="preserve">Prices risk honestly before a mortgage or insurance crisis forces it</w:t>
            </w:r>
          </w:p>
        </w:tc>
        <w:tc>
          <w:tcPr>
            <w:tcW w:w="1820" w:type="dxa"/>
          </w:tcPr>
          <w:p>
            <w:pPr/>
            <w:r>
              <w:t xml:space="preserve">Partisan; directly reverses 2025 exits from climate supervision</w:t>
            </w:r>
          </w:p>
        </w:tc>
      </w:tr>
      <w:tr>
        <w:tc>
          <w:tcPr>
            <w:tcW w:w="1471" w:type="dxa"/>
          </w:tcPr>
          <w:p>
            <w:pPr/>
            <w:r>
              <w:rPr>
                <w:b/>
              </w:rPr>
              <w:t xml:space="preserve">Public lands and ecosystems</w:t>
            </w:r>
          </w:p>
        </w:tc>
        <w:tc>
          <w:tcPr>
            <w:tcW w:w="4249" w:type="dxa"/>
          </w:tcPr>
          <w:p>
            <w:pPr/>
            <w:r>
              <w:t xml:space="preserve">Ecosystem health as the priority within multiple use; land-use plans exempt from the Congressional Review Act; codify and broaden the Public Lands Rule; Mining Law of 1872 rewrite with royalties and Tribal input; pause deep-sea mining permits; expand Coastal Barrier Resources System inland; highly protected marine areas; more PFAS designated hazardous with cleanup standards; Extended Producer Responsibility for packaging</w:t>
            </w:r>
          </w:p>
        </w:tc>
        <w:tc>
          <w:tcPr>
            <w:tcW w:w="1820" w:type="dxa"/>
          </w:tcPr>
          <w:p>
            <w:pPr/>
            <w:r>
              <w:t xml:space="preserve">Rebalances public-land law from extraction toward conservation and fair return</w:t>
            </w:r>
          </w:p>
        </w:tc>
        <w:tc>
          <w:tcPr>
            <w:tcW w:w="1820" w:type="dxa"/>
          </w:tcPr>
          <w:p>
            <w:pPr/>
            <w:r>
              <w:t xml:space="preserve">Partisan</w:t>
            </w:r>
          </w:p>
        </w:tc>
      </w:tr>
      <w:tr>
        <w:tc>
          <w:tcPr>
            <w:tcW w:w="1471" w:type="dxa"/>
          </w:tcPr>
          <w:p>
            <w:pPr/>
            <w:r>
              <w:rPr>
                <w:b/>
              </w:rPr>
              <w:t xml:space="preserve">Tribal sovereignty</w:t>
            </w:r>
          </w:p>
        </w:tc>
        <w:tc>
          <w:tcPr>
            <w:tcW w:w="4249" w:type="dxa"/>
          </w:tcPr>
          <w:p>
            <w:pPr/>
            <w:r>
              <w:t xml:space="preserve">Free, Prior and Informed Consent in federal decisions; codify Indigenous knowledge use; a FOIA exemption for Tribal data; ISDEAA self-governance extended to USFS and NOAA; equal Tribal decision authority on ancestral lands managed by USFS, NPS and BLM; streamline land-into-trust</w:t>
            </w:r>
          </w:p>
        </w:tc>
        <w:tc>
          <w:tcPr>
            <w:tcW w:w="1820" w:type="dxa"/>
          </w:tcPr>
          <w:p>
            <w:pPr/>
            <w:r>
              <w:t xml:space="preserve">Shifts Tribal role from consultation to consent and co-management</w:t>
            </w:r>
          </w:p>
        </w:tc>
        <w:tc>
          <w:tcPr>
            <w:tcW w:w="1820" w:type="dxa"/>
          </w:tcPr>
          <w:p>
            <w:pPr/>
            <w:r>
              <w:t xml:space="preserve">Partisan on FPIC and co-equal authority; ISDEAA expansion could be bipartisan</w:t>
            </w:r>
          </w:p>
        </w:tc>
      </w:tr>
      <w:tr>
        <w:tc>
          <w:tcPr>
            <w:tcW w:w="1471" w:type="dxa"/>
          </w:tcPr>
          <w:p>
            <w:pPr/>
            <w:r>
              <w:rPr>
                <w:b/>
              </w:rPr>
              <w:t xml:space="preserve">Accounting for nature</w:t>
            </w:r>
          </w:p>
        </w:tc>
        <w:tc>
          <w:tcPr>
            <w:tcW w:w="4249" w:type="dxa"/>
          </w:tcPr>
          <w:p>
            <w:pPr/>
            <w:r>
              <w:t xml:space="preserve">Government-wide natural capital accounting (SEEA); a Bureau of Environmental Statistics; new BEA satellite accounts; a Natural Capital Accounting Standards Board; CBO scoring that counts ecosystem costs and benefits</w:t>
            </w:r>
          </w:p>
        </w:tc>
        <w:tc>
          <w:tcPr>
            <w:tcW w:w="1820" w:type="dxa"/>
          </w:tcPr>
          <w:p>
            <w:pPr/>
            <w:r>
              <w:t xml:space="preserve">Changes what "cost" means in every later score</w:t>
            </w:r>
          </w:p>
        </w:tc>
        <w:tc>
          <w:tcPr>
            <w:tcW w:w="1820" w:type="dxa"/>
          </w:tcPr>
          <w:p>
            <w:pPr/>
            <w:r>
              <w:t xml:space="preserve">Low salience, could move quietly</w:t>
            </w:r>
          </w:p>
        </w:tc>
      </w:tr>
      <w:tr>
        <w:tc>
          <w:tcPr>
            <w:tcW w:w="1471" w:type="dxa"/>
          </w:tcPr>
          <w:p>
            <w:pPr/>
            <w:r>
              <w:rPr>
                <w:b/>
              </w:rPr>
              <w:t xml:space="preserve">Institutions</w:t>
            </w:r>
          </w:p>
        </w:tc>
        <w:tc>
          <w:tcPr>
            <w:tcW w:w="4249" w:type="dxa"/>
          </w:tcPr>
          <w:p>
            <w:pPr/>
            <w:r>
              <w:t xml:space="preserve">Cabinet-level FEMA; USDA Rural Development as an independent agency; EOP Offices of Global Energy Security and Global Resilience; a Deputy NSA for Energy and Climate; a Foreign Service energy-climate cone; a central federal financing coordination office; a statutory National Resilience Strategy; the 10-20-30 persistent-poverty formula and waived local match across rural and Tribal programs; community benefit agreements on federal infrastructure in persistent-poverty counties and Tribal lands; restore Chevron</w:t>
            </w:r>
          </w:p>
        </w:tc>
        <w:tc>
          <w:tcPr>
            <w:tcW w:w="1820" w:type="dxa"/>
          </w:tcPr>
          <w:p>
            <w:pPr/>
            <w:r>
              <w:t xml:space="preserve">Makes the agenda survive the next transition</w:t>
            </w:r>
          </w:p>
        </w:tc>
        <w:tc>
          <w:tcPr>
            <w:tcW w:w="1820" w:type="dxa"/>
          </w:tcPr>
          <w:p>
            <w:pPr/>
            <w:r>
              <w:t xml:space="preserve">Mixed; some reorganizations can be bipartisan</w:t>
            </w:r>
          </w:p>
        </w:tc>
      </w:tr>
      <w:tr>
        <w:tc>
          <w:tcPr>
            <w:tcW w:w="1471" w:type="dxa"/>
          </w:tcPr>
          <w:p>
            <w:pPr/>
            <w:r>
              <w:rPr>
                <w:b/>
              </w:rPr>
              <w:t xml:space="preserve">Trade and security</w:t>
            </w:r>
          </w:p>
        </w:tc>
        <w:tc>
          <w:tcPr>
            <w:tcW w:w="4249" w:type="dxa"/>
          </w:tcPr>
          <w:p>
            <w:pPr/>
            <w:r>
              <w:t xml:space="preserve">Statutory GBAM standards and MRV system; a public framework for when export controls, import limits and investment screening help energy security; a Team Telecom-style review of foreign participation in energy infrastructure; updated Critical and Emerging Technologies list</w:t>
            </w:r>
          </w:p>
        </w:tc>
        <w:tc>
          <w:tcPr>
            <w:tcW w:w="1820" w:type="dxa"/>
          </w:tcPr>
          <w:p>
            <w:pPr/>
            <w:r>
              <w:t xml:space="preserve">Turns cleaner U.S. production into a trade advantage</w:t>
            </w:r>
          </w:p>
        </w:tc>
        <w:tc>
          <w:tcPr>
            <w:tcW w:w="1820" w:type="dxa"/>
          </w:tcPr>
          <w:p>
            <w:pPr/>
            <w:r>
              <w:t xml:space="preserve">Methane and border-carbon pieces have some GOP interest</w:t>
            </w:r>
          </w:p>
        </w:tc>
      </w:tr>
    </w:tbl>
    <w:p>
      <w:pPr/>
      <w:r>
        <w:t xml:space="preserve">The filibuster decision effectively sorts this table. With 60 votes required, expect the grid-build rules, wildfire backstop, ISDEAA expansion and natural-capital accounting to move in a permitting or energy package. Without the filibuster, the land-use, disclosure and utility-ratemaking clusters become the trifecta's signature structural law.</w:t>
      </w:r>
    </w:p>
    <w:p>
      <w:pPr>
        <w:pStyle w:val="Heading2"/>
      </w:pPr>
      <w:r>
        <w:t xml:space="preserve">How the near-term items scaffold the long-term ones</w:t>
      </w:r>
    </w:p>
    <w:p>
      <w:pPr/>
      <w:r>
        <w:t xml:space="preserve">The agenda's quiet strategy is data first, mandates later: most Stage 1 items build the measurements, maps and institutions a 2029 mandate needs to be defensible in court and workable on day one. Read in pairs:</w:t>
      </w:r>
    </w:p>
    <w:tbl>
      <w:tblPr>
        <w:tblStyle w:val="TableGrid"/>
        <w:tblW w:w="0" w:type="auto"/>
        <w:tblLayout w:type="fixed"/>
        <w:tblLook w:val="04A0" w:firstRow="1" w:lastRow="0" w:firstColumn="0" w:lastColumn="0" w:noHBand="0" w:noVBand="1"/>
      </w:tblPr>
      <w:tblGrid>
        <w:gridCol w:w="3426"/>
        <w:gridCol w:w="3348"/>
        <w:gridCol w:w="2586"/>
      </w:tblGrid>
      <w:tr>
        <w:trPr>
          <w:tblHeader/>
        </w:trPr>
        <w:tc>
          <w:tcPr>
            <w:tcW w:w="3426" w:type="dxa"/>
            <w:shd w:val="clear" w:color="auto" w:fill="F2F2F2"/>
          </w:tcPr>
          <w:p>
            <w:pPr/>
            <w:r>
              <w:t xml:space="preserve">Stage 1 foundation (2027–28)</w:t>
            </w:r>
          </w:p>
        </w:tc>
        <w:tc>
          <w:tcPr>
            <w:tcW w:w="3348" w:type="dxa"/>
            <w:shd w:val="clear" w:color="auto" w:fill="F2F2F2"/>
          </w:tcPr>
          <w:p>
            <w:pPr/>
            <w:r>
              <w:t xml:space="preserve">Stage 3 policy it enables (2029+)</w:t>
            </w:r>
          </w:p>
        </w:tc>
        <w:tc>
          <w:tcPr>
            <w:tcW w:w="2586" w:type="dxa"/>
            <w:shd w:val="clear" w:color="auto" w:fill="F2F2F2"/>
          </w:tcPr>
          <w:p>
            <w:pPr/>
            <w:r>
              <w:t xml:space="preserve">Why the order matters</w:t>
            </w:r>
          </w:p>
        </w:tc>
      </w:tr>
      <w:tr>
        <w:tc>
          <w:tcPr>
            <w:tcW w:w="3426" w:type="dxa"/>
          </w:tcPr>
          <w:p>
            <w:pPr/>
            <w:r>
              <w:t xml:space="preserve">EIA grid-utilization metrics; hosting-capacity and congestion disclosure</w:t>
            </w:r>
          </w:p>
        </w:tc>
        <w:tc>
          <w:tcPr>
            <w:tcW w:w="3348" w:type="dxa"/>
          </w:tcPr>
          <w:p>
            <w:pPr/>
            <w:r>
              <w:t xml:space="preserve">Performance-based ratemaking and shared-savings incentives tied to utilization</w:t>
            </w:r>
          </w:p>
        </w:tc>
        <w:tc>
          <w:tcPr>
            <w:tcW w:w="2586" w:type="dxa"/>
          </w:tcPr>
          <w:p>
            <w:pPr/>
            <w:r>
              <w:t xml:space="preserve">You cannot pay utilities for utilization you do not measure</w:t>
            </w:r>
          </w:p>
        </w:tc>
      </w:tr>
      <w:tr>
        <w:tc>
          <w:tcPr>
            <w:tcW w:w="3426" w:type="dxa"/>
          </w:tcPr>
          <w:p>
            <w:pPr/>
            <w:r>
              <w:t xml:space="preserve">Data-center energy, water and project-pipeline disclosure; NERC registration of large loads</w:t>
            </w:r>
          </w:p>
        </w:tc>
        <w:tc>
          <w:tcPr>
            <w:tcW w:w="3348" w:type="dxa"/>
          </w:tcPr>
          <w:p>
            <w:pPr/>
            <w:r>
              <w:t xml:space="preserve">Federal ratepayer-protection floor; the Electron Accelerator fee</w:t>
            </w:r>
          </w:p>
        </w:tc>
        <w:tc>
          <w:tcPr>
            <w:tcW w:w="2586" w:type="dxa"/>
          </w:tcPr>
          <w:p>
            <w:pPr/>
            <w:r>
              <w:t xml:space="preserve">Establishes the baseline and the regulated class before charging it</w:t>
            </w:r>
          </w:p>
        </w:tc>
      </w:tr>
      <w:tr>
        <w:tc>
          <w:tcPr>
            <w:tcW w:w="3426" w:type="dxa"/>
          </w:tcPr>
          <w:p>
            <w:pPr/>
            <w:r>
              <w:t xml:space="preserve">National property insurance data partnership; Treasury FIO monitoring</w:t>
            </w:r>
          </w:p>
        </w:tc>
        <w:tc>
          <w:tcPr>
            <w:tcW w:w="3348" w:type="dxa"/>
          </w:tcPr>
          <w:p>
            <w:pPr/>
            <w:r>
              <w:t xml:space="preserve">Risk-aware GSE underwriting; state insurance integrity conditions; affordability program targeting</w:t>
            </w:r>
          </w:p>
        </w:tc>
        <w:tc>
          <w:tcPr>
            <w:tcW w:w="2586" w:type="dxa"/>
          </w:tcPr>
          <w:p>
            <w:pPr/>
            <w:r>
              <w:t xml:space="preserve">Pricing and assistance rules need zip- and tract-level data</w:t>
            </w:r>
          </w:p>
        </w:tc>
      </w:tr>
      <w:tr>
        <w:tc>
          <w:tcPr>
            <w:tcW w:w="3426" w:type="dxa"/>
          </w:tcPr>
          <w:p>
            <w:pPr/>
            <w:r>
              <w:t xml:space="preserve">Future-conditions NFIP maps; NOAA Atlas 14 successors; a national climate risk index; the Transportation Vulnerability Atlas</w:t>
            </w:r>
          </w:p>
        </w:tc>
        <w:tc>
          <w:tcPr>
            <w:tcW w:w="3348" w:type="dxa"/>
          </w:tcPr>
          <w:p>
            <w:pPr/>
            <w:r>
              <w:t xml:space="preserve">Extreme-risk ineligibility zones; federal floodplain floor; climate-ready infrastructure standards</w:t>
            </w:r>
          </w:p>
        </w:tc>
        <w:tc>
          <w:tcPr>
            <w:tcW w:w="2586" w:type="dxa"/>
          </w:tcPr>
          <w:p>
            <w:pPr/>
            <w:r>
              <w:t xml:space="preserve">A no-build line has to be drawn on an authoritative federal map</w:t>
            </w:r>
          </w:p>
        </w:tc>
      </w:tr>
      <w:tr>
        <w:tc>
          <w:tcPr>
            <w:tcW w:w="3426" w:type="dxa"/>
          </w:tcPr>
          <w:p>
            <w:pPr/>
            <w:r>
              <w:t xml:space="preserve">NETL study of U.S. product carbon intensity (already directed in the FY2026 report); federal MRV framework</w:t>
            </w:r>
          </w:p>
        </w:tc>
        <w:tc>
          <w:tcPr>
            <w:tcW w:w="3348" w:type="dxa"/>
          </w:tcPr>
          <w:p>
            <w:pPr/>
            <w:r>
              <w:t xml:space="preserve">GBAM and domestic methane and industrial fees</w:t>
            </w:r>
          </w:p>
        </w:tc>
        <w:tc>
          <w:tcPr>
            <w:tcW w:w="2586" w:type="dxa"/>
          </w:tcPr>
          <w:p>
            <w:pPr/>
            <w:r>
              <w:t xml:space="preserve">Border adjustments need defensible domestic intensity numbers</w:t>
            </w:r>
          </w:p>
        </w:tc>
      </w:tr>
      <w:tr>
        <w:tc>
          <w:tcPr>
            <w:tcW w:w="3426" w:type="dxa"/>
          </w:tcPr>
          <w:p>
            <w:pPr/>
            <w:r>
              <w:t xml:space="preserve">Natural capital accounting standards; BEA satellite accounts</w:t>
            </w:r>
          </w:p>
        </w:tc>
        <w:tc>
          <w:tcPr>
            <w:tcW w:w="3348" w:type="dxa"/>
          </w:tcPr>
          <w:p>
            <w:pPr/>
            <w:r>
              <w:t xml:space="preserve">CBO and OMB scoring that counts ecosystem value; nature-based tax credits</w:t>
            </w:r>
          </w:p>
        </w:tc>
        <w:tc>
          <w:tcPr>
            <w:tcW w:w="2586" w:type="dxa"/>
          </w:tcPr>
          <w:p>
            <w:pPr/>
            <w:r>
              <w:t xml:space="preserve">Changes the arithmetic before the big bills are scored</w:t>
            </w:r>
          </w:p>
        </w:tc>
      </w:tr>
      <w:tr>
        <w:tc>
          <w:tcPr>
            <w:tcW w:w="3426" w:type="dxa"/>
          </w:tcPr>
          <w:p>
            <w:pPr/>
            <w:r>
              <w:t xml:space="preserve">RMA 508(h) review; conservation co-benefit data system; standardized soil-health metrics</w:t>
            </w:r>
          </w:p>
        </w:tc>
        <w:tc>
          <w:tcPr>
            <w:tcW w:w="3348" w:type="dxa"/>
          </w:tcPr>
          <w:p>
            <w:pPr/>
            <w:r>
              <w:t xml:space="preserve">2031 commodity and crop-insurance redesign pricing soil health and paying for outcomes</w:t>
            </w:r>
          </w:p>
        </w:tc>
        <w:tc>
          <w:tcPr>
            <w:tcW w:w="2586" w:type="dxa"/>
          </w:tcPr>
          <w:p>
            <w:pPr/>
            <w:r>
              <w:t xml:space="preserve">The actuarial case has to exist before insurance can price it</w:t>
            </w:r>
          </w:p>
        </w:tc>
      </w:tr>
      <w:tr>
        <w:tc>
          <w:tcPr>
            <w:tcW w:w="3426" w:type="dxa"/>
          </w:tcPr>
          <w:p>
            <w:pPr/>
            <w:r>
              <w:t xml:space="preserve">TOTAL survey and Commission on Farm Transition; heirs' property data</w:t>
            </w:r>
          </w:p>
        </w:tc>
        <w:tc>
          <w:tcPr>
            <w:tcW w:w="3348" w:type="dxa"/>
          </w:tcPr>
          <w:p>
            <w:pPr/>
            <w:r>
              <w:t xml:space="preserve">Land-access financing (401(k) for farmland down payments), anti-consolidation policy</w:t>
            </w:r>
          </w:p>
        </w:tc>
        <w:tc>
          <w:tcPr>
            <w:tcW w:w="2586" w:type="dxa"/>
          </w:tcPr>
          <w:p>
            <w:pPr/>
            <w:r>
              <w:t xml:space="preserve">Documents absentee and investor ownership first</w:t>
            </w:r>
          </w:p>
        </w:tc>
      </w:tr>
      <w:tr>
        <w:tc>
          <w:tcPr>
            <w:tcW w:w="3426" w:type="dxa"/>
          </w:tcPr>
          <w:p>
            <w:pPr/>
            <w:r>
              <w:t xml:space="preserve">DOE CDR purchase pilot; MMRV standards; Class VI primacy</w:t>
            </w:r>
          </w:p>
        </w:tc>
        <w:tc>
          <w:tcPr>
            <w:tcW w:w="3348" w:type="dxa"/>
          </w:tcPr>
          <w:p>
            <w:pPr/>
            <w:r>
              <w:t xml:space="preserve">Large-scale federal carbon-removal procurement</w:t>
            </w:r>
          </w:p>
        </w:tc>
        <w:tc>
          <w:tcPr>
            <w:tcW w:w="2586" w:type="dxa"/>
          </w:tcPr>
          <w:p>
            <w:pPr/>
            <w:r>
              <w:t xml:space="preserve">Proves verification before buying at volume</w:t>
            </w:r>
          </w:p>
        </w:tc>
      </w:tr>
      <w:tr>
        <w:tc>
          <w:tcPr>
            <w:tcW w:w="3426" w:type="dxa"/>
          </w:tcPr>
          <w:p>
            <w:pPr/>
            <w:r>
              <w:t xml:space="preserve">NDAA grid partnerships; DOD as transmission anchor tenant</w:t>
            </w:r>
          </w:p>
        </w:tc>
        <w:tc>
          <w:tcPr>
            <w:tcW w:w="3348" w:type="dxa"/>
          </w:tcPr>
          <w:p>
            <w:pPr/>
            <w:r>
              <w:t xml:space="preserve">National transmission backbone (CREZ model), possibly a later National Transmission Authority</w:t>
            </w:r>
          </w:p>
        </w:tc>
        <w:tc>
          <w:tcPr>
            <w:tcW w:w="2586" w:type="dxa"/>
          </w:tcPr>
          <w:p>
            <w:pPr/>
            <w:r>
              <w:t xml:space="preserve">Builds a national-security constituency for wires</w:t>
            </w:r>
          </w:p>
        </w:tc>
      </w:tr>
      <w:tr>
        <w:tc>
          <w:tcPr>
            <w:tcW w:w="3426" w:type="dxa"/>
          </w:tcPr>
          <w:p>
            <w:pPr/>
            <w:r>
              <w:t xml:space="preserve">Trump-proofing provisions in appropriations</w:t>
            </w:r>
          </w:p>
        </w:tc>
        <w:tc>
          <w:tcPr>
            <w:tcW w:w="3348" w:type="dxa"/>
          </w:tcPr>
          <w:p>
            <w:pPr/>
            <w:r>
              <w:t xml:space="preserve">The same terms written into every Stage 3 program</w:t>
            </w:r>
          </w:p>
        </w:tc>
        <w:tc>
          <w:tcPr>
            <w:tcW w:w="2586" w:type="dxa"/>
          </w:tcPr>
          <w:p>
            <w:pPr/>
            <w:r>
              <w:t xml:space="preserve">Fights the durability problem before there is new money to protect</w:t>
            </w:r>
          </w:p>
        </w:tc>
      </w:tr>
    </w:tbl>
    <w:p>
      <w:pPr/>
      <w:r>
        <w:t xml:space="preserve">The last row is the report's most distinctive contribution. Chapter 9 treats 2025–26's cancelled grants, delayed guidance and agency cuts as a design failure of the IRA era. Its fixes (termination only for cause, deemed apportionment, district-court jurisdiction, revolving funds and third-party fiscal agents that hold money outside Treasury) are meant to be standard boilerplate in a 2029 bill.</w:t>
      </w:r>
    </w:p>
    <w:p>
      <w:pPr>
        <w:pStyle w:val="Heading2"/>
      </w:pPr>
      <w:r>
        <w:t xml:space="preserve">Tensions, gaps and risks</w:t>
      </w:r>
    </w:p>
    <w:p>
      <w:pPr/>
      <w:r>
        <w:t xml:space="preserve">The report admits it is "not always internally consistent." These are the conflicts that would surface first in a markup or a whip count.</w:t>
      </w:r>
    </w:p>
    <w:p>
      <w:pPr/>
      <w:r>
        <w:rPr>
          <w:b/>
        </w:rPr>
        <w:t xml:space="preserve">Internal tensions</w:t>
      </w:r>
    </w:p>
    <w:p>
      <w:pPr>
        <w:pStyle w:val="ListParagraph"/>
        <w:numPr>
          <w:ilvl w:val="0"/>
          <w:numId w:val="5"/>
        </w:numPr>
      </w:pPr>
      <w:r>
        <w:rPr>
          <w:b/>
        </w:rPr>
        <w:t xml:space="preserve">Neutral permitting vs. clean mandates.</w:t>
      </w:r>
      <w:r>
        <w:t xml:space="preserve"> Chapter 9 demands permitting that treats every technology identically. Chapter 5 requires data centers' behind-the-meter plants to be new clean power, and Chapter 4 wants ecosystem health prioritized and development steered to disturbed land. Republicans will hold Democrats to Chapter 9.</w:t>
      </w:r>
    </w:p>
    <w:p>
      <w:pPr>
        <w:pStyle w:val="ListParagraph"/>
        <w:numPr>
          <w:ilvl w:val="0"/>
          <w:numId w:val="5"/>
        </w:numPr>
      </w:pPr>
      <w:r>
        <w:rPr>
          <w:b/>
        </w:rPr>
        <w:t xml:space="preserve">Export limits vs. energy diplomacy.</w:t>
      </w:r>
      <w:r>
        <w:t xml:space="preserve"> Chapter 5's LNG price test and fuel-export "safety valve" sit uneasily with Chapter 7's goal of being the trusted energy partner allies buy from.</w:t>
      </w:r>
    </w:p>
    <w:p>
      <w:pPr>
        <w:pStyle w:val="ListParagraph"/>
        <w:numPr>
          <w:ilvl w:val="0"/>
          <w:numId w:val="5"/>
        </w:numPr>
      </w:pPr>
      <w:r>
        <w:rPr>
          <w:b/>
        </w:rPr>
        <w:t xml:space="preserve">Minerals vs. consent.</w:t>
      </w:r>
      <w:r>
        <w:t xml:space="preserve"> Chapter 7 wants faster domestic mining and price floors; Chapter 4 wants Free, Prior and Informed Consent and co-equal Tribal authority over ancestral federal lands. Roughly two-thirds of critical minerals sit in rural and Tribal places, per Chapter 2.</w:t>
      </w:r>
    </w:p>
    <w:p>
      <w:pPr>
        <w:pStyle w:val="ListParagraph"/>
        <w:numPr>
          <w:ilvl w:val="0"/>
          <w:numId w:val="5"/>
        </w:numPr>
      </w:pPr>
      <w:r>
        <w:rPr>
          <w:b/>
        </w:rPr>
        <w:t xml:space="preserve">Retreat vs. rural development.</w:t>
      </w:r>
      <w:r>
        <w:t xml:space="preserve"> Chapter 3's extreme-risk ineligibility and planned relocation cut against Chapter 2's goal of keeping people rooted in rural and Tribal places. The report acknowledges the history of forced displacement but does not resolve it.</w:t>
      </w:r>
    </w:p>
    <w:p>
      <w:pPr>
        <w:pStyle w:val="ListParagraph"/>
        <w:numPr>
          <w:ilvl w:val="0"/>
          <w:numId w:val="5"/>
        </w:numPr>
      </w:pPr>
      <w:r>
        <w:rPr>
          <w:b/>
        </w:rPr>
        <w:t xml:space="preserve">Biofuels vs. grasslands.</w:t>
      </w:r>
      <w:r>
        <w:t xml:space="preserve"> Chapter 1 backs expanded biofuel markets, with only a general safeguard against plowing native grassland.</w:t>
      </w:r>
    </w:p>
    <w:p>
      <w:pPr/>
      <w:r>
        <w:rPr>
          <w:b/>
        </w:rPr>
        <w:t xml:space="preserve">Political risks</w:t>
      </w:r>
    </w:p>
    <w:p>
      <w:pPr>
        <w:pStyle w:val="ListParagraph"/>
        <w:numPr>
          <w:ilvl w:val="0"/>
          <w:numId w:val="6"/>
        </w:numPr>
      </w:pPr>
      <w:r>
        <w:rPr>
          <w:b/>
        </w:rPr>
        <w:t xml:space="preserve">Affordability items that raise some costs first.</w:t>
      </w:r>
      <w:r>
        <w:t xml:space="preserve"> Risk-based insurance pricing, newer building codes, efficiency standards and climate-aware underwriting all raise near-term costs for some voters (often in Florida, the Gulf and the West, including the chapter lead's own Tampa Bay). The report pairs each with assistance, but the assistance is the part most likely to be cut.</w:t>
      </w:r>
    </w:p>
    <w:p>
      <w:pPr>
        <w:pStyle w:val="ListParagraph"/>
        <w:numPr>
          <w:ilvl w:val="0"/>
          <w:numId w:val="6"/>
        </w:numPr>
      </w:pPr>
      <w:r>
        <w:rPr>
          <w:b/>
        </w:rPr>
        <w:t xml:space="preserve">Fiscal scale.</w:t>
      </w:r>
      <w:r>
        <w:t xml:space="preserve"> The report itself says across-the-board funding increases are "unlikely to pass" and attaches no cost estimates. The trifecta reconciliation list above competes with health care and tax priorities, and its revenue items (windfall tax, GBAM, data-center fee, royalties) cover only part of it.</w:t>
      </w:r>
    </w:p>
    <w:p>
      <w:pPr>
        <w:pStyle w:val="ListParagraph"/>
        <w:numPr>
          <w:ilvl w:val="0"/>
          <w:numId w:val="6"/>
        </w:numPr>
      </w:pPr>
      <w:r>
        <w:rPr>
          <w:b/>
        </w:rPr>
        <w:t xml:space="preserve">Capacity.</w:t>
      </w:r>
      <w:r>
        <w:t xml:space="preserve"> Nearly every option assumes restored federal staff at DOE, FEMA, EPA, BIA, USDA and the labs. Mandates without people fail, which is why the Chapter 9 workforce items are prerequisites rather than extras.</w:t>
      </w:r>
    </w:p>
    <w:p>
      <w:pPr>
        <w:pStyle w:val="ListParagraph"/>
        <w:numPr>
          <w:ilvl w:val="0"/>
          <w:numId w:val="6"/>
        </w:numPr>
      </w:pPr>
      <w:r>
        <w:rPr>
          <w:b/>
        </w:rPr>
        <w:t xml:space="preserve">Durability of Trump-proofing.</w:t>
      </w:r>
      <w:r>
        <w:t xml:space="preserve"> A later Congress can repeal termination-for-cause terms, and restoring Chevron by statute invites a hostile Supreme Court test.</w:t>
      </w:r>
    </w:p>
    <w:p>
      <w:pPr/>
      <w:r>
        <w:rPr>
          <w:b/>
        </w:rPr>
        <w:t xml:space="preserve">Gaps</w:t>
      </w:r>
    </w:p>
    <w:p>
      <w:pPr>
        <w:pStyle w:val="ListParagraph"/>
        <w:numPr>
          <w:ilvl w:val="0"/>
          <w:numId w:val="7"/>
        </w:numPr>
      </w:pPr>
      <w:r>
        <w:t xml:space="preserve">No economy-wide emissions target, carbon price or production limits. Climate goals appear mainly through the NDC advisory group and the border-carbon framework.</w:t>
      </w:r>
    </w:p>
    <w:p>
      <w:pPr>
        <w:pStyle w:val="ListParagraph"/>
        <w:numPr>
          <w:ilvl w:val="0"/>
          <w:numId w:val="7"/>
        </w:numPr>
      </w:pPr>
      <w:r>
        <w:t xml:space="preserve">Permitting reform is deliberately "not tackled head on" because it was under active negotiation when the report was written.</w:t>
      </w:r>
    </w:p>
    <w:p>
      <w:pPr>
        <w:pStyle w:val="ListParagraph"/>
        <w:numPr>
          <w:ilvl w:val="0"/>
          <w:numId w:val="7"/>
        </w:numPr>
      </w:pPr>
      <w:r>
        <w:t xml:space="preserve">No scoring, emissions modeling or jobs estimates for the menu as a whole, which a select committee or CBO request in 2027 could supply.</w:t>
      </w:r>
    </w:p>
    <w:p>
      <w:pPr>
        <w:pStyle w:val="ListParagraph"/>
        <w:numPr>
          <w:ilvl w:val="0"/>
          <w:numId w:val="7"/>
        </w:numPr>
      </w:pPr>
      <w:r>
        <w:t xml:space="preserve">Rural health care is flagged as needing "dedicated attention, well beyond" the report.</w:t>
      </w:r>
    </w:p>
    <w:p>
      <w:pPr>
        <w:pStyle w:val="Heading2"/>
      </w:pPr>
      <w:r>
        <w:t xml:space="preserve">Sources</w:t>
      </w:r>
    </w:p>
    <w:p>
      <w:pPr>
        <w:pStyle w:val="ListParagraph"/>
        <w:numPr>
          <w:ilvl w:val="0"/>
          <w:numId w:val="8"/>
        </w:numPr>
      </w:pPr>
      <w:r>
        <w:t xml:space="preserve">SEEC Institute, </w:t>
      </w:r>
      <w:r>
        <w:rPr>
          <w:i/>
        </w:rPr>
        <w:t xml:space="preserve">Thriving Economy Project: A Menu of Policy Ideas for Economic and Environmental Prosperity</w:t>
      </w:r>
      <w:r>
        <w:t xml:space="preserve"> (full report, executive summary, one-page overview, and nine chapter one-pagers), 2026. </w:t>
      </w:r>
      <w:hyperlink r:id="rId3" w:history="1">
        <w:r>
          <w:rPr>
            <w:rStyle w:val="Hyperlink"/>
          </w:rPr>
          <w:t xml:space="preserve">seecinstitute.org/thriving-economy-project</w:t>
        </w:r>
      </w:hyperlink>
      <w:r>
        <w:t xml:space="preserve">. All policy items and figures above come from it unless noted.</w:t>
      </w:r>
    </w:p>
    <w:p>
      <w:pPr>
        <w:pStyle w:val="ListParagraph"/>
        <w:numPr>
          <w:ilvl w:val="0"/>
          <w:numId w:val="8"/>
        </w:numPr>
      </w:pPr>
      <w:r>
        <w:t xml:space="preserve">Congressional Research Service, </w:t>
      </w:r>
      <w:hyperlink r:id="rId4" w:history="1">
        <w:r>
          <w:rPr>
            <w:rStyle w:val="Hyperlink"/>
          </w:rPr>
          <w:t xml:space="preserve">Surface Transportation Authorization Legislation: Timelines and Extensions</w:t>
        </w:r>
      </w:hyperlink>
      <w:r>
        <w:t xml:space="preserve">, Sept 14, 2026 (extension to Dec 11, 2026).</w:t>
      </w:r>
    </w:p>
    <w:p>
      <w:pPr>
        <w:pStyle w:val="ListParagraph"/>
        <w:numPr>
          <w:ilvl w:val="0"/>
          <w:numId w:val="8"/>
        </w:numPr>
      </w:pPr>
      <w:r>
        <w:t xml:space="preserve">Farm Progress, </w:t>
      </w:r>
      <w:hyperlink r:id="rId5" w:history="1">
        <w:r>
          <w:rPr>
            <w:rStyle w:val="Hyperlink"/>
          </w:rPr>
          <w:t xml:space="preserve">Farm bill saga fraught with obstacles</w:t>
        </w:r>
      </w:hyperlink>
      <w:r>
        <w:t xml:space="preserve">, Sept 10, 2026 (House passage, Senate status, OBBBA reauthorization of safety-net programs through 2031).</w:t>
      </w:r>
    </w:p>
    <w:p>
      <w:pPr/>
      <w:r>
        <w:t xml:space="preserve">Stage assignments, vehicle matching, odds and political judgments are my analysis; the report does not sort its options by feasibility.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eecinstitute.org/thriving-economy-project" TargetMode="External"/><Relationship Id="rId4" Type="http://schemas.openxmlformats.org/officeDocument/2006/relationships/hyperlink" Target="https://www.everycrsreport.com/files/2026-09-14_IG10101_7bde9a13a694b6e97925717dcb69733c2b454af8.html" TargetMode="External"/><Relationship Id="rId5" Type="http://schemas.openxmlformats.org/officeDocument/2006/relationships/hyperlink" Target="https://www.farmprogress.com/farm-policy/farm-bill-saga-fraught-with-obstacl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Thriving Economy Project Legislative Agenda Map</dc:title>
  <dc:description>Claude Docs node/2a36e8a6-89c6@15 docx-w7</dc:description>
  <cp:revision>15</cp:revision>
</cp:coreProperties>
</file>