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46390" w14:textId="77777777" w:rsidR="00F9326B" w:rsidRPr="00FA554C" w:rsidRDefault="00000000" w:rsidP="00FA554C">
      <w:pPr>
        <w:pStyle w:val="Title"/>
        <w:jc w:val="both"/>
        <w:rPr>
          <w:color w:val="808080" w:themeColor="background1" w:themeShade="80"/>
        </w:rPr>
      </w:pPr>
      <w:r w:rsidRPr="00FA554C">
        <w:rPr>
          <w:color w:val="808080" w:themeColor="background1" w:themeShade="80"/>
        </w:rPr>
        <w:t>Retention Before Reach</w:t>
      </w:r>
    </w:p>
    <w:p w14:paraId="6F4C7CFA" w14:textId="77777777" w:rsidR="00F9326B" w:rsidRPr="00FA554C" w:rsidRDefault="00000000" w:rsidP="00FA554C">
      <w:pPr>
        <w:spacing w:after="300"/>
        <w:jc w:val="both"/>
        <w:rPr>
          <w:b/>
          <w:bCs/>
          <w:i/>
          <w:iCs/>
          <w:color w:val="0D0D0D" w:themeColor="text1" w:themeTint="F2"/>
        </w:rPr>
      </w:pPr>
      <w:r w:rsidRPr="00FA554C">
        <w:rPr>
          <w:b/>
          <w:bCs/>
          <w:i/>
          <w:iCs/>
          <w:color w:val="0D0D0D" w:themeColor="text1" w:themeTint="F2"/>
        </w:rPr>
        <w:t>By Fouad Maasdorp | Founder, FM Consulting ZA</w:t>
      </w:r>
    </w:p>
    <w:p w14:paraId="646371B6"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New customers make better slides.</w:t>
      </w:r>
    </w:p>
    <w:p w14:paraId="560E4CBA"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Acquisition has a campaign, a lead number, a cost and a graph pointing upwards. Retention is quieter. It looks like a second order, a renewal that didn't lapse, a customer who came back without needing to be convinced from scratch. Because it's less visible, it often gets whatever is left after the acquisition budget has been approved.</w:t>
      </w:r>
    </w:p>
    <w:p w14:paraId="7DA24DD7"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That's backwards when the business already has customers who should be buying again and aren't.</w:t>
      </w:r>
    </w:p>
    <w:p w14:paraId="56911BE1"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Retention is not always the answer. A business entering a new market genuinely needs reach. But if customers can reasonably return, renew, upgrade, replenish or refer, ignoring them while paying for more strangers deserves a proper explanation.</w:t>
      </w:r>
    </w:p>
    <w:p w14:paraId="17E75A70"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Retention is not another campaign</w:t>
      </w:r>
    </w:p>
    <w:p w14:paraId="21852A0B"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The first question isn't, "What should we send the database?" It's, "Why would a good customer want to come back?"</w:t>
      </w:r>
    </w:p>
    <w:p w14:paraId="0CAABA0C"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If delivery was late, support disappeared, the invoice was wrong, or the product didn't do what the marketing promised, an email sequence won't repair the relationship. Retention starts in the experience, not in the email platform.</w:t>
      </w:r>
    </w:p>
    <w:p w14:paraId="0CB00DDE"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Look at complaints, refunds, cancellations, missed service levels and unresolved tickets. If the same issue keeps appearing, fix it before you launch a loyalty idea. A discount offered on top of a bad experience is not loyalty. It's a cheaper version of the same disappointment.</w:t>
      </w:r>
    </w:p>
    <w:p w14:paraId="5910B744"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The retention decision</w:t>
      </w:r>
    </w:p>
    <w:p w14:paraId="71539FB0"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Before moving budget from acquisition, answer five questions.</w:t>
      </w:r>
    </w:p>
    <w:p w14:paraId="30222A09"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Can the customer reasonably buy again? Define the next useful action: a reorder, renewal, service interval, upgrade, related product or referral. "Stay engaged with the brand" is not an action.</w:t>
      </w:r>
    </w:p>
    <w:p w14:paraId="29B361EE"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Did the customer receive the value they paid for? If you can't confirm delivery, usage or satisfaction, start with onboarding, adoption or service recovery. Selling the next thing can wait.</w:t>
      </w:r>
    </w:p>
    <w:p w14:paraId="61C0A5F3"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Do you know when a customer is due, active, at risk or lapsed? A person who bought last week shouldn't receive the same message as someone who disappeared a year ago. Set the normal buying or renewal window, then define what late means.</w:t>
      </w:r>
    </w:p>
    <w:p w14:paraId="36AB47D9"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Do you have clean contact details and a lawful reason to use them? Being in a spreadsheet is not permission. South Africa's POPIA rules for electronic direct marketing matter, especially when old lists have moved between staff, agencies and systems.</w:t>
      </w:r>
    </w:p>
    <w:p w14:paraId="63F0313D"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Does the next sale make commercial sense? Measure gross margin, fulfilment cost, discount and service load. Revenue bought with a heavy discount and expensive support can look good in the CRM while doing very little for the business.</w:t>
      </w:r>
    </w:p>
    <w:p w14:paraId="109DD019"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If those answers are weak, don't build a retention campaign yet. Fix the missing part first.</w:t>
      </w:r>
    </w:p>
    <w:p w14:paraId="114507E1"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Stop treating the database as one audience</w:t>
      </w:r>
    </w:p>
    <w:p w14:paraId="204C1071"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A customer database is a history of different relationships, not a mailing list.</w:t>
      </w:r>
    </w:p>
    <w:p w14:paraId="211F8064"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lastRenderedPageBreak/>
        <w:t>New customers may need onboarding. Active customers may be due to reorder or renew. At-risk customers may be using less or have an unresolved complaint. Lapsed customers need a reason to return, not a cheerful "we miss you" sent on schedule. Strong customers may be ready to refer, review or upgrade.</w:t>
      </w:r>
    </w:p>
    <w:p w14:paraId="508D3ECA"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Those groups shouldn't get the same message. The timing, offer and next step should match what the business knows. If all you have is a name and email address, improve the data through real customer interactions. Don't fill the gap with assumptions.</w:t>
      </w:r>
    </w:p>
    <w:p w14:paraId="55AEA9A4"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What useful retention looks like</w:t>
      </w:r>
    </w:p>
    <w:p w14:paraId="28AEE5C0"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Onboarding matters when customers buy but fail to start, use or understand the product. Help them reach the value they paid for.</w:t>
      </w:r>
    </w:p>
    <w:p w14:paraId="58B0C32D"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Reorder and renewal reminders work when timing is predictable. Base them on the purchase or contract date, not on the marketing calendar. A useful reminder arrives because something is due. A nuisance arrives because it's Tuesday.</w:t>
      </w:r>
    </w:p>
    <w:p w14:paraId="103C79AE"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A next offer should follow naturally from the first purchase and stay close to the original need. A win-back message needs a credible reason to reconsider, such as a fixed service issue or a changed offer. Sometimes the right first message is a question: what made you stop?</w:t>
      </w:r>
    </w:p>
    <w:p w14:paraId="7B14C400" w14:textId="407C2725"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Measure behaviour, not database activity</w:t>
      </w:r>
      <w:r w:rsidR="00FA554C" w:rsidRPr="00FA554C">
        <w:rPr>
          <w:b/>
          <w:color w:val="404040" w:themeColor="text1" w:themeTint="BF"/>
        </w:rPr>
        <w:t>.</w:t>
      </w:r>
    </w:p>
    <w:p w14:paraId="66B03241"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Open rates and clicks can help diagnose a message. They don't prove retention.</w:t>
      </w:r>
    </w:p>
    <w:p w14:paraId="1084C401"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Track repeat purchase or renewal, time to the second purchase, order frequency, revenue and gross margin per customer, reactivation, cancellations, refunds, complaints and opt-outs. Choose measures that fit the buying cycle. A monthly measure makes no sense for a service customers normally renew once a year.</w:t>
      </w:r>
    </w:p>
    <w:p w14:paraId="50600C6A"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Compare customer groups over time. Cohort analysis can show whether customers acquired in different periods behave differently later. It may expose a campaign that produced first purchases but little return behaviour.</w:t>
      </w:r>
    </w:p>
    <w:p w14:paraId="0FC9253D"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If possible, leave a small comparable group out of the activity. Otherwise, a customer who would have returned anyway gets counted as a campaign success.</w:t>
      </w:r>
    </w:p>
    <w:p w14:paraId="32A649C3"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Keep the POPIA line clear</w:t>
      </w:r>
    </w:p>
    <w:p w14:paraId="306884F3" w14:textId="77777777" w:rsidR="00F9326B" w:rsidRPr="00FA554C" w:rsidRDefault="00F9326B" w:rsidP="00FA554C">
      <w:pPr>
        <w:spacing w:after="200"/>
        <w:jc w:val="both"/>
        <w:rPr>
          <w:color w:val="808080" w:themeColor="background1" w:themeShade="80"/>
        </w:rPr>
      </w:pPr>
      <w:hyperlink r:id="rId5" w:history="1">
        <w:r>
          <w:rPr>
            <w:rStyle w:val="Hyperlink"/>
          </w:rPr>
          <w:t>The Information Regulator's guidance</w:t>
        </w:r>
      </w:hyperlink>
      <w:r w:rsidR="00000000">
        <w:t xml:space="preserve"> </w:t>
      </w:r>
      <w:r w:rsidR="00000000" w:rsidRPr="00FA554C">
        <w:rPr>
          <w:color w:val="808080" w:themeColor="background1" w:themeShade="80"/>
        </w:rPr>
        <w:t>is specific. Electronic direct marketing to an existing customer is allowed only under conditions. Contact details must have been obtained in the context of a sale, the marketing must concern the business's own similar products or services, and the customer must get a reasonable, free and uncomplicated opportunity to object when details are collected and with each message.</w:t>
      </w:r>
    </w:p>
    <w:p w14:paraId="34C12037" w14:textId="77777777" w:rsidR="00F9326B" w:rsidRPr="00FA554C" w:rsidRDefault="00000000" w:rsidP="00FA554C">
      <w:pPr>
        <w:spacing w:after="200"/>
        <w:jc w:val="both"/>
        <w:rPr>
          <w:color w:val="808080" w:themeColor="background1" w:themeShade="80"/>
        </w:rPr>
      </w:pPr>
      <w:proofErr w:type="gramStart"/>
      <w:r w:rsidRPr="00FA554C">
        <w:rPr>
          <w:color w:val="808080" w:themeColor="background1" w:themeShade="80"/>
        </w:rPr>
        <w:t>So</w:t>
      </w:r>
      <w:proofErr w:type="gramEnd"/>
      <w:r w:rsidRPr="00FA554C">
        <w:rPr>
          <w:color w:val="808080" w:themeColor="background1" w:themeShade="80"/>
        </w:rPr>
        <w:t xml:space="preserve"> a purchased list is not a retention strategy. Neither is an old spreadsheet nobody can explain.</w:t>
      </w:r>
    </w:p>
    <w:p w14:paraId="6FFDB1D3"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 xml:space="preserve">Keep records of consent and objections. Identify the sender. Give people a working way to stop the </w:t>
      </w:r>
      <w:proofErr w:type="gramStart"/>
      <w:r w:rsidRPr="00FA554C">
        <w:rPr>
          <w:color w:val="808080" w:themeColor="background1" w:themeShade="80"/>
        </w:rPr>
        <w:t>messages, and</w:t>
      </w:r>
      <w:proofErr w:type="gramEnd"/>
      <w:r w:rsidRPr="00FA554C">
        <w:rPr>
          <w:color w:val="808080" w:themeColor="background1" w:themeShade="80"/>
        </w:rPr>
        <w:t xml:space="preserve"> honour it. If permissions are unclear, clean that up before you reactivate the database.</w:t>
      </w:r>
    </w:p>
    <w:p w14:paraId="729BCF4E"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t>When reach should still win</w:t>
      </w:r>
    </w:p>
    <w:p w14:paraId="5E6CD3A7"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Keep investing in acquisition when customers have little reason to buy again, the business is entering a new category or location, the existing base is too small for the growth target, or retention is healthy and the constraint really is demand.</w:t>
      </w:r>
    </w:p>
    <w:p w14:paraId="1000924D" w14:textId="77777777" w:rsidR="00F9326B" w:rsidRDefault="00000000" w:rsidP="00FA554C">
      <w:pPr>
        <w:spacing w:after="200"/>
        <w:jc w:val="both"/>
        <w:rPr>
          <w:color w:val="808080" w:themeColor="background1" w:themeShade="80"/>
        </w:rPr>
      </w:pPr>
      <w:r w:rsidRPr="00FA554C">
        <w:rPr>
          <w:color w:val="808080" w:themeColor="background1" w:themeShade="80"/>
        </w:rPr>
        <w:t>The two still connect. The promises used to win customers shape whether they stay. The reasons they leave should change what marketing says next.</w:t>
      </w:r>
    </w:p>
    <w:p w14:paraId="5693FD91" w14:textId="77777777" w:rsidR="00FA554C" w:rsidRPr="00FA554C" w:rsidRDefault="00FA554C" w:rsidP="00FA554C">
      <w:pPr>
        <w:spacing w:after="200"/>
        <w:jc w:val="both"/>
        <w:rPr>
          <w:color w:val="808080" w:themeColor="background1" w:themeShade="80"/>
        </w:rPr>
      </w:pPr>
    </w:p>
    <w:p w14:paraId="00F94548" w14:textId="77777777" w:rsidR="00F9326B" w:rsidRPr="00FA554C" w:rsidRDefault="00000000" w:rsidP="00FA554C">
      <w:pPr>
        <w:pStyle w:val="Heading2"/>
        <w:spacing w:before="280" w:after="140"/>
        <w:jc w:val="both"/>
        <w:rPr>
          <w:b/>
          <w:color w:val="404040" w:themeColor="text1" w:themeTint="BF"/>
        </w:rPr>
      </w:pPr>
      <w:r w:rsidRPr="00FA554C">
        <w:rPr>
          <w:b/>
          <w:color w:val="404040" w:themeColor="text1" w:themeTint="BF"/>
        </w:rPr>
        <w:lastRenderedPageBreak/>
        <w:t>Run one retention test</w:t>
      </w:r>
    </w:p>
    <w:p w14:paraId="75E37C32"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Pick one customer segment, one behaviour you want to change and one reason the customer might care. Set the baseline. Run the activity for a period that fits the buying cycle. Measure commercial movement, service impact and opt-outs. Then decide whether to scale, change or stop.</w:t>
      </w:r>
    </w:p>
    <w:p w14:paraId="33208E57"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This is how we handle retention work at FM Consulting. We start with the customer journey and the business economics, not with a campaign calendar. If there's a service problem, it goes on the table. If the data is unusable, that gets fixed. If acquisition is still the right answer, the numbers should show it.</w:t>
      </w:r>
    </w:p>
    <w:p w14:paraId="03016E82" w14:textId="77777777" w:rsidR="00F9326B" w:rsidRPr="00FA554C" w:rsidRDefault="00000000" w:rsidP="00FA554C">
      <w:pPr>
        <w:spacing w:after="200"/>
        <w:jc w:val="both"/>
        <w:rPr>
          <w:color w:val="808080" w:themeColor="background1" w:themeShade="80"/>
        </w:rPr>
      </w:pPr>
      <w:r w:rsidRPr="00FA554C">
        <w:rPr>
          <w:color w:val="808080" w:themeColor="background1" w:themeShade="80"/>
        </w:rPr>
        <w:t>Your next rand does not automatically belong at the top of the funnel. Sometimes it belongs with the customers who have already told you yes once.</w:t>
      </w:r>
    </w:p>
    <w:p w14:paraId="68F92EF7" w14:textId="77777777" w:rsidR="00F9326B" w:rsidRDefault="00000000" w:rsidP="00FA554C">
      <w:pPr>
        <w:pStyle w:val="Heading2"/>
        <w:spacing w:before="280" w:after="140"/>
        <w:jc w:val="both"/>
      </w:pPr>
      <w:r w:rsidRPr="00FA554C">
        <w:rPr>
          <w:b/>
          <w:color w:val="404040" w:themeColor="text1" w:themeTint="BF"/>
        </w:rPr>
        <w:t>Sources and further reading</w:t>
      </w:r>
    </w:p>
    <w:p w14:paraId="3A8BAD59" w14:textId="77777777" w:rsidR="00F9326B" w:rsidRDefault="00F9326B" w:rsidP="00FA554C">
      <w:pPr>
        <w:pStyle w:val="ListParagraph"/>
        <w:numPr>
          <w:ilvl w:val="0"/>
          <w:numId w:val="1"/>
        </w:numPr>
        <w:spacing w:after="100"/>
        <w:jc w:val="both"/>
      </w:pPr>
      <w:hyperlink r:id="rId6" w:history="1">
        <w:r>
          <w:rPr>
            <w:rStyle w:val="Hyperlink"/>
          </w:rPr>
          <w:t>Information Regulator: Guidance Note on Direct Marketing under POPIA</w:t>
        </w:r>
      </w:hyperlink>
    </w:p>
    <w:p w14:paraId="1B86043A" w14:textId="77777777" w:rsidR="00F9326B" w:rsidRDefault="00F9326B" w:rsidP="00FA554C">
      <w:pPr>
        <w:pStyle w:val="ListParagraph"/>
        <w:numPr>
          <w:ilvl w:val="0"/>
          <w:numId w:val="1"/>
        </w:numPr>
        <w:spacing w:after="100"/>
        <w:jc w:val="both"/>
      </w:pPr>
      <w:hyperlink r:id="rId7" w:history="1">
        <w:r>
          <w:rPr>
            <w:rStyle w:val="Hyperlink"/>
          </w:rPr>
          <w:t>Google Analytics Help: Retention overview report</w:t>
        </w:r>
      </w:hyperlink>
    </w:p>
    <w:p w14:paraId="7F5CF730" w14:textId="77777777" w:rsidR="00F9326B" w:rsidRDefault="00F9326B" w:rsidP="00FA554C">
      <w:pPr>
        <w:pStyle w:val="ListParagraph"/>
        <w:numPr>
          <w:ilvl w:val="0"/>
          <w:numId w:val="1"/>
        </w:numPr>
        <w:spacing w:after="100"/>
        <w:jc w:val="both"/>
      </w:pPr>
      <w:hyperlink r:id="rId8" w:history="1">
        <w:r>
          <w:rPr>
            <w:rStyle w:val="Hyperlink"/>
          </w:rPr>
          <w:t>Google Analytics Help: Cohort exploration</w:t>
        </w:r>
      </w:hyperlink>
    </w:p>
    <w:sectPr w:rsidR="00F932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9E5"/>
    <w:multiLevelType w:val="hybridMultilevel"/>
    <w:tmpl w:val="2E189516"/>
    <w:lvl w:ilvl="0" w:tplc="E3327032">
      <w:start w:val="1"/>
      <w:numFmt w:val="bullet"/>
      <w:lvlText w:val="●"/>
      <w:lvlJc w:val="left"/>
      <w:pPr>
        <w:ind w:left="720" w:hanging="360"/>
      </w:pPr>
    </w:lvl>
    <w:lvl w:ilvl="1" w:tplc="BC268E62">
      <w:start w:val="1"/>
      <w:numFmt w:val="bullet"/>
      <w:lvlText w:val="○"/>
      <w:lvlJc w:val="left"/>
      <w:pPr>
        <w:ind w:left="1440" w:hanging="360"/>
      </w:pPr>
    </w:lvl>
    <w:lvl w:ilvl="2" w:tplc="E3BC57A8">
      <w:start w:val="1"/>
      <w:numFmt w:val="bullet"/>
      <w:lvlText w:val="■"/>
      <w:lvlJc w:val="left"/>
      <w:pPr>
        <w:ind w:left="2160" w:hanging="360"/>
      </w:pPr>
    </w:lvl>
    <w:lvl w:ilvl="3" w:tplc="31748D5E">
      <w:start w:val="1"/>
      <w:numFmt w:val="bullet"/>
      <w:lvlText w:val="●"/>
      <w:lvlJc w:val="left"/>
      <w:pPr>
        <w:ind w:left="2880" w:hanging="360"/>
      </w:pPr>
    </w:lvl>
    <w:lvl w:ilvl="4" w:tplc="B6E0519C">
      <w:start w:val="1"/>
      <w:numFmt w:val="bullet"/>
      <w:lvlText w:val="○"/>
      <w:lvlJc w:val="left"/>
      <w:pPr>
        <w:ind w:left="3600" w:hanging="360"/>
      </w:pPr>
    </w:lvl>
    <w:lvl w:ilvl="5" w:tplc="23142864">
      <w:start w:val="1"/>
      <w:numFmt w:val="bullet"/>
      <w:lvlText w:val="■"/>
      <w:lvlJc w:val="left"/>
      <w:pPr>
        <w:ind w:left="4320" w:hanging="360"/>
      </w:pPr>
    </w:lvl>
    <w:lvl w:ilvl="6" w:tplc="F0129BC0">
      <w:start w:val="1"/>
      <w:numFmt w:val="bullet"/>
      <w:lvlText w:val="●"/>
      <w:lvlJc w:val="left"/>
      <w:pPr>
        <w:ind w:left="5040" w:hanging="360"/>
      </w:pPr>
    </w:lvl>
    <w:lvl w:ilvl="7" w:tplc="A92EB678">
      <w:start w:val="1"/>
      <w:numFmt w:val="bullet"/>
      <w:lvlText w:val="●"/>
      <w:lvlJc w:val="left"/>
      <w:pPr>
        <w:ind w:left="5760" w:hanging="360"/>
      </w:pPr>
    </w:lvl>
    <w:lvl w:ilvl="8" w:tplc="869C8CD4">
      <w:start w:val="1"/>
      <w:numFmt w:val="bullet"/>
      <w:lvlText w:val="●"/>
      <w:lvlJc w:val="left"/>
      <w:pPr>
        <w:ind w:left="6480" w:hanging="360"/>
      </w:pPr>
    </w:lvl>
  </w:abstractNum>
  <w:num w:numId="1" w16cid:durableId="194074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6B"/>
    <w:rsid w:val="001D73F5"/>
    <w:rsid w:val="002D2053"/>
    <w:rsid w:val="00BE7DEE"/>
    <w:rsid w:val="00F9326B"/>
    <w:rsid w:val="00FA55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C476"/>
  <w15:docId w15:val="{D79485BB-EF71-497E-B2F7-4F8AAD64D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pport.google.com/analytics/answer/9670133?hl=en" TargetMode="External"/><Relationship Id="rId3" Type="http://schemas.openxmlformats.org/officeDocument/2006/relationships/settings" Target="settings.xml"/><Relationship Id="rId7" Type="http://schemas.openxmlformats.org/officeDocument/2006/relationships/hyperlink" Target="https://support.google.com/analytics/answer/11004084?hl=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oregulator.org.za/wp-content/uploads/2020/07/GUIDANCE-NOTE-ON-DIRECT-MARKETING-IN-TERMS-OF-THE-PROTECTION-OF-PERSONAL-INFORMATION-ACT-4-OF-2013-POPIA.pdf" TargetMode="External"/><Relationship Id="rId5" Type="http://schemas.openxmlformats.org/officeDocument/2006/relationships/hyperlink" Target="https://inforegulator.org.za/wp-content/uploads/2020/07/GUIDANCE-NOTE-ON-DIRECT-MARKETING-IN-TERMS-OF-THE-PROTECTION-OF-PERSONAL-INFORMATION-ACT-4-OF-2013-POPIA.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1161</Words>
  <Characters>6328</Characters>
  <Application>Microsoft Office Word</Application>
  <DocSecurity>0</DocSecurity>
  <Lines>91</Lines>
  <Paragraphs>48</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Fouad Maasdorp</cp:lastModifiedBy>
  <cp:revision>3</cp:revision>
  <dcterms:created xsi:type="dcterms:W3CDTF">2026-08-17T19:40:00Z</dcterms:created>
  <dcterms:modified xsi:type="dcterms:W3CDTF">2026-08-17T20:11:00Z</dcterms:modified>
</cp:coreProperties>
</file>