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CDBA" w14:textId="516FAE05" w:rsidR="00241584" w:rsidRPr="001603AE" w:rsidRDefault="00000000" w:rsidP="00D065BB">
      <w:pPr>
        <w:pStyle w:val="Title"/>
        <w:rPr>
          <w:sz w:val="52"/>
          <w:szCs w:val="52"/>
        </w:rPr>
      </w:pPr>
      <w:r w:rsidRPr="001603AE">
        <w:rPr>
          <w:sz w:val="52"/>
          <w:szCs w:val="52"/>
        </w:rPr>
        <w:t>POPIA, Consent, and Direct Marketing</w:t>
      </w:r>
    </w:p>
    <w:p w14:paraId="0E1C1471" w14:textId="77777777" w:rsidR="00241584" w:rsidRPr="00D065BB" w:rsidRDefault="00000000" w:rsidP="00D065BB">
      <w:pPr>
        <w:spacing w:after="300"/>
        <w:jc w:val="both"/>
        <w:rPr>
          <w:b/>
          <w:bCs/>
          <w:color w:val="0D0D0D" w:themeColor="text1" w:themeTint="F2"/>
        </w:rPr>
      </w:pPr>
      <w:r w:rsidRPr="00D065BB">
        <w:rPr>
          <w:b/>
          <w:bCs/>
          <w:i/>
          <w:iCs/>
          <w:color w:val="0D0D0D" w:themeColor="text1" w:themeTint="F2"/>
        </w:rPr>
        <w:t>By Fouad Maasdorp | Founder, FM Consulting ZA</w:t>
      </w:r>
    </w:p>
    <w:p w14:paraId="6648EB8B" w14:textId="77777777" w:rsidR="00241584" w:rsidRDefault="00000000" w:rsidP="00D065BB">
      <w:pPr>
        <w:spacing w:after="200"/>
        <w:jc w:val="both"/>
      </w:pPr>
      <w:r>
        <w:t>A customer database can be valuable. It can also become the part nobody can properly explain.</w:t>
      </w:r>
    </w:p>
    <w:p w14:paraId="1681320E" w14:textId="77777777" w:rsidR="00241584" w:rsidRDefault="00000000" w:rsidP="00D065BB">
      <w:pPr>
        <w:spacing w:after="200"/>
        <w:jc w:val="both"/>
      </w:pPr>
      <w:r>
        <w:t>A contact form becomes a spreadsheet. The spreadsheet gets imported into a CRM. An old mailing list appears. A campaign partner sends over leads. Before long, the business has thousands of names but no reliable answer to a basic question: why are we allowed to contact this person?</w:t>
      </w:r>
    </w:p>
    <w:p w14:paraId="7569EE8B" w14:textId="77777777" w:rsidR="00241584" w:rsidRDefault="00000000" w:rsidP="00D065BB">
      <w:pPr>
        <w:spacing w:after="200"/>
        <w:jc w:val="both"/>
      </w:pPr>
      <w:r>
        <w:t>That is a compliance problem waiting for a campaign.</w:t>
      </w:r>
    </w:p>
    <w:p w14:paraId="7BF131D2" w14:textId="77777777" w:rsidR="00241584" w:rsidRDefault="00000000" w:rsidP="00D065BB">
      <w:pPr>
        <w:spacing w:after="200"/>
        <w:jc w:val="both"/>
      </w:pPr>
      <w:r>
        <w:t>This article is practical marketing guidance, not legal advice. If your circumstances are unclear or the risk is material, speak to a South African privacy lawyer.</w:t>
      </w:r>
    </w:p>
    <w:p w14:paraId="4CBD142C" w14:textId="0CBBC7A9" w:rsidR="00777C96" w:rsidRDefault="00000000" w:rsidP="00777C96">
      <w:pPr>
        <w:pStyle w:val="Heading2"/>
        <w:spacing w:before="280" w:after="140"/>
        <w:jc w:val="both"/>
      </w:pPr>
      <w:r>
        <w:t xml:space="preserve">Start with the </w:t>
      </w:r>
      <w:r w:rsidRPr="00777C96">
        <w:t>channel</w:t>
      </w:r>
    </w:p>
    <w:p w14:paraId="01ACE6AB" w14:textId="77777777" w:rsidR="00241584" w:rsidRDefault="00000000" w:rsidP="00D065BB">
      <w:pPr>
        <w:spacing w:after="200"/>
        <w:jc w:val="both"/>
      </w:pPr>
      <w:r>
        <w:t>POPIA does not treat every form of direct marketing the same way. The Information Regulator separates unsolicited electronic communication under section 69 from non-electronic direct marketing under the Act's broader lawful-processing rules.</w:t>
      </w:r>
    </w:p>
    <w:p w14:paraId="6119CF9D" w14:textId="77777777" w:rsidR="00241584" w:rsidRDefault="00000000" w:rsidP="00D065BB">
      <w:pPr>
        <w:spacing w:after="200"/>
        <w:jc w:val="both"/>
      </w:pPr>
      <w:r>
        <w:t>Email, SMS, telephone calls, automated calls, push notifications and direct messages on platforms such as LinkedIn or Instagram fall on the electronic side in the Regulator's guidance. Post, hand-delivered mail and in-person approaches are non-electronic.</w:t>
      </w:r>
    </w:p>
    <w:p w14:paraId="363E9B4C" w14:textId="77777777" w:rsidR="00241584" w:rsidRDefault="00000000" w:rsidP="00D065BB">
      <w:pPr>
        <w:spacing w:after="200"/>
        <w:jc w:val="both"/>
      </w:pPr>
      <w:r>
        <w:t>The telephone point catches people out. A live sales call may feel different from an email blast, but the Regulator's current view is that telephone calling is electronic communication. Don't build a cold-calling process on the assumption that it sits outside section 69.</w:t>
      </w:r>
    </w:p>
    <w:p w14:paraId="1AD87440" w14:textId="77777777" w:rsidR="00241584" w:rsidRDefault="00000000" w:rsidP="00D065BB">
      <w:pPr>
        <w:pStyle w:val="Heading2"/>
        <w:spacing w:before="280" w:after="140"/>
        <w:jc w:val="both"/>
      </w:pPr>
      <w:r>
        <w:t>Consent is not a vague checkbox</w:t>
      </w:r>
    </w:p>
    <w:p w14:paraId="7CF07338" w14:textId="77777777" w:rsidR="00241584" w:rsidRDefault="00000000" w:rsidP="00D065BB">
      <w:pPr>
        <w:spacing w:after="200"/>
        <w:jc w:val="both"/>
      </w:pPr>
      <w:r>
        <w:t>For unsolicited electronic direct marketing, the starting rule is simple: processing is prohibited unless the person has consented or qualifies under the existing-customer exception.</w:t>
      </w:r>
    </w:p>
    <w:p w14:paraId="2F811F7C" w14:textId="77777777" w:rsidR="00241584" w:rsidRDefault="00000000" w:rsidP="00D065BB">
      <w:pPr>
        <w:spacing w:after="200"/>
        <w:jc w:val="both"/>
      </w:pPr>
      <w:r>
        <w:t>If consent is required, you may approach a person once to ask for it, provided they haven't previously withheld it. The request must use Form 4 or a substantially similar form and process. It needs to specify the goods or services and intended channel so consent can be voluntary, specific and informed. If consent is requested by telephone, the Regulator says the Form 4 content must be read out and the call recorded.</w:t>
      </w:r>
    </w:p>
    <w:p w14:paraId="07A1A082" w14:textId="77777777" w:rsidR="00241584" w:rsidRDefault="00000000" w:rsidP="00D065BB">
      <w:pPr>
        <w:spacing w:after="200"/>
        <w:jc w:val="both"/>
      </w:pPr>
      <w:r>
        <w:t>Silence is not consent. Neither is a CRM field that says "source: website" with no record of what the person saw or agreed to. The responsible party carries the burden of proving consent, so your records need to do more than suggest it probably happened.</w:t>
      </w:r>
    </w:p>
    <w:p w14:paraId="5E974124" w14:textId="77777777" w:rsidR="00241584" w:rsidRDefault="00000000" w:rsidP="00D065BB">
      <w:pPr>
        <w:pStyle w:val="Heading2"/>
        <w:spacing w:before="280" w:after="140"/>
        <w:jc w:val="both"/>
      </w:pPr>
      <w:r>
        <w:t>The customer exception is narrower than it sounds</w:t>
      </w:r>
    </w:p>
    <w:p w14:paraId="6BAAD878" w14:textId="77777777" w:rsidR="00241584" w:rsidRDefault="00000000" w:rsidP="00D065BB">
      <w:pPr>
        <w:spacing w:after="200"/>
        <w:jc w:val="both"/>
      </w:pPr>
      <w:r>
        <w:t>Being in the CRM does not make someone a customer for section 69. The exception applies where you obtained the contact details in the context of a sale, market your own similar products or services, and gave the customer a reasonable opportunity to object when the details were collected and in every marketing communication after that. The objection must be free and free of unnecessary formality.</w:t>
      </w:r>
    </w:p>
    <w:p w14:paraId="143F5DFF" w14:textId="77777777" w:rsidR="00241584" w:rsidRDefault="00000000" w:rsidP="00D065BB">
      <w:pPr>
        <w:spacing w:after="200"/>
        <w:jc w:val="both"/>
      </w:pPr>
      <w:r>
        <w:t>A lead, old enquiry or event attendee does not automatically qualify. Nor does a customer relationship give you an unrestricted right to promote anything sold by an affiliate or campaign partner. "Own similar products or services" matters, and the answer depends on what was sold and what you now want to market.</w:t>
      </w:r>
    </w:p>
    <w:p w14:paraId="4713779A" w14:textId="77777777" w:rsidR="001603AE" w:rsidRDefault="001603AE" w:rsidP="00D065BB">
      <w:pPr>
        <w:spacing w:after="200"/>
        <w:jc w:val="both"/>
      </w:pPr>
    </w:p>
    <w:p w14:paraId="5E05B06A" w14:textId="77777777" w:rsidR="00241584" w:rsidRDefault="00000000" w:rsidP="00D065BB">
      <w:pPr>
        <w:pStyle w:val="Heading2"/>
        <w:spacing w:before="280" w:after="140"/>
        <w:jc w:val="both"/>
      </w:pPr>
      <w:r>
        <w:lastRenderedPageBreak/>
        <w:t>Non-electronic does not mean unregulated</w:t>
      </w:r>
    </w:p>
    <w:p w14:paraId="1B4DB5DE" w14:textId="77777777" w:rsidR="00241584" w:rsidRDefault="00000000" w:rsidP="00D065BB">
      <w:pPr>
        <w:spacing w:after="200"/>
        <w:jc w:val="both"/>
      </w:pPr>
      <w:r>
        <w:t xml:space="preserve">For post or in-person direct marketing, consent may not always be required. A business may be able to rely on legitimate interests, but that is not a free pass. The Regulator expects an assessment before processing </w:t>
      </w:r>
      <w:proofErr w:type="gramStart"/>
      <w:r>
        <w:t>starts:</w:t>
      </w:r>
      <w:proofErr w:type="gramEnd"/>
      <w:r>
        <w:t xml:space="preserve"> identify the purpose, test necessity and proportionality, then balance the business interest against the person's rights, expectations and likely impact.</w:t>
      </w:r>
    </w:p>
    <w:p w14:paraId="0F46B395" w14:textId="77777777" w:rsidR="00241584" w:rsidRDefault="00000000" w:rsidP="00D065BB">
      <w:pPr>
        <w:spacing w:after="200"/>
        <w:jc w:val="both"/>
      </w:pPr>
      <w:r>
        <w:t xml:space="preserve">A person can object at any time. Once they do, the processing must stop. The Regulator also says businesses must maintain a database of </w:t>
      </w:r>
      <w:proofErr w:type="gramStart"/>
      <w:r>
        <w:t>objections</w:t>
      </w:r>
      <w:proofErr w:type="gramEnd"/>
      <w:r>
        <w:t xml:space="preserve"> so those people are not contacted again.</w:t>
      </w:r>
    </w:p>
    <w:p w14:paraId="26641BDE" w14:textId="77777777" w:rsidR="00241584" w:rsidRDefault="00000000" w:rsidP="00D065BB">
      <w:pPr>
        <w:pStyle w:val="Heading2"/>
        <w:spacing w:before="280" w:after="140"/>
        <w:jc w:val="both"/>
      </w:pPr>
      <w:r>
        <w:t>Where databases go wrong</w:t>
      </w:r>
    </w:p>
    <w:p w14:paraId="698DEB16" w14:textId="77777777" w:rsidR="00241584" w:rsidRDefault="00000000" w:rsidP="00D065BB">
      <w:pPr>
        <w:spacing w:after="200"/>
        <w:jc w:val="both"/>
      </w:pPr>
      <w:r>
        <w:t>The risky cases are usually ordinary: an old spreadsheet with no provenance, a purchased or rented list, consent wording nobody can find, or an unsubscribe that removes a person from one campaign but leaves them active elsewhere.</w:t>
      </w:r>
    </w:p>
    <w:p w14:paraId="0480AA39" w14:textId="77777777" w:rsidR="00241584" w:rsidRDefault="00000000" w:rsidP="00D065BB">
      <w:pPr>
        <w:spacing w:after="200"/>
        <w:jc w:val="both"/>
      </w:pPr>
      <w:r>
        <w:t xml:space="preserve">A bought list is not automatically usable. The Regulator treats the sharing, sale or rental of contact details as further processing that must comply with POPIA's purpose and transparency requirements. Electronic outreach still </w:t>
      </w:r>
      <w:proofErr w:type="gramStart"/>
      <w:r>
        <w:t>has to</w:t>
      </w:r>
      <w:proofErr w:type="gramEnd"/>
      <w:r>
        <w:t xml:space="preserve"> clear section 69. An email address on a public profile does not, on its own, create blanket permission to market electronically.</w:t>
      </w:r>
    </w:p>
    <w:p w14:paraId="570F1084" w14:textId="77777777" w:rsidR="00241584" w:rsidRDefault="00000000" w:rsidP="00D065BB">
      <w:pPr>
        <w:spacing w:after="200"/>
        <w:jc w:val="both"/>
      </w:pPr>
      <w:r>
        <w:t>Your CRM should record the contact source, collection date, privacy or consent wording shown, purpose, approved channel, and whether you rely on consent or the customer exception. Record objections and withdrawals too. Keep the minimum information needed to honour them and prevent an accidental re-import.</w:t>
      </w:r>
    </w:p>
    <w:p w14:paraId="77F9808D" w14:textId="77777777" w:rsidR="00241584" w:rsidRDefault="00000000" w:rsidP="00D065BB">
      <w:pPr>
        <w:pStyle w:val="Heading2"/>
        <w:spacing w:before="280" w:after="140"/>
        <w:jc w:val="both"/>
      </w:pPr>
      <w:r>
        <w:t>Do not outsource the responsibility</w:t>
      </w:r>
    </w:p>
    <w:p w14:paraId="39C590F1" w14:textId="77777777" w:rsidR="00241584" w:rsidRDefault="00000000" w:rsidP="00D065BB">
      <w:pPr>
        <w:spacing w:after="200"/>
        <w:jc w:val="both"/>
      </w:pPr>
      <w:r>
        <w:t>Your CRM provider, email platform, call centre or agency may be an operator processing personal information on your behalf. POPIA requires an operator to act with your knowledge or authorisation, keep the information confidential and maintain appropriate security measures under a written contract. It must notify you immediately where there are reasonable grounds to believe unauthorised access occurred.</w:t>
      </w:r>
    </w:p>
    <w:p w14:paraId="6B5640CB" w14:textId="77777777" w:rsidR="00241584" w:rsidRDefault="00000000" w:rsidP="00D065BB">
      <w:pPr>
        <w:spacing w:after="200"/>
        <w:jc w:val="both"/>
      </w:pPr>
      <w:r>
        <w:t>Buying software does not transfer accountability. You still need to know who can access the data, where it is stored, how suppression records move between systems, and what happens when a provider relationship ends. If personal information moves outside South Africa, section 72 adds another layer to check.</w:t>
      </w:r>
    </w:p>
    <w:p w14:paraId="6700A461" w14:textId="77777777" w:rsidR="00241584" w:rsidRDefault="00000000" w:rsidP="00D065BB">
      <w:pPr>
        <w:pStyle w:val="Heading2"/>
        <w:spacing w:before="280" w:after="140"/>
        <w:jc w:val="both"/>
      </w:pPr>
      <w:r>
        <w:t>Run the audit before the next campaign</w:t>
      </w:r>
    </w:p>
    <w:p w14:paraId="1EAF082A" w14:textId="77777777" w:rsidR="00241584" w:rsidRDefault="00000000" w:rsidP="00D065BB">
      <w:pPr>
        <w:spacing w:after="200"/>
        <w:jc w:val="both"/>
      </w:pPr>
      <w:r>
        <w:t>Here is the practical review I would run:</w:t>
      </w:r>
    </w:p>
    <w:p w14:paraId="3BD8EE74" w14:textId="77777777" w:rsidR="00241584" w:rsidRDefault="00000000" w:rsidP="00D065BB">
      <w:pPr>
        <w:pStyle w:val="ListParagraph"/>
        <w:numPr>
          <w:ilvl w:val="0"/>
          <w:numId w:val="1"/>
        </w:numPr>
        <w:spacing w:after="100"/>
        <w:jc w:val="both"/>
      </w:pPr>
      <w:r>
        <w:t>Map every list and state where it came from.</w:t>
      </w:r>
    </w:p>
    <w:p w14:paraId="0C409EA7" w14:textId="77777777" w:rsidR="00241584" w:rsidRDefault="00000000" w:rsidP="00D065BB">
      <w:pPr>
        <w:pStyle w:val="ListParagraph"/>
        <w:numPr>
          <w:ilvl w:val="0"/>
          <w:numId w:val="1"/>
        </w:numPr>
        <w:spacing w:after="100"/>
        <w:jc w:val="both"/>
      </w:pPr>
      <w:r>
        <w:t>Classify each contact: proven consent, qualifying customer, another defensible basis for non-electronic marketing, or unresolved.</w:t>
      </w:r>
    </w:p>
    <w:p w14:paraId="26131D39" w14:textId="77777777" w:rsidR="00241584" w:rsidRDefault="00000000" w:rsidP="00D065BB">
      <w:pPr>
        <w:pStyle w:val="ListParagraph"/>
        <w:numPr>
          <w:ilvl w:val="0"/>
          <w:numId w:val="1"/>
        </w:numPr>
        <w:spacing w:after="100"/>
        <w:jc w:val="both"/>
      </w:pPr>
      <w:r>
        <w:t>Review every form, landing page and checkout. Save the exact wording and version, not just the submission date.</w:t>
      </w:r>
    </w:p>
    <w:p w14:paraId="4654E228" w14:textId="77777777" w:rsidR="00241584" w:rsidRDefault="00000000" w:rsidP="00D065BB">
      <w:pPr>
        <w:pStyle w:val="ListParagraph"/>
        <w:numPr>
          <w:ilvl w:val="0"/>
          <w:numId w:val="1"/>
        </w:numPr>
        <w:spacing w:after="100"/>
        <w:jc w:val="both"/>
      </w:pPr>
      <w:r>
        <w:t>Test objections and unsubscribes from the customer's side. Confirm they update the CRM, campaign tools and external providers.</w:t>
      </w:r>
    </w:p>
    <w:p w14:paraId="4174F930" w14:textId="77777777" w:rsidR="00241584" w:rsidRDefault="00000000" w:rsidP="00D065BB">
      <w:pPr>
        <w:pStyle w:val="ListParagraph"/>
        <w:numPr>
          <w:ilvl w:val="0"/>
          <w:numId w:val="1"/>
        </w:numPr>
        <w:spacing w:after="100"/>
        <w:jc w:val="both"/>
      </w:pPr>
      <w:r>
        <w:t>Review provider contracts, security controls, access rights, data locations and offboarding.</w:t>
      </w:r>
    </w:p>
    <w:p w14:paraId="3F888C6A" w14:textId="77777777" w:rsidR="00241584" w:rsidRDefault="00000000" w:rsidP="00D065BB">
      <w:pPr>
        <w:pStyle w:val="ListParagraph"/>
        <w:numPr>
          <w:ilvl w:val="0"/>
          <w:numId w:val="1"/>
        </w:numPr>
        <w:spacing w:after="100"/>
        <w:jc w:val="both"/>
      </w:pPr>
      <w:r>
        <w:t>Assign one owner for consent evidence, suppression records and retention rules.</w:t>
      </w:r>
    </w:p>
    <w:p w14:paraId="747FA083" w14:textId="77777777" w:rsidR="00241584" w:rsidRDefault="00000000" w:rsidP="00D065BB">
      <w:pPr>
        <w:spacing w:after="200"/>
        <w:jc w:val="both"/>
      </w:pPr>
      <w:r>
        <w:t>Anything unresolved stays out of the campaign until someone can support it. "We have always used this list" is not a lawful basis. It's just an old habit.</w:t>
      </w:r>
    </w:p>
    <w:p w14:paraId="40010750" w14:textId="77777777" w:rsidR="00D065BB" w:rsidRDefault="00D065BB" w:rsidP="00D065BB">
      <w:pPr>
        <w:spacing w:after="200"/>
        <w:jc w:val="both"/>
      </w:pPr>
    </w:p>
    <w:p w14:paraId="5CA11755" w14:textId="77777777" w:rsidR="00D065BB" w:rsidRDefault="00D065BB" w:rsidP="00D065BB">
      <w:pPr>
        <w:spacing w:after="200"/>
        <w:jc w:val="both"/>
      </w:pPr>
    </w:p>
    <w:p w14:paraId="5F3DB1E8" w14:textId="77777777" w:rsidR="00241584" w:rsidRDefault="00000000" w:rsidP="00D065BB">
      <w:pPr>
        <w:pStyle w:val="Heading2"/>
        <w:spacing w:before="280" w:after="140"/>
        <w:jc w:val="both"/>
      </w:pPr>
      <w:r>
        <w:t>When to bring in legal counsel</w:t>
      </w:r>
    </w:p>
    <w:p w14:paraId="5CDEF5E9" w14:textId="77777777" w:rsidR="00241584" w:rsidRDefault="00000000" w:rsidP="00D065BB">
      <w:pPr>
        <w:spacing w:after="200"/>
        <w:jc w:val="both"/>
      </w:pPr>
      <w:r>
        <w:t>Get formal advice where list origins are unclear, the customer exception or "similar products" test is disputed, data is shared across companies, children or special personal information are involved, automated profiling affects people materially, or data moves across borders. Do the same for a complaint, security compromise, high-volume campaign or unusual channel.</w:t>
      </w:r>
    </w:p>
    <w:p w14:paraId="708CC34F" w14:textId="77777777" w:rsidR="00241584" w:rsidRDefault="00000000" w:rsidP="00D065BB">
      <w:pPr>
        <w:spacing w:after="200"/>
        <w:jc w:val="both"/>
      </w:pPr>
      <w:r>
        <w:t>A marketing adviser can map the data flow, repair forms and CRM fields, test unsubscribe journeys and put ownership around the process. A lawyer should make the call where the legal basis or risk is genuinely uncertain.</w:t>
      </w:r>
    </w:p>
    <w:p w14:paraId="632D9B78" w14:textId="77777777" w:rsidR="00241584" w:rsidRDefault="00000000" w:rsidP="00D065BB">
      <w:pPr>
        <w:spacing w:after="200"/>
        <w:jc w:val="both"/>
      </w:pPr>
      <w:r>
        <w:t>My view is simple: if your team cannot explain why each person is on the list, what you may send them, and how they can stop it, the database is not ready to scale.</w:t>
      </w:r>
    </w:p>
    <w:p w14:paraId="67B2287A" w14:textId="77777777" w:rsidR="00241584" w:rsidRDefault="00000000" w:rsidP="00D065BB">
      <w:pPr>
        <w:spacing w:after="200"/>
        <w:jc w:val="both"/>
      </w:pPr>
      <w:r>
        <w:t>At FM Consulting, we help growing businesses review the marketing operation around the data: where it enters, how it moves, and where the controls break. Clean that up before you add another tool, provider or campaign.</w:t>
      </w:r>
    </w:p>
    <w:p w14:paraId="38C7C103" w14:textId="77777777" w:rsidR="00241584" w:rsidRDefault="00000000" w:rsidP="00D065BB">
      <w:pPr>
        <w:pStyle w:val="Heading2"/>
        <w:spacing w:before="280" w:after="140"/>
        <w:jc w:val="both"/>
      </w:pPr>
      <w:r>
        <w:t>Sources and further reading</w:t>
      </w:r>
    </w:p>
    <w:p w14:paraId="6244711F" w14:textId="77777777" w:rsidR="00241584" w:rsidRDefault="00241584" w:rsidP="00D065BB">
      <w:pPr>
        <w:pStyle w:val="ListParagraph"/>
        <w:numPr>
          <w:ilvl w:val="0"/>
          <w:numId w:val="1"/>
        </w:numPr>
        <w:spacing w:after="100"/>
        <w:jc w:val="both"/>
      </w:pPr>
      <w:hyperlink r:id="rId6" w:history="1">
        <w:r>
          <w:rPr>
            <w:rStyle w:val="Hyperlink"/>
          </w:rPr>
          <w:t>Protection of Personal Information Act 4 of 2013 — official government PDF</w:t>
        </w:r>
      </w:hyperlink>
      <w:r w:rsidR="00000000">
        <w:t>: sections 1, 8, 11, 13–21, 69, 71 and 72 underpin the definitions, consent burden, objections, documentation, retention, operator controls, electronic direct-marketing rules, automated decisions and cross-border transfers.</w:t>
      </w:r>
    </w:p>
    <w:p w14:paraId="76B494B7" w14:textId="77777777" w:rsidR="00241584" w:rsidRDefault="00241584" w:rsidP="00D065BB">
      <w:pPr>
        <w:pStyle w:val="ListParagraph"/>
        <w:numPr>
          <w:ilvl w:val="0"/>
          <w:numId w:val="1"/>
        </w:numPr>
        <w:spacing w:after="100"/>
        <w:jc w:val="both"/>
      </w:pPr>
      <w:hyperlink r:id="rId7" w:history="1">
        <w:r>
          <w:rPr>
            <w:rStyle w:val="Hyperlink"/>
          </w:rPr>
          <w:t>Information Regulator Guidance Note on Direct Marketing, 3 December 2024</w:t>
        </w:r>
      </w:hyperlink>
      <w:r w:rsidR="00000000">
        <w:t>: paragraphs 4–7 distinguish electronic and non-electronic marketing, state the Regulator's view on telephone calls, explain consent and the customer exception, and require objection records. Paragraphs 9–10 address collection sources, transparency, list sharing and profiling.</w:t>
      </w:r>
    </w:p>
    <w:p w14:paraId="08BA2440" w14:textId="77777777" w:rsidR="00241584" w:rsidRDefault="00241584" w:rsidP="00D065BB">
      <w:pPr>
        <w:pStyle w:val="ListParagraph"/>
        <w:numPr>
          <w:ilvl w:val="0"/>
          <w:numId w:val="1"/>
        </w:numPr>
        <w:spacing w:after="100"/>
        <w:jc w:val="both"/>
      </w:pPr>
      <w:hyperlink r:id="rId8" w:history="1">
        <w:r>
          <w:rPr>
            <w:rStyle w:val="Hyperlink"/>
          </w:rPr>
          <w:t>Information Regulator Form 4 — consent for electronic direct marketing</w:t>
        </w:r>
      </w:hyperlink>
      <w:r w:rsidR="00000000">
        <w:t>: the prescribed consent fields and channel choices.</w:t>
      </w:r>
    </w:p>
    <w:p w14:paraId="680D50C9" w14:textId="77777777" w:rsidR="00241584" w:rsidRDefault="00000000" w:rsidP="00D065BB">
      <w:pPr>
        <w:spacing w:before="200" w:after="100"/>
        <w:jc w:val="both"/>
      </w:pPr>
      <w:r>
        <w:rPr>
          <w:i/>
          <w:iCs/>
          <w:color w:val="595959"/>
        </w:rPr>
        <w:t>The Regulator states that its Guidance Note is advisory. POPIA and its Regulations prevail if there is any inconsistency. This article therefore describes telephone classification specifically as the Regulator's current view.</w:t>
      </w:r>
    </w:p>
    <w:sectPr w:rsidR="002415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02C77"/>
    <w:multiLevelType w:val="hybridMultilevel"/>
    <w:tmpl w:val="F3C8DAEA"/>
    <w:lvl w:ilvl="0" w:tplc="FD04452E">
      <w:start w:val="1"/>
      <w:numFmt w:val="bullet"/>
      <w:lvlText w:val="●"/>
      <w:lvlJc w:val="left"/>
      <w:pPr>
        <w:ind w:left="720" w:hanging="360"/>
      </w:pPr>
    </w:lvl>
    <w:lvl w:ilvl="1" w:tplc="8B4E8F92">
      <w:start w:val="1"/>
      <w:numFmt w:val="bullet"/>
      <w:lvlText w:val="○"/>
      <w:lvlJc w:val="left"/>
      <w:pPr>
        <w:ind w:left="1440" w:hanging="360"/>
      </w:pPr>
    </w:lvl>
    <w:lvl w:ilvl="2" w:tplc="6FBAC1A4">
      <w:start w:val="1"/>
      <w:numFmt w:val="bullet"/>
      <w:lvlText w:val="■"/>
      <w:lvlJc w:val="left"/>
      <w:pPr>
        <w:ind w:left="2160" w:hanging="360"/>
      </w:pPr>
    </w:lvl>
    <w:lvl w:ilvl="3" w:tplc="6C7E948A">
      <w:start w:val="1"/>
      <w:numFmt w:val="bullet"/>
      <w:lvlText w:val="●"/>
      <w:lvlJc w:val="left"/>
      <w:pPr>
        <w:ind w:left="2880" w:hanging="360"/>
      </w:pPr>
    </w:lvl>
    <w:lvl w:ilvl="4" w:tplc="0CC2EAA2">
      <w:start w:val="1"/>
      <w:numFmt w:val="bullet"/>
      <w:lvlText w:val="○"/>
      <w:lvlJc w:val="left"/>
      <w:pPr>
        <w:ind w:left="3600" w:hanging="360"/>
      </w:pPr>
    </w:lvl>
    <w:lvl w:ilvl="5" w:tplc="EABE2908">
      <w:start w:val="1"/>
      <w:numFmt w:val="bullet"/>
      <w:lvlText w:val="■"/>
      <w:lvlJc w:val="left"/>
      <w:pPr>
        <w:ind w:left="4320" w:hanging="360"/>
      </w:pPr>
    </w:lvl>
    <w:lvl w:ilvl="6" w:tplc="8FDA4BA6">
      <w:start w:val="1"/>
      <w:numFmt w:val="bullet"/>
      <w:lvlText w:val="●"/>
      <w:lvlJc w:val="left"/>
      <w:pPr>
        <w:ind w:left="5040" w:hanging="360"/>
      </w:pPr>
    </w:lvl>
    <w:lvl w:ilvl="7" w:tplc="8E20058A">
      <w:start w:val="1"/>
      <w:numFmt w:val="bullet"/>
      <w:lvlText w:val="●"/>
      <w:lvlJc w:val="left"/>
      <w:pPr>
        <w:ind w:left="5760" w:hanging="360"/>
      </w:pPr>
    </w:lvl>
    <w:lvl w:ilvl="8" w:tplc="E85CCD94">
      <w:start w:val="1"/>
      <w:numFmt w:val="bullet"/>
      <w:lvlText w:val="●"/>
      <w:lvlJc w:val="left"/>
      <w:pPr>
        <w:ind w:left="6480" w:hanging="360"/>
      </w:pPr>
    </w:lvl>
  </w:abstractNum>
  <w:num w:numId="1" w16cid:durableId="2053773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584"/>
    <w:rsid w:val="001603AE"/>
    <w:rsid w:val="001D73F5"/>
    <w:rsid w:val="00241584"/>
    <w:rsid w:val="00777C96"/>
    <w:rsid w:val="00AA3BF4"/>
    <w:rsid w:val="00B4712D"/>
    <w:rsid w:val="00BE7DEE"/>
    <w:rsid w:val="00D065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CBAF"/>
  <w15:docId w15:val="{D79485BB-EF71-497E-B2F7-4F8AAD64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808080" w:themeColor="background1" w:themeShade="80"/>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C96"/>
  </w:style>
  <w:style w:type="paragraph" w:styleId="Heading1">
    <w:name w:val="heading 1"/>
    <w:uiPriority w:val="9"/>
    <w:qFormat/>
    <w:rsid w:val="00D065BB"/>
    <w:pPr>
      <w:spacing w:after="120"/>
      <w:jc w:val="both"/>
      <w:outlineLvl w:val="0"/>
    </w:pPr>
    <w:rPr>
      <w:color w:val="2E74B5"/>
      <w:sz w:val="32"/>
      <w:szCs w:val="32"/>
    </w:rPr>
  </w:style>
  <w:style w:type="paragraph" w:styleId="Heading2">
    <w:name w:val="heading 2"/>
    <w:uiPriority w:val="9"/>
    <w:unhideWhenUsed/>
    <w:qFormat/>
    <w:rsid w:val="00777C96"/>
    <w:pPr>
      <w:outlineLvl w:val="1"/>
    </w:pPr>
    <w:rPr>
      <w:b/>
      <w:color w:val="404040" w:themeColor="text1" w:themeTint="B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foregulator.org.za/wp-content/uploads/2020/07/FORM-4-APPLICATION-FOR-THE-CONSENT-OF-A-DATA-SUBJECT-FOR-THE-PROCESSING-OF.pdf" TargetMode="External"/><Relationship Id="rId3" Type="http://schemas.openxmlformats.org/officeDocument/2006/relationships/styles" Target="styles.xml"/><Relationship Id="rId7" Type="http://schemas.openxmlformats.org/officeDocument/2006/relationships/hyperlink" Target="https://inforegulator.org.za/wp-content/uploads/2020/07/GUIDANCE-NOTE-ON-DIRECT-MARKETING-IN-TERMS-OF-THE-PROTECTION-OF-PERSONAL-INFORMATION-ACT-4-OF-2013-POPIA.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v.za/sites/default/files/gcis_document/201409/3706726-11act4of2013popi.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76C13-62BE-4FE9-9F33-389C059EC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1468</Words>
  <Characters>7224</Characters>
  <Application>Microsoft Office Word</Application>
  <DocSecurity>0</DocSecurity>
  <Lines>122</Lines>
  <Paragraphs>108</Paragraphs>
  <ScaleCrop>false</ScaleCrop>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Maasdorp</cp:lastModifiedBy>
  <cp:revision>7</cp:revision>
  <dcterms:created xsi:type="dcterms:W3CDTF">2026-08-17T19:40:00Z</dcterms:created>
  <dcterms:modified xsi:type="dcterms:W3CDTF">2026-08-17T20:16:00Z</dcterms:modified>
</cp:coreProperties>
</file>