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pPr>
        <w:pStyle w:val="ListBullet"/>
      </w:pPr>
      <w:r>
        <w:t>Ward-level informal settlement map of Dhaka from free satellite and OSM data</w:t>
      </w:r>
    </w:p>
    <w:p>
      <w:pPr>
        <w:pStyle w:val="ListBullet"/>
      </w:pPr>
      <w:r>
        <w:t>Label-feature circularity inflated accuracy to 90.9%; a decoupled test removes it</w:t>
      </w:r>
    </w:p>
    <w:p>
      <w:pPr>
        <w:pStyle w:val="ListBullet"/>
      </w:pPr>
      <w:r>
        <w:t>Honest accuracy 85.3% vs 64.1% baseline; r=0.65 with an independent inventory</w:t>
      </w:r>
    </w:p>
    <w:p>
      <w:pPr>
        <w:pStyle w:val="ListBullet"/>
      </w:pPr>
      <w:r>
        <w:t>Blind audit of 40 wards gave kappa 0.45, reported openly as a limitation</w:t>
      </w:r>
    </w:p>
    <w:p>
      <w:pPr>
        <w:pStyle w:val="ListBullet"/>
      </w:pPr>
      <w:r>
        <w:t>Code and ward-level data are public and reproducible from a fixed seed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