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61.png" ContentType="image/png"/>
  <Override PartName="/word/media/rId64.png" ContentType="image/png"/>
  <Override PartName="/word/media/rId69.png" ContentType="image/png"/>
  <Override PartName="/word/media/rId72.png" ContentType="image/png"/>
  <Override PartName="/word/media/rId78.png" ContentType="image/png"/>
  <Override PartName="/word/media/rId80.png" ContentType="image/png"/>
  <Override PartName="/word/media/rId83.png" ContentType="image/png"/>
  <Override PartName="/word/media/rId86.png" ContentType="image/png"/>
  <Override PartName="/word/media/rId2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fmaguire/mag_sim_paper@1950295</w:t>
        </w:r>
      </w:hyperlink>
      <w:r>
        <w:t xml:space="preserve"> </w:t>
      </w:r>
      <w:r>
        <w:t xml:space="preserve">on May 21,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Heading2"/>
      </w:pPr>
      <w:bookmarkStart w:id="36" w:name="abstract"/>
      <w:r>
        <w:t xml:space="preserve">Abstract</w:t>
      </w:r>
      <w:bookmarkEnd w:id="36"/>
    </w:p>
    <w:p>
      <w:pPr>
        <w:pStyle w:val="FirstParagraph"/>
      </w:pPr>
      <w:r>
        <w:t xml:space="preserve">Metagenomic methods enable the simultaneous characterisation of microbial communities without time-consuming and bias-inducing culturing.</w:t>
      </w:r>
      <w:r>
        <w:t xml:space="preserve"> </w:t>
      </w:r>
      <w:r>
        <w:t xml:space="preserve">Metagenome-assembled genome (MAG) binning methods aim to reassemble individual genomes from this data.</w:t>
      </w:r>
      <w:r>
        <w:t xml:space="preserve"> </w:t>
      </w:r>
      <w:r>
        <w:t xml:space="preserve">However, the recovery of mobile genetic elements (MGEs), such as plasmids and genomic islands (GIs), by MAGs has not been well characterised.</w:t>
      </w:r>
      <w:r>
        <w:t xml:space="preserve"> </w:t>
      </w:r>
      <w:r>
        <w:t xml:space="preserve">Given the association of antimicrobial resistance (AMR) genes and virulence factor (VF) genes with MGEs, studying their transmission is a public health priority.</w:t>
      </w:r>
      <w:r>
        <w:t xml:space="preserve"> </w:t>
      </w:r>
      <w:r>
        <w:t xml:space="preserve">The variable copy number and sequence composition of MGEs makes them potentially problematic for MAG binning methods and needs to be evaluated.</w:t>
      </w:r>
      <w:r>
        <w:t xml:space="preserve"> </w:t>
      </w:r>
      <w:r>
        <w:t xml:space="preserve">To systematically investigate this issue, we simulated a low-complexity metagenome comprising 30 GI-rich and plasmid-containing bacterial genomes.</w:t>
      </w:r>
      <w:r>
        <w:t xml:space="preserve"> </w:t>
      </w:r>
      <w:r>
        <w:t xml:space="preserve">MAGs were then recovered using 12 current prediction pipelines and evaluated.</w:t>
      </w:r>
      <w:r>
        <w:t xml:space="preserve"> </w:t>
      </w:r>
      <w:r>
        <w:t xml:space="preserve">While 82-94% of chromosomes could be correctly recovered and binned, only 38-44% of GIs and 1-29% of plasmid sequences were found.</w:t>
      </w:r>
      <w:r>
        <w:t xml:space="preserve"> </w:t>
      </w:r>
      <w:r>
        <w:t xml:space="preserve">Strikingly, no plasmid-borne VF or AMR genes were recovered, and only 0-45% of AMR or VF genes within GIs.</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utilise unassembled short reads and/or long-read approaches to fully characterise metagenomic data.</w:t>
      </w:r>
    </w:p>
    <w:p>
      <w:pPr>
        <w:pStyle w:val="Heading2"/>
      </w:pPr>
      <w:bookmarkStart w:id="37" w:name="keywords"/>
      <w:r>
        <w:t xml:space="preserve">Keywords</w:t>
      </w:r>
      <w:bookmarkEnd w:id="37"/>
    </w:p>
    <w:p>
      <w:pPr>
        <w:pStyle w:val="FirstParagraph"/>
      </w:pPr>
      <w:r>
        <w:t xml:space="preserve">Metagenomics, metagenome-assembled genomes, Antimicrobial resistance, Mobile genetic elements, Genomic islands.</w:t>
      </w:r>
    </w:p>
    <w:p>
      <w:pPr>
        <w:pStyle w:val="Heading2"/>
      </w:pPr>
      <w:bookmarkStart w:id="38" w:name="author-notes"/>
      <w:r>
        <w:t xml:space="preserve">Author Notes</w:t>
      </w:r>
      <w:bookmarkEnd w:id="38"/>
    </w:p>
    <w:p>
      <w:pPr>
        <w:pStyle w:val="FirstParagraph"/>
      </w:pPr>
      <w:r>
        <w:t xml:space="preserve">* authors contributed equally.</w:t>
      </w:r>
      <w:r>
        <w:t xml:space="preserve"> </w:t>
      </w:r>
      <w:r>
        <w:t xml:space="preserve">All supporting data, code and protocols have been provided within the article or through supplementary data files. Four supplementary figures and three supplementary tables are available with the online version of this article.</w:t>
      </w:r>
    </w:p>
    <w:p>
      <w:pPr>
        <w:pStyle w:val="Heading2"/>
      </w:pPr>
      <w:bookmarkStart w:id="39" w:name="abbreviations"/>
      <w:r>
        <w:t xml:space="preserve">Abbreviations</w:t>
      </w:r>
      <w:bookmarkEnd w:id="39"/>
    </w:p>
    <w:p>
      <w:pPr>
        <w:pStyle w:val="FirstParagraph"/>
      </w:pPr>
      <w:r>
        <w:t xml:space="preserve">MAG, Metagenome assembled genome. MGE, mobile genetic element. GI, genomic island. AMR, antimicrobial resistance. VF, virulence factor. ICE, integrative and conjugative element.</w:t>
      </w:r>
    </w:p>
    <w:p>
      <w:pPr>
        <w:pStyle w:val="Heading2"/>
      </w:pPr>
      <w:bookmarkStart w:id="40" w:name="impact-statement"/>
      <w:r>
        <w:t xml:space="preserve">Impact Statement</w:t>
      </w:r>
      <w:bookmarkEnd w:id="40"/>
    </w:p>
    <w:p>
      <w:pPr>
        <w:pStyle w:val="FirstParagraph"/>
      </w:pPr>
      <w:r>
        <w:t xml:space="preserve">Metagenome assembled genome (MAG) binning has become an increasingly common approach in environmental, microbiome, and public health studies that make use of short-read metagenomic data.</w:t>
      </w:r>
      <w:r>
        <w:t xml:space="preserve"> </w:t>
      </w:r>
      <w:r>
        <w:t xml:space="preserve">By examining 12 widely-used MAG binning workflows, we demonstrate that these methods are not suitable for the analysis of mobile genetic elements.</w:t>
      </w:r>
      <w:r>
        <w:t xml:space="preserve"> </w:t>
      </w:r>
      <w:r>
        <w:t xml:space="preserve">Given the potential human and animal health implications of antimicrobial resistance and virulence genes associated with these elements, inappropriate use of short-read MAGs has the potential to be misleading at best and harmful at worst.</w:t>
      </w:r>
      <w:r>
        <w:t xml:space="preserve"> </w:t>
      </w:r>
      <w:r>
        <w:t xml:space="preserve">This result will hopefully stimulate a fundamental shift in MAG methods to incorporate additional read-based and long-read analyses.</w:t>
      </w:r>
    </w:p>
    <w:p>
      <w:pPr>
        <w:pStyle w:val="Heading2"/>
      </w:pPr>
      <w:bookmarkStart w:id="41" w:name="data-summary"/>
      <w:r>
        <w:t xml:space="preserve">Data Summary</w:t>
      </w:r>
      <w:bookmarkEnd w:id="41"/>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42">
        <w:r>
          <w:rPr>
            <w:rStyle w:val="Hyperlink"/>
          </w:rPr>
          <w:t xml:space="preserve">github.com/fmaguire/MAG_gi_plasmid_analysis</w:t>
        </w:r>
      </w:hyperlink>
      <w:r>
        <w:t xml:space="preserve"> </w:t>
      </w:r>
      <w:r>
        <w:t xml:space="preserve">and data repository</w:t>
      </w:r>
      <w:r>
        <w:t xml:space="preserve"> </w:t>
      </w:r>
      <w:hyperlink r:id="rId43">
        <w:r>
          <w:rPr>
            <w:rStyle w:val="Hyperlink"/>
          </w:rPr>
          <w:t xml:space="preserve">osf.io/nrejs/</w:t>
        </w:r>
      </w:hyperlink>
      <w:r>
        <w:t xml:space="preserve">.</w:t>
      </w:r>
    </w:p>
    <w:p>
      <w:pPr>
        <w:pStyle w:val="Heading2"/>
      </w:pPr>
      <w:bookmarkStart w:id="44" w:name="main"/>
      <w:r>
        <w:t xml:space="preserve">Introduction</w:t>
      </w:r>
      <w:bookmarkEnd w:id="44"/>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r>
        <w:t xml:space="preserve"> </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r>
        <w:t xml:space="preserve"> </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r>
        <w:t xml:space="preserve"> </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chromosomal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r>
        <w:t xml:space="preserve"> </w:t>
      </w:r>
      <w:hyperlink w:anchor="ref-1Af4oXwEX">
        <w:r>
          <w:rPr>
            <w:rStyle w:val="Hyperlink"/>
          </w:rPr>
          <w:t xml:space="preserve">34</w:t>
        </w:r>
      </w:hyperlink>
      <w:r>
        <w:t xml:space="preserve">)</w:t>
      </w:r>
      <w:r>
        <w:t xml:space="preserve">.</w:t>
      </w:r>
      <w:r>
        <w:t xml:space="preserve"> </w:t>
      </w:r>
      <w:r>
        <w:t xml:space="preserve">They are of high interest since virulence factors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antimicrobial resistance (AMR) genes</w:t>
      </w:r>
      <w:r>
        <w:t xml:space="preserve"> </w:t>
      </w:r>
      <w:r>
        <w:t xml:space="preserve">(</w:t>
      </w:r>
      <w:hyperlink w:anchor="ref-x7HhCKyS">
        <w:r>
          <w:rPr>
            <w:rStyle w:val="Hyperlink"/>
          </w:rPr>
          <w:t xml:space="preserve">36</w:t>
        </w:r>
      </w:hyperlink>
      <w:r>
        <w:t xml:space="preserve">,</w:t>
      </w:r>
      <w:r>
        <w:t xml:space="preserve"> </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r>
        <w:t xml:space="preserve"> </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r>
        <w:t xml:space="preserve"> </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r>
        <w:t xml:space="preserve"> </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 including those of public-health importance.</w:t>
      </w:r>
    </w:p>
    <w:p>
      <w:pPr>
        <w:pStyle w:val="Heading2"/>
      </w:pPr>
      <w:bookmarkStart w:id="45" w:name="methods"/>
      <w:r>
        <w:t xml:space="preserve">Methods</w:t>
      </w:r>
      <w:bookmarkEnd w:id="45"/>
    </w:p>
    <w:p>
      <w:pPr>
        <w:pStyle w:val="Heading3"/>
      </w:pPr>
      <w:bookmarkStart w:id="46" w:name="metagenome-simulation"/>
      <w:r>
        <w:t xml:space="preserve">Metagenome Simulation</w:t>
      </w:r>
      <w:bookmarkEnd w:id="46"/>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47">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 base pair (bp)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8" w:name="mag-recovery"/>
      <w:r>
        <w:t xml:space="preserve">MAG Recovery</w:t>
      </w:r>
      <w:bookmarkEnd w:id="48"/>
    </w:p>
    <w:p>
      <w:pPr>
        <w:pStyle w:val="FirstParagraph"/>
      </w:pPr>
      <w:r>
        <w:t xml:space="preserve">Reads were trimmed using sickle (v1.33)</w:t>
      </w:r>
      <w:r>
        <w:t xml:space="preserve"> </w:t>
      </w:r>
      <w:r>
        <w:t xml:space="preserve">(</w:t>
      </w:r>
      <w:hyperlink w:anchor="ref-1CBlSILo4">
        <w:r>
          <w:rPr>
            <w:rStyle w:val="Hyperlink"/>
          </w:rPr>
          <w:t xml:space="preserve">49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49" w:name="mag-assessment"/>
      <w:r>
        <w:t xml:space="preserve">MAG assessment</w:t>
      </w:r>
      <w:bookmarkEnd w:id="49"/>
    </w:p>
    <w:p>
      <w:pPr>
        <w:pStyle w:val="Heading4"/>
      </w:pPr>
      <w:bookmarkStart w:id="50" w:name="chromosomal-coverage"/>
      <w:r>
        <w:t xml:space="preserve">Chromosomal Coverage</w:t>
      </w:r>
      <w:bookmarkEnd w:id="50"/>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53</w:t>
        </w:r>
      </w:hyperlink>
      <w:r>
        <w:t xml:space="preserve">)</w:t>
      </w:r>
      <w:r>
        <w:t xml:space="preserve"> </w:t>
      </w:r>
      <w:r>
        <w:t xml:space="preserve">and masked with trimal v1.4.1-3</w:t>
      </w:r>
      <w:r>
        <w:t xml:space="preserve"> </w:t>
      </w:r>
      <w:r>
        <w:t xml:space="preserve">(</w:t>
      </w:r>
      <w:hyperlink w:anchor="ref-GCsU1nyf">
        <w:r>
          <w:rPr>
            <w:rStyle w:val="Hyperlink"/>
          </w:rPr>
          <w:t xml:space="preserve">54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58</w:t>
        </w:r>
      </w:hyperlink>
      <w:r>
        <w:t xml:space="preserve">)</w:t>
      </w:r>
      <w:r>
        <w:t xml:space="preserve">.</w:t>
      </w:r>
    </w:p>
    <w:p>
      <w:pPr>
        <w:pStyle w:val="Heading4"/>
      </w:pPr>
      <w:bookmarkStart w:id="51" w:name="plasmid-and-gi-coverage"/>
      <w:r>
        <w:t xml:space="preserve">Plasmid and GI Coverage</w:t>
      </w:r>
      <w:bookmarkEnd w:id="51"/>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52" w:name="Xc2b63e89516f6a9527bb9ff599c3e15cc49266b"/>
      <w:r>
        <w:t xml:space="preserve">Antimicrobial Resistance and Virulence Factors Assessment</w:t>
      </w:r>
      <w:bookmarkEnd w:id="52"/>
    </w:p>
    <w:p>
      <w:pPr>
        <w:pStyle w:val="Heading4"/>
      </w:pPr>
      <w:bookmarkStart w:id="53" w:name="detection-of-amrvf-genes"/>
      <w:r>
        <w:t xml:space="preserve">Detection of AMR/VF Genes</w:t>
      </w:r>
      <w:bookmarkEnd w:id="53"/>
    </w:p>
    <w:p>
      <w:pPr>
        <w:pStyle w:val="FirstParagraph"/>
      </w:pPr>
      <w:r>
        <w:t xml:space="preserve">For the reference genomes, as well as 12 sets of MAGs, prodigal</w:t>
      </w:r>
      <w:r>
        <w:t xml:space="preserve"> </w:t>
      </w:r>
      <w:r>
        <w:t xml:space="preserve">(</w:t>
      </w:r>
      <w:hyperlink w:anchor="ref-lX665mdh">
        <w:r>
          <w:rPr>
            <w:rStyle w:val="Hyperlink"/>
          </w:rPr>
          <w:t xml:space="preserve">59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61</w:t>
        </w:r>
      </w:hyperlink>
      <w:r>
        <w:t xml:space="preserve">)</w:t>
      </w:r>
      <w:r>
        <w:t xml:space="preserve">.</w:t>
      </w:r>
      <w:r>
        <w:t xml:space="preserve"> </w:t>
      </w:r>
      <w:r>
        <w:t xml:space="preserve">Each MAG was then assigned to a reference chromosome using the above-mentioned mapping criteria for downstream analysis.</w:t>
      </w:r>
    </w:p>
    <w:p>
      <w:pPr>
        <w:pStyle w:val="Heading4"/>
      </w:pPr>
      <w:bookmarkStart w:id="54" w:name="amrvf-gene-recovery"/>
      <w:r>
        <w:t xml:space="preserve">AMR/VF Gene Recovery</w:t>
      </w:r>
      <w:bookmarkEnd w:id="54"/>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55" w:name="X23108a40b55d76bb76087e4a24d40acf0cbcfeb"/>
      <w:r>
        <w:t xml:space="preserve">Protein subcellular localisation predictions</w:t>
      </w:r>
      <w:bookmarkEnd w:id="55"/>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59</w:t>
        </w:r>
      </w:hyperlink>
      <w:r>
        <w:t xml:space="preserve">)</w:t>
      </w:r>
      <w:r>
        <w:t xml:space="preserve"> </w:t>
      </w:r>
      <w:r>
        <w:t xml:space="preserve">as above.</w:t>
      </w:r>
      <w:r>
        <w:t xml:space="preserve"> </w:t>
      </w:r>
      <w:r>
        <w:t xml:space="preserve">Subcellular localisations of these proteins were then predicted using PSORTb v3.0 with default parameters and the appropriate Gram stain setting for that bin’s assigned taxa</w:t>
      </w:r>
      <w:r>
        <w:t xml:space="preserve"> </w:t>
      </w:r>
      <w:r>
        <w:t xml:space="preserve">(</w:t>
      </w:r>
      <w:hyperlink w:anchor="ref-19bHWbO47">
        <w:r>
          <w:rPr>
            <w:rStyle w:val="Hyperlink"/>
          </w:rPr>
          <w:t xml:space="preserve">62</w:t>
        </w:r>
      </w:hyperlink>
      <w:r>
        <w:t xml:space="preserve">)</w:t>
      </w:r>
      <w:r>
        <w:t xml:space="preserve">.</w:t>
      </w:r>
    </w:p>
    <w:p>
      <w:pPr>
        <w:pStyle w:val="Heading2"/>
      </w:pPr>
      <w:bookmarkStart w:id="56" w:name="results"/>
      <w:r>
        <w:t xml:space="preserve">Results</w:t>
      </w:r>
      <w:bookmarkEnd w:id="56"/>
    </w:p>
    <w:p>
      <w:pPr>
        <w:pStyle w:val="Heading3"/>
      </w:pPr>
      <w:bookmarkStart w:id="57" w:name="recovery-of-genomic-elements"/>
      <w:r>
        <w:t xml:space="preserve">Recovery of Genomic Elements</w:t>
      </w:r>
      <w:bookmarkEnd w:id="57"/>
    </w:p>
    <w:p>
      <w:pPr>
        <w:pStyle w:val="Heading4"/>
      </w:pPr>
      <w:bookmarkStart w:id="58" w:name="chromosomes"/>
      <w:r>
        <w:t xml:space="preserve">Chromosomes</w:t>
      </w:r>
      <w:bookmarkEnd w:id="58"/>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60"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F1_top_hits_per_bin.png" id="0" name="Picture"/>
                    <pic:cNvPicPr>
                      <a:picLocks noChangeArrowheads="1" noChangeAspect="1"/>
                    </pic:cNvPicPr>
                  </pic:nvPicPr>
                  <pic:blipFill>
                    <a:blip r:embed="rId59"/>
                    <a:stretch>
                      <a:fillRect/>
                    </a:stretch>
                  </pic:blipFill>
                  <pic:spPr bwMode="auto">
                    <a:xfrm>
                      <a:off x="0" y="0"/>
                      <a:ext cx="5943600" cy="2641600"/>
                    </a:xfrm>
                    <a:prstGeom prst="rect">
                      <a:avLst/>
                    </a:prstGeom>
                    <a:noFill/>
                    <a:ln w="9525">
                      <a:noFill/>
                      <a:headEnd/>
                      <a:tailEnd/>
                    </a:ln>
                  </pic:spPr>
                </pic:pic>
              </a:graphicData>
            </a:graphic>
          </wp:inline>
        </w:drawing>
      </w:r>
      <w:bookmarkEnd w:id="60"/>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62"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F2_bin_cover_purity_combined.png" id="0" name="Picture"/>
                    <pic:cNvPicPr>
                      <a:picLocks noChangeArrowheads="1" noChangeAspect="1"/>
                    </pic:cNvPicPr>
                  </pic:nvPicPr>
                  <pic:blipFill>
                    <a:blip r:embed="rId61"/>
                    <a:stretch>
                      <a:fillRect/>
                    </a:stretch>
                  </pic:blipFill>
                  <pic:spPr bwMode="auto">
                    <a:xfrm>
                      <a:off x="0" y="0"/>
                      <a:ext cx="5943600" cy="5481320"/>
                    </a:xfrm>
                    <a:prstGeom prst="rect">
                      <a:avLst/>
                    </a:prstGeom>
                    <a:noFill/>
                    <a:ln w="9525">
                      <a:noFill/>
                      <a:headEnd/>
                      <a:tailEnd/>
                    </a:ln>
                  </pic:spPr>
                </pic:pic>
              </a:graphicData>
            </a:graphic>
          </wp:inline>
        </w:drawing>
      </w:r>
      <w:bookmarkEnd w:id="62"/>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63" w:name="plasmids"/>
      <w:r>
        <w:t xml:space="preserve">Plasmids</w:t>
      </w:r>
      <w:bookmarkEnd w:id="63"/>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65"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F3_plasmid_recovery.png" id="0" name="Picture"/>
                    <pic:cNvPicPr>
                      <a:picLocks noChangeArrowheads="1" noChangeAspect="1"/>
                    </pic:cNvPicPr>
                  </pic:nvPicPr>
                  <pic:blipFill>
                    <a:blip r:embed="rId64"/>
                    <a:stretch>
                      <a:fillRect/>
                    </a:stretch>
                  </pic:blipFill>
                  <pic:spPr bwMode="auto">
                    <a:xfrm>
                      <a:off x="0" y="0"/>
                      <a:ext cx="5943600" cy="2641600"/>
                    </a:xfrm>
                    <a:prstGeom prst="rect">
                      <a:avLst/>
                    </a:prstGeom>
                    <a:noFill/>
                    <a:ln w="9525">
                      <a:noFill/>
                      <a:headEnd/>
                      <a:tailEnd/>
                    </a:ln>
                  </pic:spPr>
                </pic:pic>
              </a:graphicData>
            </a:graphic>
          </wp:inline>
        </w:drawing>
      </w:r>
      <w:bookmarkEnd w:id="65"/>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6" w:name="genomic-islands"/>
      <w:r>
        <w:t xml:space="preserve">Genomic Islands</w:t>
      </w:r>
      <w:bookmarkEnd w:id="66"/>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7" w:name="fig:gis"/>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bookmarkEnd w:id="67"/>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8" w:name="amr-genes"/>
      <w:r>
        <w:t xml:space="preserve">AMR Genes</w:t>
      </w:r>
      <w:bookmarkEnd w:id="68"/>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70"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F5_amr_recovery_combined.png" id="0" name="Picture"/>
                    <pic:cNvPicPr>
                      <a:picLocks noChangeArrowheads="1" noChangeAspect="1"/>
                    </pic:cNvPicPr>
                  </pic:nvPicPr>
                  <pic:blipFill>
                    <a:blip r:embed="rId69"/>
                    <a:stretch>
                      <a:fillRect/>
                    </a:stretch>
                  </pic:blipFill>
                  <pic:spPr bwMode="auto">
                    <a:xfrm>
                      <a:off x="0" y="0"/>
                      <a:ext cx="5943600" cy="5494528"/>
                    </a:xfrm>
                    <a:prstGeom prst="rect">
                      <a:avLst/>
                    </a:prstGeom>
                    <a:noFill/>
                    <a:ln w="9525">
                      <a:noFill/>
                      <a:headEnd/>
                      <a:tailEnd/>
                    </a:ln>
                  </pic:spPr>
                </pic:pic>
              </a:graphicData>
            </a:graphic>
          </wp:inline>
        </w:drawing>
      </w:r>
      <w:bookmarkEnd w:id="70"/>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71" w:name="virulence-factor-genes"/>
      <w:r>
        <w:t xml:space="preserve">Virulence Factor Genes</w:t>
      </w:r>
      <w:bookmarkEnd w:id="71"/>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73"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F6_vf_recovery_combined.png" id="0" name="Picture"/>
                    <pic:cNvPicPr>
                      <a:picLocks noChangeArrowheads="1" noChangeAspect="1"/>
                    </pic:cNvPicPr>
                  </pic:nvPicPr>
                  <pic:blipFill>
                    <a:blip r:embed="rId72"/>
                    <a:stretch>
                      <a:fillRect/>
                    </a:stretch>
                  </pic:blipFill>
                  <pic:spPr bwMode="auto">
                    <a:xfrm>
                      <a:off x="0" y="0"/>
                      <a:ext cx="5943600" cy="5463709"/>
                    </a:xfrm>
                    <a:prstGeom prst="rect">
                      <a:avLst/>
                    </a:prstGeom>
                    <a:noFill/>
                    <a:ln w="9525">
                      <a:noFill/>
                      <a:headEnd/>
                      <a:tailEnd/>
                    </a:ln>
                  </pic:spPr>
                </pic:pic>
              </a:graphicData>
            </a:graphic>
          </wp:inline>
        </w:drawing>
      </w:r>
      <w:bookmarkEnd w:id="73"/>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74" w:name="comparisons-of-rates-of-loss"/>
      <w:r>
        <w:t xml:space="preserve">Comparisons of Rates of Loss</w:t>
      </w:r>
      <w:bookmarkEnd w:id="74"/>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75" w:name="discussion"/>
      <w:r>
        <w:t xml:space="preserve">Discussion</w:t>
      </w:r>
      <w:bookmarkEnd w:id="75"/>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virulence traits and AMR,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63</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Despite its lower effective sequencing depth and higher error rates, incorporating long-read sequencing has been shown to improve overall MAG binning</w:t>
      </w:r>
      <w:r>
        <w:t xml:space="preserve"> </w:t>
      </w:r>
      <w:r>
        <w:t xml:space="preserve">(</w:t>
      </w:r>
      <w:hyperlink w:anchor="ref-GW6Ed5Sw">
        <w:r>
          <w:rPr>
            <w:rStyle w:val="Hyperlink"/>
          </w:rPr>
          <w:t xml:space="preserve">65</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66</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67</w:t>
        </w:r>
      </w:hyperlink>
      <w:r>
        <w:t xml:space="preserve">–</w:t>
      </w:r>
      <w:hyperlink w:anchor="ref-WJT5of5h">
        <w:r>
          <w:rPr>
            <w:rStyle w:val="Hyperlink"/>
          </w:rPr>
          <w:t xml:space="preserve">71</w:t>
        </w:r>
      </w:hyperlink>
      <w:r>
        <w:t xml:space="preserve">)</w:t>
      </w:r>
      <w:r>
        <w:t xml:space="preserve">) and the public-health and agri-food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72</w:t>
        </w:r>
      </w:hyperlink>
      <w:r>
        <w:t xml:space="preserve">)</w:t>
      </w:r>
      <w:r>
        <w:t xml:space="preserve">.</w:t>
      </w:r>
      <w:r>
        <w:t xml:space="preserve"> </w:t>
      </w:r>
      <w:r>
        <w:t xml:space="preserve">Although not yet developed, methods that combine the assembly/binning pipelines tested here with read-based inference would provide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73</w:t>
        </w:r>
      </w:hyperlink>
      <w:r>
        <w:t xml:space="preserve">–</w:t>
      </w:r>
      <w:hyperlink w:anchor="ref-mUmGRb3J">
        <w:r>
          <w:rPr>
            <w:rStyle w:val="Hyperlink"/>
          </w:rPr>
          <w:t xml:space="preserve">75</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76</w:t>
        </w:r>
      </w:hyperlink>
      <w:r>
        <w:t xml:space="preserve">–</w:t>
      </w:r>
      <w:hyperlink w:anchor="ref-69R3Dd1j">
        <w:r>
          <w:rPr>
            <w:rStyle w:val="Hyperlink"/>
          </w:rPr>
          <w:t xml:space="preserve">79</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r>
        <w:t xml:space="preserve"> </w:t>
      </w:r>
      <w:hyperlink w:anchor="ref-18qKF2jNL">
        <w:r>
          <w:rPr>
            <w:rStyle w:val="Hyperlink"/>
          </w:rPr>
          <w:t xml:space="preserve">80</w:t>
        </w:r>
      </w:hyperlink>
      <w:r>
        <w:t xml:space="preserve">)</w:t>
      </w:r>
      <w:r>
        <w:t xml:space="preserve">.</w:t>
      </w:r>
      <w:r>
        <w:t xml:space="preserve"> </w:t>
      </w:r>
      <w:r>
        <w:t xml:space="preserve">This simulation approach, combined with the development of an MGE/AMR-focused mock metagenome (similarly to the mockrobiota initiative</w:t>
      </w:r>
      <w:r>
        <w:t xml:space="preserve"> </w:t>
      </w:r>
      <w:r>
        <w:t xml:space="preserve">(</w:t>
      </w:r>
      <w:hyperlink w:anchor="ref-4jGCH8lH">
        <w:r>
          <w:rPr>
            <w:rStyle w:val="Hyperlink"/>
          </w:rPr>
          <w:t xml:space="preserve">81</w:t>
        </w:r>
      </w:hyperlink>
      <w:r>
        <w:t xml:space="preserve">)</w:t>
      </w:r>
      <w:r>
        <w:t xml:space="preserve">), could provide a key resource to develop and validate new binning approaches and different sequencing strategies.</w:t>
      </w:r>
    </w:p>
    <w:p>
      <w:pPr>
        <w:pStyle w:val="BodyText"/>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r>
        <w:t xml:space="preserve"> </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as well as other research areas that study MGEs, it is vital we utilise MAGs in conjunction with other methods (e.g. targeted AMR</w:t>
      </w:r>
      <w:r>
        <w:t xml:space="preserve"> </w:t>
      </w:r>
      <w:r>
        <w:t xml:space="preserve">(</w:t>
      </w:r>
      <w:hyperlink w:anchor="ref-1FgkF8i4W">
        <w:r>
          <w:rPr>
            <w:rStyle w:val="Hyperlink"/>
          </w:rPr>
          <w:t xml:space="preserve">82</w:t>
        </w:r>
      </w:hyperlink>
      <w:r>
        <w:t xml:space="preserve">)</w:t>
      </w:r>
      <w:r>
        <w:t xml:space="preserve">, long-read sequencing,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76" w:name="supplementals"/>
      <w:r>
        <w:t xml:space="preserve">Supplementary Information</w:t>
      </w:r>
      <w:bookmarkEnd w:id="76"/>
    </w:p>
    <w:p>
      <w:pPr>
        <w:pStyle w:val="Heading3"/>
      </w:pPr>
      <w:bookmarkStart w:id="77" w:name="impact-of-related-genomes-on-mag"/>
      <w:r>
        <w:t xml:space="preserve">Impact of Related Genomes on MAG</w:t>
      </w:r>
      <w:bookmarkEnd w:id="77"/>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9"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S1_best_coverage_phylo_dist.png" id="0" name="Picture"/>
                    <pic:cNvPicPr>
                      <a:picLocks noChangeArrowheads="1" noChangeAspect="1"/>
                    </pic:cNvPicPr>
                  </pic:nvPicPr>
                  <pic:blipFill>
                    <a:blip r:embed="rId78"/>
                    <a:stretch>
                      <a:fillRect/>
                    </a:stretch>
                  </pic:blipFill>
                  <pic:spPr bwMode="auto">
                    <a:xfrm>
                      <a:off x="0" y="0"/>
                      <a:ext cx="5943600" cy="7844157"/>
                    </a:xfrm>
                    <a:prstGeom prst="rect">
                      <a:avLst/>
                    </a:prstGeom>
                    <a:noFill/>
                    <a:ln w="9525">
                      <a:noFill/>
                      <a:headEnd/>
                      <a:tailEnd/>
                    </a:ln>
                  </pic:spPr>
                </pic:pic>
              </a:graphicData>
            </a:graphic>
          </wp:inline>
        </w:drawing>
      </w:r>
      <w:bookmarkEnd w:id="79"/>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1"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S2_purity_phylo_dist.png" id="0" name="Picture"/>
                    <pic:cNvPicPr>
                      <a:picLocks noChangeArrowheads="1" noChangeAspect="1"/>
                    </pic:cNvPicPr>
                  </pic:nvPicPr>
                  <pic:blipFill>
                    <a:blip r:embed="rId80"/>
                    <a:stretch>
                      <a:fillRect/>
                    </a:stretch>
                  </pic:blipFill>
                  <pic:spPr bwMode="auto">
                    <a:xfrm>
                      <a:off x="0" y="0"/>
                      <a:ext cx="5943600" cy="7866593"/>
                    </a:xfrm>
                    <a:prstGeom prst="rect">
                      <a:avLst/>
                    </a:prstGeom>
                    <a:noFill/>
                    <a:ln w="9525">
                      <a:noFill/>
                      <a:headEnd/>
                      <a:tailEnd/>
                    </a:ln>
                  </pic:spPr>
                </pic:pic>
              </a:graphicData>
            </a:graphic>
          </wp:inline>
        </w:drawing>
      </w:r>
      <w:bookmarkEnd w:id="81"/>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2" w:name="recovery-of-specific-gene-content"/>
      <w:r>
        <w:t xml:space="preserve">Recovery of Specific Gene Content</w:t>
      </w:r>
      <w:bookmarkEnd w:id="82"/>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4"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S3_number_of_predicted_genes.png" id="0" name="Picture"/>
                    <pic:cNvPicPr>
                      <a:picLocks noChangeArrowheads="1" noChangeAspect="1"/>
                    </pic:cNvPicPr>
                  </pic:nvPicPr>
                  <pic:blipFill>
                    <a:blip r:embed="rId83"/>
                    <a:stretch>
                      <a:fillRect/>
                    </a:stretch>
                  </pic:blipFill>
                  <pic:spPr bwMode="auto">
                    <a:xfrm>
                      <a:off x="0" y="0"/>
                      <a:ext cx="5943600" cy="2641600"/>
                    </a:xfrm>
                    <a:prstGeom prst="rect">
                      <a:avLst/>
                    </a:prstGeom>
                    <a:noFill/>
                    <a:ln w="9525">
                      <a:noFill/>
                      <a:headEnd/>
                      <a:tailEnd/>
                    </a:ln>
                  </pic:spPr>
                </pic:pic>
              </a:graphicData>
            </a:graphic>
          </wp:inline>
        </w:drawing>
      </w:r>
      <w:bookmarkEnd w:id="84"/>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5" w:name="comparisons-of-rates-of-loss-1"/>
      <w:r>
        <w:t xml:space="preserve">Comparisons of Rates of Loss</w:t>
      </w:r>
      <w:bookmarkEnd w:id="85"/>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7"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S4_rate_of_loss.png" id="0" name="Picture"/>
                    <pic:cNvPicPr>
                      <a:picLocks noChangeArrowheads="1" noChangeAspect="1"/>
                    </pic:cNvPicPr>
                  </pic:nvPicPr>
                  <pic:blipFill>
                    <a:blip r:embed="rId86"/>
                    <a:stretch>
                      <a:fillRect/>
                    </a:stretch>
                  </pic:blipFill>
                  <pic:spPr bwMode="auto">
                    <a:xfrm>
                      <a:off x="0" y="0"/>
                      <a:ext cx="5943600" cy="4622800"/>
                    </a:xfrm>
                    <a:prstGeom prst="rect">
                      <a:avLst/>
                    </a:prstGeom>
                    <a:noFill/>
                    <a:ln w="9525">
                      <a:noFill/>
                      <a:headEnd/>
                      <a:tailEnd/>
                    </a:ln>
                  </pic:spPr>
                </pic:pic>
              </a:graphicData>
            </a:graphic>
          </wp:inline>
        </w:drawing>
      </w:r>
      <w:bookmarkEnd w:id="87"/>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8" w:name="data-bibliography"/>
      <w:r>
        <w:t xml:space="preserve">Data Bibliography</w:t>
      </w:r>
      <w:bookmarkEnd w:id="88"/>
    </w:p>
    <w:p>
      <w:pPr>
        <w:pStyle w:val="FirstParagraph"/>
      </w:pPr>
      <w:r>
        <w:t xml:space="preserve">All datasets used or generated in this study are available at</w:t>
      </w:r>
      <w:r>
        <w:t xml:space="preserve"> </w:t>
      </w:r>
      <w:hyperlink r:id="rId43">
        <w:r>
          <w:rPr>
            <w:rStyle w:val="Hyperlink"/>
          </w:rPr>
          <w:t xml:space="preserve">https://osf.io/nrejs</w:t>
        </w:r>
      </w:hyperlink>
      <w:r>
        <w:t xml:space="preserve"> </w:t>
      </w:r>
      <w:r>
        <w:t xml:space="preserve">All analysis and plotting code used is available at</w:t>
      </w:r>
      <w:r>
        <w:t xml:space="preserve"> </w:t>
      </w:r>
      <w:hyperlink r:id="rId42">
        <w:r>
          <w:rPr>
            <w:rStyle w:val="Hyperlink"/>
          </w:rPr>
          <w:t xml:space="preserve">https://github.com/fmaguire/MAG_gi_plasmid_analysis</w:t>
        </w:r>
      </w:hyperlink>
    </w:p>
    <w:p>
      <w:pPr>
        <w:pStyle w:val="Heading2"/>
      </w:pPr>
      <w:bookmarkStart w:id="89" w:name="funding-information"/>
      <w:r>
        <w:t xml:space="preserve">Funding Information</w:t>
      </w:r>
      <w:bookmarkEnd w:id="89"/>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w:t>
      </w:r>
    </w:p>
    <w:p>
      <w:pPr>
        <w:pStyle w:val="Heading2"/>
      </w:pPr>
      <w:bookmarkStart w:id="90" w:name="acknowledgements"/>
      <w:r>
        <w:t xml:space="preserve">Acknowledgements</w:t>
      </w:r>
      <w:bookmarkEnd w:id="90"/>
    </w:p>
    <w:p>
      <w:pPr>
        <w:pStyle w:val="FirstParagraph"/>
      </w:pPr>
      <w:r>
        <w:t xml:space="preserve">The authors would like to thank their funders and the Simon Fraser University (SFU) Research Computing Group and Compute Canada for compute resource support.</w:t>
      </w:r>
    </w:p>
    <w:p>
      <w:pPr>
        <w:pStyle w:val="Heading2"/>
      </w:pPr>
      <w:bookmarkStart w:id="91" w:name="author-contributions"/>
      <w:r>
        <w:t xml:space="preserve">Author contributions</w:t>
      </w:r>
      <w:bookmarkEnd w:id="91"/>
    </w:p>
    <w:p>
      <w:pPr>
        <w:pStyle w:val="FirstParagraph"/>
      </w:pPr>
      <w:r>
        <w:t xml:space="preserve">F.M. and B.J.: conceptualization, investigation, validation, formal analysis, data curation, writing (original draft preparation; review and editing), visualization.</w:t>
      </w:r>
      <w:r>
        <w:t xml:space="preserve"> </w:t>
      </w:r>
      <w:r>
        <w:t xml:space="preserve">W.Y.V.L. and K.G.: investivation, data curation writing (review and editing).</w:t>
      </w:r>
      <w:r>
        <w:t xml:space="preserve"> </w:t>
      </w:r>
      <w:r>
        <w:t xml:space="preserve">F.S.L.B and R.G.B.: Supervision, Project administration, funding, writing (review and editing).</w:t>
      </w:r>
      <w:r>
        <w:t xml:space="preserve"> </w:t>
      </w:r>
      <w:r>
        <w:t xml:space="preserve">All authors contributed to and approved the manuscript.</w:t>
      </w:r>
    </w:p>
    <w:p>
      <w:pPr>
        <w:pStyle w:val="Heading2"/>
      </w:pPr>
      <w:bookmarkStart w:id="92" w:name="conflict-of-interest"/>
      <w:r>
        <w:t xml:space="preserve">Conflict of Interest</w:t>
      </w:r>
      <w:bookmarkEnd w:id="92"/>
    </w:p>
    <w:p>
      <w:pPr>
        <w:pStyle w:val="FirstParagraph"/>
      </w:pPr>
      <w:r>
        <w:t xml:space="preserve">The authors declare no competing interests.</w:t>
      </w:r>
    </w:p>
    <w:p>
      <w:pPr>
        <w:pStyle w:val="Heading2"/>
      </w:pPr>
      <w:bookmarkStart w:id="93" w:name="references"/>
      <w:r>
        <w:t xml:space="preserve">References</w:t>
      </w:r>
      <w:bookmarkEnd w:id="93"/>
    </w:p>
    <w:bookmarkStart w:id="184" w:name="refs"/>
    <w:bookmarkStart w:id="94" w:name="ref-8PLOeAH6"/>
    <w:p>
      <w:pPr>
        <w:pStyle w:val="Bibliography"/>
      </w:pPr>
      <w:r>
        <w:t xml:space="preserve">1. Breitbart,M., Salamon,P., Andresen,B., Mahaffy,J.M., Segall,A.M., Mead,D., Azam,F. and Rohwer,F. (2002) Genomic analysis of uncultured marine viral communities.</w:t>
      </w:r>
      <w:r>
        <w:t xml:space="preserve"> </w:t>
      </w:r>
      <w:r>
        <w:rPr>
          <w:i/>
        </w:rPr>
        <w:t xml:space="preserve">Proceedings of the National Academy of Sciences</w:t>
      </w:r>
      <w:r>
        <w:t xml:space="preserve">,</w:t>
      </w:r>
      <w:r>
        <w:t xml:space="preserve"> </w:t>
      </w:r>
      <w:r>
        <w:rPr>
          <w:b/>
        </w:rPr>
        <w:t xml:space="preserve">99</w:t>
      </w:r>
      <w:r>
        <w:t xml:space="preserve">, 14250–14255.</w:t>
      </w:r>
    </w:p>
    <w:bookmarkEnd w:id="94"/>
    <w:bookmarkStart w:id="95" w:name="ref-7RV1Ygsv"/>
    <w:p>
      <w:pPr>
        <w:pStyle w:val="Bibliography"/>
      </w:pPr>
      <w:r>
        <w:t xml:space="preserve">2. Quince,C., Walker,A.W., Simpson,J.T., Loman,N.J. and Segata,N. (2017) Shotgun metagenomics, from sampling to analysis.</w:t>
      </w:r>
      <w:r>
        <w:t xml:space="preserve"> </w:t>
      </w:r>
      <w:r>
        <w:rPr>
          <w:i/>
        </w:rPr>
        <w:t xml:space="preserve">Nature Biotechnology</w:t>
      </w:r>
      <w:r>
        <w:t xml:space="preserve">,</w:t>
      </w:r>
      <w:r>
        <w:t xml:space="preserve"> </w:t>
      </w:r>
      <w:r>
        <w:rPr>
          <w:b/>
        </w:rPr>
        <w:t xml:space="preserve">35</w:t>
      </w:r>
      <w:r>
        <w:t xml:space="preserve">, 833–844.</w:t>
      </w:r>
    </w:p>
    <w:bookmarkEnd w:id="95"/>
    <w:bookmarkStart w:id="96" w:name="ref-rwhLEYRY"/>
    <w:p>
      <w:pPr>
        <w:pStyle w:val="Bibliography"/>
      </w:pPr>
      <w:r>
        <w:t xml:space="preserve">3. Donia,M., Cimermancic,P., Schulze,C., Wieland Brown,L., Martin,J., Mitreva,M., Clardy,J., Linington,R. and Fischbach,M. (2014) A Systematic Analysis of Biosynthetic Gene Clusters in the Human Microbiome Reveals a Common Family of Antibiotics.</w:t>
      </w:r>
      <w:r>
        <w:t xml:space="preserve"> </w:t>
      </w:r>
      <w:r>
        <w:rPr>
          <w:i/>
        </w:rPr>
        <w:t xml:space="preserve">Cell</w:t>
      </w:r>
      <w:r>
        <w:t xml:space="preserve">,</w:t>
      </w:r>
      <w:r>
        <w:t xml:space="preserve"> </w:t>
      </w:r>
      <w:r>
        <w:rPr>
          <w:b/>
        </w:rPr>
        <w:t xml:space="preserve">158</w:t>
      </w:r>
      <w:r>
        <w:t xml:space="preserve">, 1402–1414.</w:t>
      </w:r>
    </w:p>
    <w:bookmarkEnd w:id="96"/>
    <w:bookmarkStart w:id="97" w:name="ref-QSe5BqFk"/>
    <w:p>
      <w:pPr>
        <w:pStyle w:val="Bibliography"/>
      </w:pPr>
      <w:r>
        <w:t xml:space="preserve">4. D’Costa,V.M., Griffiths,E. and Wright,G.D. (2007) Expanding the soil antibiotic resistome: exploring environmental diversity.</w:t>
      </w:r>
      <w:r>
        <w:t xml:space="preserve"> </w:t>
      </w:r>
      <w:r>
        <w:rPr>
          <w:i/>
        </w:rPr>
        <w:t xml:space="preserve">Current Opinion in Microbiology</w:t>
      </w:r>
      <w:r>
        <w:t xml:space="preserve">,</w:t>
      </w:r>
      <w:r>
        <w:t xml:space="preserve"> </w:t>
      </w:r>
      <w:r>
        <w:rPr>
          <w:b/>
        </w:rPr>
        <w:t xml:space="preserve">10</w:t>
      </w:r>
      <w:r>
        <w:t xml:space="preserve">, 481–489.</w:t>
      </w:r>
    </w:p>
    <w:bookmarkEnd w:id="97"/>
    <w:bookmarkStart w:id="98" w:name="ref-2xaXclNM"/>
    <w:p>
      <w:pPr>
        <w:pStyle w:val="Bibliography"/>
      </w:pPr>
      <w:r>
        <w:t xml:space="preserve">5. D’Costa,V.M., King,C.E., Kalan,L., Morar,M., Sung,W.W.L., Schwarz,C., Froese,D., Zazula,G., Calmels,F. and Debruyne,R.</w:t>
      </w:r>
      <w:r>
        <w:t xml:space="preserve"> </w:t>
      </w:r>
      <w:r>
        <w:rPr>
          <w:i/>
        </w:rPr>
        <w:t xml:space="preserve">et al.</w:t>
      </w:r>
      <w:r>
        <w:t xml:space="preserve"> </w:t>
      </w:r>
      <w:r>
        <w:t xml:space="preserve">(2011) Antibiotic resistance is ancient.</w:t>
      </w:r>
      <w:r>
        <w:t xml:space="preserve"> </w:t>
      </w:r>
      <w:r>
        <w:rPr>
          <w:i/>
        </w:rPr>
        <w:t xml:space="preserve">Nature</w:t>
      </w:r>
      <w:r>
        <w:t xml:space="preserve">,</w:t>
      </w:r>
      <w:r>
        <w:t xml:space="preserve"> </w:t>
      </w:r>
      <w:r>
        <w:rPr>
          <w:b/>
        </w:rPr>
        <w:t xml:space="preserve">477</w:t>
      </w:r>
      <w:r>
        <w:t xml:space="preserve">, 457–461.</w:t>
      </w:r>
    </w:p>
    <w:bookmarkEnd w:id="98"/>
    <w:bookmarkStart w:id="99" w:name="ref-khJQfjDf"/>
    <w:p>
      <w:pPr>
        <w:pStyle w:val="Bibliography"/>
      </w:pPr>
      <w:r>
        <w:t xml:space="preserve">6. Loman,N.J., Constantinidou,C., Christner,M., Rohde,H., Chan,J.Z.-M., Quick,J., Weir,J.C., Quince,C., Smith,G.P. and Betley,J.R.</w:t>
      </w:r>
      <w:r>
        <w:t xml:space="preserve"> </w:t>
      </w:r>
      <w:r>
        <w:rPr>
          <w:i/>
        </w:rPr>
        <w:t xml:space="preserve">et al.</w:t>
      </w:r>
      <w:r>
        <w:t xml:space="preserve"> </w:t>
      </w:r>
      <w:r>
        <w:t xml:space="preserve">(2013) A Culture-Independent Sequence-Based Metagenomics Approach to the Investigation of an Outbreak of Shiga-Toxigenic Escherichia coli O104:H4.</w:t>
      </w:r>
      <w:r>
        <w:t xml:space="preserve"> </w:t>
      </w:r>
      <w:r>
        <w:rPr>
          <w:i/>
        </w:rPr>
        <w:t xml:space="preserve">JAMA</w:t>
      </w:r>
      <w:r>
        <w:t xml:space="preserve">,</w:t>
      </w:r>
      <w:r>
        <w:t xml:space="preserve"> </w:t>
      </w:r>
      <w:r>
        <w:rPr>
          <w:b/>
        </w:rPr>
        <w:t xml:space="preserve">309</w:t>
      </w:r>
      <w:r>
        <w:t xml:space="preserve">, 1502.</w:t>
      </w:r>
    </w:p>
    <w:bookmarkEnd w:id="99"/>
    <w:bookmarkStart w:id="100" w:name="ref-19dz2SKIf"/>
    <w:p>
      <w:pPr>
        <w:pStyle w:val="Bibliography"/>
      </w:pPr>
      <w:r>
        <w:t xml:space="preserve">7. Mikheyev,A.S. and Tin,M.M.Y. (2014) A first look at the Oxford Nanopore MinION sequencer.</w:t>
      </w:r>
      <w:r>
        <w:t xml:space="preserve"> </w:t>
      </w:r>
      <w:r>
        <w:rPr>
          <w:i/>
        </w:rPr>
        <w:t xml:space="preserve">Molecular Ecology Resources</w:t>
      </w:r>
      <w:r>
        <w:t xml:space="preserve">,</w:t>
      </w:r>
      <w:r>
        <w:t xml:space="preserve"> </w:t>
      </w:r>
      <w:r>
        <w:rPr>
          <w:b/>
        </w:rPr>
        <w:t xml:space="preserve">14</w:t>
      </w:r>
      <w:r>
        <w:t xml:space="preserve">, 1097–1102.</w:t>
      </w:r>
    </w:p>
    <w:bookmarkEnd w:id="100"/>
    <w:bookmarkStart w:id="101" w:name="ref-QbXTukk0"/>
    <w:p>
      <w:pPr>
        <w:pStyle w:val="Bibliography"/>
      </w:pPr>
      <w:r>
        <w:t xml:space="preserve">8. Eid,J., Fehr,A., Gray,J., Luong,K., Lyle,J., Otto,G., Peluso,P., Rank,D., Baybayan,P. and Bettman,B.</w:t>
      </w:r>
      <w:r>
        <w:t xml:space="preserve"> </w:t>
      </w:r>
      <w:r>
        <w:rPr>
          <w:i/>
        </w:rPr>
        <w:t xml:space="preserve">et al.</w:t>
      </w:r>
      <w:r>
        <w:t xml:space="preserve"> </w:t>
      </w:r>
      <w:r>
        <w:t xml:space="preserve">(2009) Real-Time DNA Sequencing from Single Polymerase Molecules.</w:t>
      </w:r>
      <w:r>
        <w:t xml:space="preserve"> </w:t>
      </w:r>
      <w:r>
        <w:rPr>
          <w:i/>
        </w:rPr>
        <w:t xml:space="preserve">Science</w:t>
      </w:r>
      <w:r>
        <w:t xml:space="preserve">,</w:t>
      </w:r>
      <w:r>
        <w:t xml:space="preserve"> </w:t>
      </w:r>
      <w:r>
        <w:rPr>
          <w:b/>
        </w:rPr>
        <w:t xml:space="preserve">323</w:t>
      </w:r>
      <w:r>
        <w:t xml:space="preserve">, 133–138.</w:t>
      </w:r>
    </w:p>
    <w:bookmarkEnd w:id="101"/>
    <w:bookmarkStart w:id="102" w:name="ref-U4vhNZoB"/>
    <w:p>
      <w:pPr>
        <w:pStyle w:val="Bibliography"/>
      </w:pPr>
      <w:r>
        <w:t xml:space="preserve">9. Nicholls,S.M., Quick,J.C., Tang,S. and Loman,N.J. (2019) Ultra-deep, long-read nanopore sequencing of mock microbial community standards.</w:t>
      </w:r>
      <w:r>
        <w:t xml:space="preserve"> </w:t>
      </w:r>
      <w:r>
        <w:rPr>
          <w:i/>
        </w:rPr>
        <w:t xml:space="preserve">GigaScience</w:t>
      </w:r>
      <w:r>
        <w:t xml:space="preserve">,</w:t>
      </w:r>
      <w:r>
        <w:t xml:space="preserve"> </w:t>
      </w:r>
      <w:r>
        <w:rPr>
          <w:b/>
        </w:rPr>
        <w:t xml:space="preserve">8</w:t>
      </w:r>
      <w:r>
        <w:t xml:space="preserve">.</w:t>
      </w:r>
    </w:p>
    <w:bookmarkEnd w:id="102"/>
    <w:bookmarkStart w:id="103" w:name="ref-1759XyDVi"/>
    <w:p>
      <w:pPr>
        <w:pStyle w:val="Bibliography"/>
      </w:pPr>
      <w:r>
        <w:t xml:space="preserve">10. Somerville,V., Lutz,S., Schmid,M., Frei,D., Moser,A., Irmler,S., Frey,J.E. and Ahrens,C.H. (2019) Long-read based de novo assembly of low-complexity metagenome samples results in finished genomes and reveals insights into strain diversity and an active phage system.</w:t>
      </w:r>
      <w:r>
        <w:t xml:space="preserve"> </w:t>
      </w:r>
      <w:r>
        <w:rPr>
          <w:i/>
        </w:rPr>
        <w:t xml:space="preserve">BMC Microbiology</w:t>
      </w:r>
      <w:r>
        <w:t xml:space="preserve">,</w:t>
      </w:r>
      <w:r>
        <w:t xml:space="preserve"> </w:t>
      </w:r>
      <w:r>
        <w:rPr>
          <w:b/>
        </w:rPr>
        <w:t xml:space="preserve">19</w:t>
      </w:r>
      <w:r>
        <w:t xml:space="preserve">.</w:t>
      </w:r>
    </w:p>
    <w:bookmarkEnd w:id="103"/>
    <w:bookmarkStart w:id="104" w:name="ref-4R96QRcV"/>
    <w:p>
      <w:pPr>
        <w:pStyle w:val="Bibliography"/>
      </w:pPr>
      <w:r>
        <w:t xml:space="preserve">11. Buchfink,B., Xie,C. and Huson,D.H. (2014) Fast and sensitive protein alignment using DIAMOND.</w:t>
      </w:r>
      <w:r>
        <w:t xml:space="preserve"> </w:t>
      </w:r>
      <w:r>
        <w:rPr>
          <w:i/>
        </w:rPr>
        <w:t xml:space="preserve">Nature Methods</w:t>
      </w:r>
      <w:r>
        <w:t xml:space="preserve">,</w:t>
      </w:r>
      <w:r>
        <w:t xml:space="preserve"> </w:t>
      </w:r>
      <w:r>
        <w:rPr>
          <w:b/>
        </w:rPr>
        <w:t xml:space="preserve">12</w:t>
      </w:r>
      <w:r>
        <w:t xml:space="preserve">, 59–60.</w:t>
      </w:r>
    </w:p>
    <w:bookmarkEnd w:id="104"/>
    <w:bookmarkStart w:id="105" w:name="ref-PiS0h6Mu"/>
    <w:p>
      <w:pPr>
        <w:pStyle w:val="Bibliography"/>
      </w:pPr>
      <w:r>
        <w:t xml:space="preserve">12. Langmead,B. and Salzberg,S.L. (2012) Fast gapped-read alignment with Bowtie 2.</w:t>
      </w:r>
      <w:r>
        <w:t xml:space="preserve"> </w:t>
      </w:r>
      <w:r>
        <w:rPr>
          <w:i/>
        </w:rPr>
        <w:t xml:space="preserve">Nature Methods</w:t>
      </w:r>
      <w:r>
        <w:t xml:space="preserve">,</w:t>
      </w:r>
      <w:r>
        <w:t xml:space="preserve"> </w:t>
      </w:r>
      <w:r>
        <w:rPr>
          <w:b/>
        </w:rPr>
        <w:t xml:space="preserve">9</w:t>
      </w:r>
      <w:r>
        <w:t xml:space="preserve">, 357–359.</w:t>
      </w:r>
    </w:p>
    <w:bookmarkEnd w:id="105"/>
    <w:bookmarkStart w:id="106" w:name="ref-77xWEk9S"/>
    <w:p>
      <w:pPr>
        <w:pStyle w:val="Bibliography"/>
      </w:pPr>
      <w:r>
        <w:t xml:space="preserve">13. Wheeler,T.J. and Eddy,S.R. (2013) nhmmer: DNA homology search with profile HMMs.</w:t>
      </w:r>
      <w:r>
        <w:t xml:space="preserve"> </w:t>
      </w:r>
      <w:r>
        <w:rPr>
          <w:i/>
        </w:rPr>
        <w:t xml:space="preserve">Bioinformatics</w:t>
      </w:r>
      <w:r>
        <w:t xml:space="preserve">,</w:t>
      </w:r>
      <w:r>
        <w:t xml:space="preserve"> </w:t>
      </w:r>
      <w:r>
        <w:rPr>
          <w:b/>
        </w:rPr>
        <w:t xml:space="preserve">29</w:t>
      </w:r>
      <w:r>
        <w:t xml:space="preserve">, 2487–2489.</w:t>
      </w:r>
    </w:p>
    <w:bookmarkEnd w:id="106"/>
    <w:bookmarkStart w:id="107" w:name="ref-OoKZ0WcH"/>
    <w:p>
      <w:pPr>
        <w:pStyle w:val="Bibliography"/>
      </w:pPr>
      <w:r>
        <w:t xml:space="preserve">14. Ounit,R., Wanamaker,S., Close,T.J. and Lonardi,S. (2015) CLARK: fast and accurate classification of metagenomic and genomic sequences using discriminative k-mers.</w:t>
      </w:r>
      <w:r>
        <w:t xml:space="preserve"> </w:t>
      </w:r>
      <w:r>
        <w:rPr>
          <w:i/>
        </w:rPr>
        <w:t xml:space="preserve">BMC Genomics</w:t>
      </w:r>
      <w:r>
        <w:t xml:space="preserve">,</w:t>
      </w:r>
      <w:r>
        <w:t xml:space="preserve"> </w:t>
      </w:r>
      <w:r>
        <w:rPr>
          <w:b/>
        </w:rPr>
        <w:t xml:space="preserve">16</w:t>
      </w:r>
      <w:r>
        <w:t xml:space="preserve">.</w:t>
      </w:r>
    </w:p>
    <w:bookmarkEnd w:id="107"/>
    <w:bookmarkStart w:id="108" w:name="ref-17Dww6tOF"/>
    <w:p>
      <w:pPr>
        <w:pStyle w:val="Bibliography"/>
      </w:pPr>
      <w:r>
        <w:t xml:space="preserve">15. Xu,X., Lin,D., Yan,G., Ye,X., Wu,S., Guo,Y., Zhu,D., Hu,F., Zhang,Y. and Wang,F.</w:t>
      </w:r>
      <w:r>
        <w:t xml:space="preserve"> </w:t>
      </w:r>
      <w:r>
        <w:rPr>
          <w:i/>
        </w:rPr>
        <w:t xml:space="preserve">et al.</w:t>
      </w:r>
      <w:r>
        <w:t xml:space="preserve"> </w:t>
      </w:r>
      <w:r>
        <w:t xml:space="preserve">(2010) vanM, a New Glycopeptide Resistance Gene Cluster Found in Enterococcus faecium.</w:t>
      </w:r>
      <w:r>
        <w:t xml:space="preserve"> </w:t>
      </w:r>
      <w:r>
        <w:rPr>
          <w:i/>
        </w:rPr>
        <w:t xml:space="preserve">Antimicrobial Agents and Chemotherapy</w:t>
      </w:r>
      <w:r>
        <w:t xml:space="preserve">,</w:t>
      </w:r>
      <w:r>
        <w:t xml:space="preserve"> </w:t>
      </w:r>
      <w:r>
        <w:rPr>
          <w:b/>
        </w:rPr>
        <w:t xml:space="preserve">54</w:t>
      </w:r>
      <w:r>
        <w:t xml:space="preserve">, 4643–4647.</w:t>
      </w:r>
    </w:p>
    <w:bookmarkEnd w:id="108"/>
    <w:bookmarkStart w:id="109" w:name="ref-1BcFmOfCH"/>
    <w:p>
      <w:pPr>
        <w:pStyle w:val="Bibliography"/>
      </w:pPr>
      <w:r>
        <w:t xml:space="preserve">16. Baker-Austin,C., Wright,M.S., Stepanauskas,R. and McArthur,J.V. (2006) Co-selection of antibiotic and metal resistance.</w:t>
      </w:r>
      <w:r>
        <w:t xml:space="preserve"> </w:t>
      </w:r>
      <w:r>
        <w:rPr>
          <w:i/>
        </w:rPr>
        <w:t xml:space="preserve">Trends in Microbiology</w:t>
      </w:r>
      <w:r>
        <w:t xml:space="preserve">,</w:t>
      </w:r>
      <w:r>
        <w:t xml:space="preserve"> </w:t>
      </w:r>
      <w:r>
        <w:rPr>
          <w:b/>
        </w:rPr>
        <w:t xml:space="preserve">14</w:t>
      </w:r>
      <w:r>
        <w:t xml:space="preserve">, 176–182.</w:t>
      </w:r>
    </w:p>
    <w:bookmarkEnd w:id="109"/>
    <w:bookmarkStart w:id="110" w:name="ref-SACLvb9k"/>
    <w:p>
      <w:pPr>
        <w:pStyle w:val="Bibliography"/>
      </w:pPr>
      <w:r>
        <w:t xml:space="preserve">17. Stokes,H.W. and Gillings,M.R. (2011) Gene flow, mobile genetic elements and the recruitment of antibiotic resistance genes into Gram-negative pathogens.</w:t>
      </w:r>
      <w:r>
        <w:t xml:space="preserve"> </w:t>
      </w:r>
      <w:r>
        <w:rPr>
          <w:i/>
        </w:rPr>
        <w:t xml:space="preserve">FEMS Microbiology Reviews</w:t>
      </w:r>
      <w:r>
        <w:t xml:space="preserve">,</w:t>
      </w:r>
      <w:r>
        <w:t xml:space="preserve"> </w:t>
      </w:r>
      <w:r>
        <w:rPr>
          <w:b/>
        </w:rPr>
        <w:t xml:space="preserve">35</w:t>
      </w:r>
      <w:r>
        <w:t xml:space="preserve">, 790–819.</w:t>
      </w:r>
    </w:p>
    <w:bookmarkEnd w:id="110"/>
    <w:bookmarkStart w:id="111" w:name="ref-KP5SjPXN"/>
    <w:p>
      <w:pPr>
        <w:pStyle w:val="Bibliography"/>
      </w:pPr>
      <w:r>
        <w:t xml:space="preserve">18. Nurk,S., Meleshko,D., Korobeynikov,A. and Pevzner,P.A. (2017) metaSPAdes: a new versatile metagenomic assembler.</w:t>
      </w:r>
      <w:r>
        <w:t xml:space="preserve"> </w:t>
      </w:r>
      <w:r>
        <w:rPr>
          <w:i/>
        </w:rPr>
        <w:t xml:space="preserve">Genome Research</w:t>
      </w:r>
      <w:r>
        <w:t xml:space="preserve">,</w:t>
      </w:r>
      <w:r>
        <w:t xml:space="preserve"> </w:t>
      </w:r>
      <w:r>
        <w:rPr>
          <w:b/>
        </w:rPr>
        <w:t xml:space="preserve">27</w:t>
      </w:r>
      <w:r>
        <w:t xml:space="preserve">, 824–834.</w:t>
      </w:r>
    </w:p>
    <w:bookmarkEnd w:id="111"/>
    <w:bookmarkStart w:id="112" w:name="ref-a4mT7fuU"/>
    <w:p>
      <w:pPr>
        <w:pStyle w:val="Bibliography"/>
      </w:pPr>
      <w:r>
        <w:t xml:space="preserve">19. Peng,Y., Leung,H.C.M., Yiu,S.M. and Chin,F.Y.L. (2012) IDBA-UD: a de novo assembler for single-cell and metagenomic sequencing data with highly uneven depth.</w:t>
      </w:r>
      <w:r>
        <w:t xml:space="preserve"> </w:t>
      </w:r>
      <w:r>
        <w:rPr>
          <w:i/>
        </w:rPr>
        <w:t xml:space="preserve">Bioinformatics</w:t>
      </w:r>
      <w:r>
        <w:t xml:space="preserve">,</w:t>
      </w:r>
      <w:r>
        <w:t xml:space="preserve"> </w:t>
      </w:r>
      <w:r>
        <w:rPr>
          <w:b/>
        </w:rPr>
        <w:t xml:space="preserve">28</w:t>
      </w:r>
      <w:r>
        <w:t xml:space="preserve">, 1420–1428.</w:t>
      </w:r>
    </w:p>
    <w:bookmarkEnd w:id="112"/>
    <w:bookmarkStart w:id="113" w:name="ref-1EUV0Ejkr"/>
    <w:p>
      <w:pPr>
        <w:pStyle w:val="Bibliography"/>
      </w:pPr>
      <w:r>
        <w:t xml:space="preserve">20. Li,D., Liu,C.-M., Luo,R., Sadakane,K. and Lam,T.-W. (2015) MEGAHIT: an ultra-fast single-node solution for large and complex metagenomics assembly via succinct de Bruijn graph.</w:t>
      </w:r>
      <w:r>
        <w:t xml:space="preserve"> </w:t>
      </w:r>
      <w:r>
        <w:rPr>
          <w:i/>
        </w:rPr>
        <w:t xml:space="preserve">Bioinformatics</w:t>
      </w:r>
      <w:r>
        <w:t xml:space="preserve">,</w:t>
      </w:r>
      <w:r>
        <w:t xml:space="preserve"> </w:t>
      </w:r>
      <w:r>
        <w:rPr>
          <w:b/>
        </w:rPr>
        <w:t xml:space="preserve">31</w:t>
      </w:r>
      <w:r>
        <w:t xml:space="preserve">, 1674–1676.</w:t>
      </w:r>
    </w:p>
    <w:bookmarkEnd w:id="113"/>
    <w:bookmarkStart w:id="114" w:name="ref-F7RexqdF"/>
    <w:p>
      <w:pPr>
        <w:pStyle w:val="Bibliography"/>
      </w:pPr>
      <w:r>
        <w:t xml:space="preserve">21. Tyson,G.W., Chapman,J., Hugenholtz,P., Allen,E.E., Ram,R.J., Richardson,P.M., Solovyev,V.V., Rubin,E.M., Rokhsar,D.S. and Banfield,J.F. (2004) Community structure and metabolism through reconstruction of microbial genomes from the environment.</w:t>
      </w:r>
      <w:r>
        <w:t xml:space="preserve"> </w:t>
      </w:r>
      <w:r>
        <w:rPr>
          <w:i/>
        </w:rPr>
        <w:t xml:space="preserve">Nature</w:t>
      </w:r>
      <w:r>
        <w:t xml:space="preserve">,</w:t>
      </w:r>
      <w:r>
        <w:t xml:space="preserve"> </w:t>
      </w:r>
      <w:r>
        <w:rPr>
          <w:b/>
        </w:rPr>
        <w:t xml:space="preserve">428</w:t>
      </w:r>
      <w:r>
        <w:t xml:space="preserve">, 37–43.</w:t>
      </w:r>
    </w:p>
    <w:bookmarkEnd w:id="114"/>
    <w:bookmarkStart w:id="115" w:name="ref-wXphq8MN"/>
    <w:p>
      <w:pPr>
        <w:pStyle w:val="Bibliography"/>
      </w:pPr>
      <w:r>
        <w:t xml:space="preserve">22. Breitwieser,F.P., Lu,J. and Salzberg,S.L. (2019) A review of methods and databases for metagenomic classification and assembly.</w:t>
      </w:r>
      <w:r>
        <w:t xml:space="preserve"> </w:t>
      </w:r>
      <w:r>
        <w:rPr>
          <w:i/>
        </w:rPr>
        <w:t xml:space="preserve">Briefings in Bioinformatics</w:t>
      </w:r>
      <w:r>
        <w:t xml:space="preserve">,</w:t>
      </w:r>
      <w:r>
        <w:t xml:space="preserve"> </w:t>
      </w:r>
      <w:r>
        <w:rPr>
          <w:b/>
        </w:rPr>
        <w:t xml:space="preserve">20</w:t>
      </w:r>
      <w:r>
        <w:t xml:space="preserve">, 1125–1136.</w:t>
      </w:r>
    </w:p>
    <w:bookmarkEnd w:id="115"/>
    <w:bookmarkStart w:id="117" w:name="ref-WRoCf6pg"/>
    <w:p>
      <w:pPr>
        <w:pStyle w:val="Bibliography"/>
      </w:pPr>
      <w:r>
        <w:t xml:space="preserve">23. Lu,Y.Y., Chen,T., Fuhrman,J.A. and Sun,F. (2016) COCACOLA: binning metagenomic contigs using sequence COmposition, read CoverAge, CO-alignment and paired-end read LinkAge.</w:t>
      </w:r>
      <w:r>
        <w:t xml:space="preserve"> </w:t>
      </w:r>
      <w:r>
        <w:rPr>
          <w:i/>
        </w:rPr>
        <w:t xml:space="preserve">Bioinformatics</w:t>
      </w:r>
      <w:r>
        <w:t xml:space="preserve">,</w:t>
      </w:r>
      <w:r>
        <w:t xml:space="preserve"> </w:t>
      </w:r>
      <w:hyperlink r:id="rId116">
        <w:r>
          <w:rPr>
            <w:rStyle w:val="Hyperlink"/>
          </w:rPr>
          <w:t xml:space="preserve">10.1093/bioinformatics/btw290</w:t>
        </w:r>
      </w:hyperlink>
      <w:r>
        <w:t xml:space="preserve">.</w:t>
      </w:r>
    </w:p>
    <w:bookmarkEnd w:id="117"/>
    <w:bookmarkStart w:id="119" w:name="ref-b2WO18xh"/>
    <w:p>
      <w:pPr>
        <w:pStyle w:val="Bibliography"/>
      </w:pPr>
      <w:r>
        <w:t xml:space="preserve">24. Kang,D., Li,F., Kirton,E.S., Thomas,A., Egan,R.S., An,H. and Wang,Z. (2019) MetaBAT 2: an adaptive binning algorithm for robust and efficient genome reconstruction from metagenome assemblies.</w:t>
      </w:r>
      <w:r>
        <w:t xml:space="preserve"> </w:t>
      </w:r>
      <w:hyperlink r:id="rId118">
        <w:r>
          <w:rPr>
            <w:rStyle w:val="Hyperlink"/>
          </w:rPr>
          <w:t xml:space="preserve">10.7287/peerj.preprints.27522v1</w:t>
        </w:r>
      </w:hyperlink>
      <w:r>
        <w:t xml:space="preserve">.</w:t>
      </w:r>
    </w:p>
    <w:bookmarkEnd w:id="119"/>
    <w:bookmarkStart w:id="120" w:name="ref-sG4CX8Uj"/>
    <w:p>
      <w:pPr>
        <w:pStyle w:val="Bibliography"/>
      </w:pPr>
      <w:r>
        <w:t xml:space="preserve">25. Wu,Y.-W., Simmons,B.A. and Singer,S.W. (2016) MaxBin 2.0: an automated binning algorithm to recover genomes from multiple metagenomic datasets.</w:t>
      </w:r>
      <w:r>
        <w:t xml:space="preserve"> </w:t>
      </w:r>
      <w:r>
        <w:rPr>
          <w:i/>
        </w:rPr>
        <w:t xml:space="preserve">Bioinformatics</w:t>
      </w:r>
      <w:r>
        <w:t xml:space="preserve">,</w:t>
      </w:r>
      <w:r>
        <w:t xml:space="preserve"> </w:t>
      </w:r>
      <w:r>
        <w:rPr>
          <w:b/>
        </w:rPr>
        <w:t xml:space="preserve">32</w:t>
      </w:r>
      <w:r>
        <w:t xml:space="preserve">, 605–607.</w:t>
      </w:r>
    </w:p>
    <w:bookmarkEnd w:id="120"/>
    <w:bookmarkStart w:id="121" w:name="ref-DfIRBmdF"/>
    <w:p>
      <w:pPr>
        <w:pStyle w:val="Bibliography"/>
      </w:pPr>
      <w:r>
        <w:t xml:space="preserve">26. Sieber,C.M.K., Probst,A.J., Sharrar,A., Thomas,B.C., Hess,M., Tringe,S.G. and Banfield,J.F. (2018) Recovery of genomes from metagenomes via a dereplication, aggregation and scoring strategy.</w:t>
      </w:r>
      <w:r>
        <w:t xml:space="preserve"> </w:t>
      </w:r>
      <w:r>
        <w:rPr>
          <w:i/>
        </w:rPr>
        <w:t xml:space="preserve">Nature Microbiology</w:t>
      </w:r>
      <w:r>
        <w:t xml:space="preserve">,</w:t>
      </w:r>
      <w:r>
        <w:t xml:space="preserve"> </w:t>
      </w:r>
      <w:r>
        <w:rPr>
          <w:b/>
        </w:rPr>
        <w:t xml:space="preserve">3</w:t>
      </w:r>
      <w:r>
        <w:t xml:space="preserve">, 836–843.</w:t>
      </w:r>
    </w:p>
    <w:bookmarkEnd w:id="121"/>
    <w:bookmarkStart w:id="122" w:name="ref-4rsFboY4"/>
    <w:p>
      <w:pPr>
        <w:pStyle w:val="Bibliography"/>
      </w:pPr>
      <w:r>
        <w:t xml:space="preserve">27. Brown,C.T., Hug,L.A., Thomas,B.C., Sharon,I., Castelle,C.J., Singh,A., Wilkins,M.J., Wrighton,K.C., Williams,K.H. and Banfield,J.F. (2015) Unusual biology across a group comprising more than 15% of domain Bacteria.</w:t>
      </w:r>
      <w:r>
        <w:t xml:space="preserve"> </w:t>
      </w:r>
      <w:r>
        <w:rPr>
          <w:i/>
        </w:rPr>
        <w:t xml:space="preserve">Nature</w:t>
      </w:r>
      <w:r>
        <w:t xml:space="preserve">,</w:t>
      </w:r>
      <w:r>
        <w:t xml:space="preserve"> </w:t>
      </w:r>
      <w:r>
        <w:rPr>
          <w:b/>
        </w:rPr>
        <w:t xml:space="preserve">523</w:t>
      </w:r>
      <w:r>
        <w:t xml:space="preserve">, 208–211.</w:t>
      </w:r>
    </w:p>
    <w:bookmarkEnd w:id="122"/>
    <w:bookmarkStart w:id="123" w:name="ref-wrBRBdFb"/>
    <w:p>
      <w:pPr>
        <w:pStyle w:val="Bibliography"/>
      </w:pPr>
      <w:r>
        <w:t xml:space="preserve">28. Parks,D.H., Rinke,C., Chuvochina,M., Chaumeil,P.-A., Woodcroft,B.J., Evans,P.N., Hugenholtz,P. and Tyson,G.W. (2017) Recovery of nearly 8,000 metagenome-assembled genomes substantially expands the tree of life.</w:t>
      </w:r>
      <w:r>
        <w:t xml:space="preserve"> </w:t>
      </w:r>
      <w:r>
        <w:rPr>
          <w:i/>
        </w:rPr>
        <w:t xml:space="preserve">Nature Microbiology</w:t>
      </w:r>
      <w:r>
        <w:t xml:space="preserve">,</w:t>
      </w:r>
      <w:r>
        <w:t xml:space="preserve"> </w:t>
      </w:r>
      <w:r>
        <w:rPr>
          <w:b/>
        </w:rPr>
        <w:t xml:space="preserve">2</w:t>
      </w:r>
      <w:r>
        <w:t xml:space="preserve">, 1533–1542.</w:t>
      </w:r>
    </w:p>
    <w:bookmarkEnd w:id="123"/>
    <w:bookmarkStart w:id="125" w:name="ref-Rk2NATlI"/>
    <w:p>
      <w:pPr>
        <w:pStyle w:val="Bibliography"/>
      </w:pPr>
      <w:r>
        <w:t xml:space="preserve">29. Stewart,R.D., Auffret,M.D., Warr,A., Walker,A.W., Roehe,R. and Watson,M. (2018) The genomic and proteomic landscape of the rumen microbiome revealed by comprehensive genome-resolved metagenomics.</w:t>
      </w:r>
      <w:r>
        <w:t xml:space="preserve"> </w:t>
      </w:r>
      <w:r>
        <w:rPr>
          <w:i/>
        </w:rPr>
        <w:t xml:space="preserve">bioRxiv</w:t>
      </w:r>
      <w:r>
        <w:t xml:space="preserve">,</w:t>
      </w:r>
      <w:r>
        <w:t xml:space="preserve"> </w:t>
      </w:r>
      <w:hyperlink r:id="rId124">
        <w:r>
          <w:rPr>
            <w:rStyle w:val="Hyperlink"/>
          </w:rPr>
          <w:t xml:space="preserve">10.1101/489443</w:t>
        </w:r>
      </w:hyperlink>
      <w:r>
        <w:t xml:space="preserve">.</w:t>
      </w:r>
    </w:p>
    <w:bookmarkEnd w:id="125"/>
    <w:bookmarkStart w:id="126" w:name="ref-buqrbdBh"/>
    <w:p>
      <w:pPr>
        <w:pStyle w:val="Bibliography"/>
      </w:pPr>
      <w:r>
        <w:t xml:space="preserve">30. Woodcroft,B.J., Singleton,C.M., Boyd,J.A., Evans,P.N., Emerson,J.B., Zayed,A.A.F., Hoelzle,R.D., Lamberton,T.O., McCalley,C.K. and Hodgkins,S.B.</w:t>
      </w:r>
      <w:r>
        <w:t xml:space="preserve"> </w:t>
      </w:r>
      <w:r>
        <w:rPr>
          <w:i/>
        </w:rPr>
        <w:t xml:space="preserve">et al.</w:t>
      </w:r>
      <w:r>
        <w:t xml:space="preserve"> </w:t>
      </w:r>
      <w:r>
        <w:t xml:space="preserve">(2018) Genome-centric view of carbon processing in thawing permafrost.</w:t>
      </w:r>
      <w:r>
        <w:t xml:space="preserve"> </w:t>
      </w:r>
      <w:r>
        <w:rPr>
          <w:i/>
        </w:rPr>
        <w:t xml:space="preserve">Nature</w:t>
      </w:r>
      <w:r>
        <w:t xml:space="preserve">,</w:t>
      </w:r>
      <w:r>
        <w:t xml:space="preserve"> </w:t>
      </w:r>
      <w:r>
        <w:rPr>
          <w:b/>
        </w:rPr>
        <w:t xml:space="preserve">560</w:t>
      </w:r>
      <w:r>
        <w:t xml:space="preserve">, 49–54.</w:t>
      </w:r>
    </w:p>
    <w:bookmarkEnd w:id="126"/>
    <w:bookmarkStart w:id="127" w:name="ref-d5Hh0941"/>
    <w:p>
      <w:pPr>
        <w:pStyle w:val="Bibliography"/>
      </w:pPr>
      <w:r>
        <w:t xml:space="preserve">31. Diamond,S., Andeer,P.F., Li,Z., Crits-Christoph,A., Burstein,D., Anantharaman,K., Lane,K.R., Thomas,B.C., Pan,C. and Northen,T.R.</w:t>
      </w:r>
      <w:r>
        <w:t xml:space="preserve"> </w:t>
      </w:r>
      <w:r>
        <w:rPr>
          <w:i/>
        </w:rPr>
        <w:t xml:space="preserve">et al.</w:t>
      </w:r>
      <w:r>
        <w:t xml:space="preserve"> </w:t>
      </w:r>
      <w:r>
        <w:t xml:space="preserve">(2019) Mediterranean grassland soil C–N compound turnover is dependent on rainfall and depth, and is mediated by genomically divergent microorganisms.</w:t>
      </w:r>
      <w:r>
        <w:t xml:space="preserve"> </w:t>
      </w:r>
      <w:r>
        <w:rPr>
          <w:i/>
        </w:rPr>
        <w:t xml:space="preserve">Nature Microbiology</w:t>
      </w:r>
      <w:r>
        <w:t xml:space="preserve">,</w:t>
      </w:r>
      <w:r>
        <w:t xml:space="preserve"> </w:t>
      </w:r>
      <w:r>
        <w:rPr>
          <w:b/>
        </w:rPr>
        <w:t xml:space="preserve">4</w:t>
      </w:r>
      <w:r>
        <w:t xml:space="preserve">, 1356–1367.</w:t>
      </w:r>
    </w:p>
    <w:bookmarkEnd w:id="127"/>
    <w:bookmarkStart w:id="128" w:name="ref-Y8sHlHi"/>
    <w:p>
      <w:pPr>
        <w:pStyle w:val="Bibliography"/>
      </w:pPr>
      <w:r>
        <w:t xml:space="preserve">32. Meyer,F., Hofmann,P., Belmann,P., Garrido-Oter,R., Fritz,A., Sczyrba,A. and McHardy,A.C. (2018) AMBER: Assessment of Metagenome BinnERs.</w:t>
      </w:r>
      <w:r>
        <w:t xml:space="preserve"> </w:t>
      </w:r>
      <w:r>
        <w:rPr>
          <w:i/>
        </w:rPr>
        <w:t xml:space="preserve">GigaScience</w:t>
      </w:r>
      <w:r>
        <w:t xml:space="preserve">,</w:t>
      </w:r>
      <w:r>
        <w:t xml:space="preserve"> </w:t>
      </w:r>
      <w:r>
        <w:rPr>
          <w:b/>
        </w:rPr>
        <w:t xml:space="preserve">7</w:t>
      </w:r>
      <w:r>
        <w:t xml:space="preserve">.</w:t>
      </w:r>
    </w:p>
    <w:bookmarkEnd w:id="128"/>
    <w:bookmarkStart w:id="129" w:name="ref-DET3tBYj"/>
    <w:p>
      <w:pPr>
        <w:pStyle w:val="Bibliography"/>
      </w:pPr>
      <w:r>
        <w:t xml:space="preserve">33. Langille,M.G.I., Hsiao,W.W.L. and Brinkman,F.S.L. (2010) Detecting genomic islands using bioinformatics approaches.</w:t>
      </w:r>
      <w:r>
        <w:t xml:space="preserve"> </w:t>
      </w:r>
      <w:r>
        <w:rPr>
          <w:i/>
        </w:rPr>
        <w:t xml:space="preserve">Nature Reviews Microbiology</w:t>
      </w:r>
      <w:r>
        <w:t xml:space="preserve">,</w:t>
      </w:r>
      <w:r>
        <w:t xml:space="preserve"> </w:t>
      </w:r>
      <w:r>
        <w:rPr>
          <w:b/>
        </w:rPr>
        <w:t xml:space="preserve">8</w:t>
      </w:r>
      <w:r>
        <w:t xml:space="preserve">, 373–382.</w:t>
      </w:r>
    </w:p>
    <w:bookmarkEnd w:id="129"/>
    <w:bookmarkStart w:id="130" w:name="ref-1Af4oXwEX"/>
    <w:p>
      <w:pPr>
        <w:pStyle w:val="Bibliography"/>
      </w:pPr>
      <w:r>
        <w:t xml:space="preserve">34. Soucy,S.M., Huang,J. and Gogarten,J.P. (2015) Horizontal gene transfer: building the web of life.</w:t>
      </w:r>
      <w:r>
        <w:t xml:space="preserve"> </w:t>
      </w:r>
      <w:r>
        <w:rPr>
          <w:i/>
        </w:rPr>
        <w:t xml:space="preserve">Nature Reviews Genetics</w:t>
      </w:r>
      <w:r>
        <w:t xml:space="preserve">,</w:t>
      </w:r>
      <w:r>
        <w:t xml:space="preserve"> </w:t>
      </w:r>
      <w:r>
        <w:rPr>
          <w:b/>
        </w:rPr>
        <w:t xml:space="preserve">16</w:t>
      </w:r>
      <w:r>
        <w:t xml:space="preserve">, 472–482.</w:t>
      </w:r>
    </w:p>
    <w:bookmarkEnd w:id="130"/>
    <w:bookmarkStart w:id="131" w:name="ref-LxGqo7iq"/>
    <w:p>
      <w:pPr>
        <w:pStyle w:val="Bibliography"/>
      </w:pPr>
      <w:r>
        <w:t xml:space="preserve">35. Ho Sui,S.J., Fedynak,A., Hsiao,W.W.L., Langille,M.G.I. and Brinkman,F.S.L. (2009) The Association of Virulence Factors with Genomic Islands.</w:t>
      </w:r>
      <w:r>
        <w:t xml:space="preserve"> </w:t>
      </w:r>
      <w:r>
        <w:rPr>
          <w:i/>
        </w:rPr>
        <w:t xml:space="preserve">PLoS ONE</w:t>
      </w:r>
      <w:r>
        <w:t xml:space="preserve">,</w:t>
      </w:r>
      <w:r>
        <w:t xml:space="preserve"> </w:t>
      </w:r>
      <w:r>
        <w:rPr>
          <w:b/>
        </w:rPr>
        <w:t xml:space="preserve">4</w:t>
      </w:r>
      <w:r>
        <w:t xml:space="preserve">, e8094.</w:t>
      </w:r>
    </w:p>
    <w:bookmarkEnd w:id="131"/>
    <w:bookmarkStart w:id="132" w:name="ref-x7HhCKyS"/>
    <w:p>
      <w:pPr>
        <w:pStyle w:val="Bibliography"/>
      </w:pPr>
      <w:r>
        <w:t xml:space="preserve">36. von Wintersdorff,C.J.H., Penders,J., van Niekerk,J.M., Mills,N.D., Majumder,S., van Alphen,L.B., Savelkoul,P.H.M. and Wolffs,P.F.G. (2016) Dissemination of Antimicrobial Resistance in Microbial Ecosystems through Horizontal Gene Transfer.</w:t>
      </w:r>
      <w:r>
        <w:t xml:space="preserve"> </w:t>
      </w:r>
      <w:r>
        <w:rPr>
          <w:i/>
        </w:rPr>
        <w:t xml:space="preserve">Frontiers in Microbiology</w:t>
      </w:r>
      <w:r>
        <w:t xml:space="preserve">,</w:t>
      </w:r>
      <w:r>
        <w:t xml:space="preserve"> </w:t>
      </w:r>
      <w:r>
        <w:rPr>
          <w:b/>
        </w:rPr>
        <w:t xml:space="preserve">7</w:t>
      </w:r>
      <w:r>
        <w:t xml:space="preserve">.</w:t>
      </w:r>
    </w:p>
    <w:bookmarkEnd w:id="132"/>
    <w:bookmarkStart w:id="133" w:name="ref-17U91060Y"/>
    <w:p>
      <w:pPr>
        <w:pStyle w:val="Bibliography"/>
      </w:pPr>
      <w:r>
        <w:t xml:space="preserve">37. Brown-Jaque,M., Calero-Cáceres,W. and Muniesa,M. (2015) Transfer of antibiotic-resistance genes via phage-related mobile elements.</w:t>
      </w:r>
      <w:r>
        <w:t xml:space="preserve"> </w:t>
      </w:r>
      <w:r>
        <w:rPr>
          <w:i/>
        </w:rPr>
        <w:t xml:space="preserve">Plasmid</w:t>
      </w:r>
      <w:r>
        <w:t xml:space="preserve">,</w:t>
      </w:r>
      <w:r>
        <w:t xml:space="preserve"> </w:t>
      </w:r>
      <w:r>
        <w:rPr>
          <w:b/>
        </w:rPr>
        <w:t xml:space="preserve">79</w:t>
      </w:r>
      <w:r>
        <w:t xml:space="preserve">, 1–7.</w:t>
      </w:r>
    </w:p>
    <w:bookmarkEnd w:id="133"/>
    <w:bookmarkStart w:id="134" w:name="ref-AVvpww8F"/>
    <w:p>
      <w:pPr>
        <w:pStyle w:val="Bibliography"/>
      </w:pPr>
      <w:r>
        <w:t xml:space="preserve">38. Merkl,R. (2004) SIGI: score-based identification of genomic islands.</w:t>
      </w:r>
      <w:r>
        <w:t xml:space="preserve"> </w:t>
      </w:r>
      <w:r>
        <w:rPr>
          <w:i/>
        </w:rPr>
        <w:t xml:space="preserve">BMC Bioinformatics</w:t>
      </w:r>
      <w:r>
        <w:t xml:space="preserve">,</w:t>
      </w:r>
      <w:r>
        <w:t xml:space="preserve"> </w:t>
      </w:r>
      <w:r>
        <w:rPr>
          <w:b/>
        </w:rPr>
        <w:t xml:space="preserve">5</w:t>
      </w:r>
      <w:r>
        <w:t xml:space="preserve">, 22.</w:t>
      </w:r>
    </w:p>
    <w:bookmarkEnd w:id="134"/>
    <w:bookmarkStart w:id="135" w:name="ref-M1pdcdMy"/>
    <w:p>
      <w:pPr>
        <w:pStyle w:val="Bibliography"/>
      </w:pPr>
      <w:r>
        <w:t xml:space="preserve">39. Bertelli,C. and Brinkman,F.S.L. (2018) Improved genomic island predictions with IslandPath-DIMOB.</w:t>
      </w:r>
      <w:r>
        <w:t xml:space="preserve"> </w:t>
      </w:r>
      <w:r>
        <w:rPr>
          <w:i/>
        </w:rPr>
        <w:t xml:space="preserve">Bioinformatics</w:t>
      </w:r>
      <w:r>
        <w:t xml:space="preserve">,</w:t>
      </w:r>
      <w:r>
        <w:t xml:space="preserve"> </w:t>
      </w:r>
      <w:r>
        <w:rPr>
          <w:b/>
        </w:rPr>
        <w:t xml:space="preserve">34</w:t>
      </w:r>
      <w:r>
        <w:t xml:space="preserve">, 2161–2167.</w:t>
      </w:r>
    </w:p>
    <w:bookmarkEnd w:id="135"/>
    <w:bookmarkStart w:id="136" w:name="ref-4eEyIkDg"/>
    <w:p>
      <w:pPr>
        <w:pStyle w:val="Bibliography"/>
      </w:pPr>
      <w:r>
        <w:t xml:space="preserve">40. Dhillon,B.K., Laird,M.R., Shay,J.A., Winsor,G.L., Lo,R., Nizam,F., Pereira,S.K., Waglechner,N., McArthur,A.G. and Langille,M.G.I.</w:t>
      </w:r>
      <w:r>
        <w:t xml:space="preserve"> </w:t>
      </w:r>
      <w:r>
        <w:rPr>
          <w:i/>
        </w:rPr>
        <w:t xml:space="preserve">et al.</w:t>
      </w:r>
      <w:r>
        <w:t xml:space="preserve"> </w:t>
      </w:r>
      <w:r>
        <w:t xml:space="preserve">(2015) IslandViewer 3: more flexible, interactive genomic island discovery, visualization and analysis: Figure 1.</w:t>
      </w:r>
      <w:r>
        <w:t xml:space="preserve"> </w:t>
      </w:r>
      <w:r>
        <w:rPr>
          <w:i/>
        </w:rPr>
        <w:t xml:space="preserve">Nucleic Acids Research</w:t>
      </w:r>
      <w:r>
        <w:t xml:space="preserve">,</w:t>
      </w:r>
      <w:r>
        <w:t xml:space="preserve"> </w:t>
      </w:r>
      <w:r>
        <w:rPr>
          <w:b/>
        </w:rPr>
        <w:t xml:space="preserve">43</w:t>
      </w:r>
      <w:r>
        <w:t xml:space="preserve">, W104–W108.</w:t>
      </w:r>
    </w:p>
    <w:bookmarkEnd w:id="136"/>
    <w:bookmarkStart w:id="137" w:name="ref-5g9Xc4ot"/>
    <w:p>
      <w:pPr>
        <w:pStyle w:val="Bibliography"/>
      </w:pPr>
      <w:r>
        <w:t xml:space="preserve">41. Bertelli,C., Tilley,K.E. and Brinkman,F.S.L. (2019) Microbial genomic island discovery, visualization and analysis.</w:t>
      </w:r>
      <w:r>
        <w:t xml:space="preserve"> </w:t>
      </w:r>
      <w:r>
        <w:rPr>
          <w:i/>
        </w:rPr>
        <w:t xml:space="preserve">Briefings in Bioinformatics</w:t>
      </w:r>
      <w:r>
        <w:t xml:space="preserve">,</w:t>
      </w:r>
      <w:r>
        <w:t xml:space="preserve"> </w:t>
      </w:r>
      <w:r>
        <w:rPr>
          <w:b/>
        </w:rPr>
        <w:t xml:space="preserve">20</w:t>
      </w:r>
      <w:r>
        <w:t xml:space="preserve">, 1685–1698.</w:t>
      </w:r>
    </w:p>
    <w:bookmarkEnd w:id="137"/>
    <w:bookmarkStart w:id="138" w:name="ref-qtpTcNWp"/>
    <w:p>
      <w:pPr>
        <w:pStyle w:val="Bibliography"/>
      </w:pPr>
      <w:r>
        <w:t xml:space="preserve">42. San Millan,A., Escudero,J.A., Gifford,D.R., Mazel,D. and MacLean,R.C. (2016) Multicopy plasmids potentiate the evolution of antibiotic resistance in bacteria.</w:t>
      </w:r>
      <w:r>
        <w:t xml:space="preserve"> </w:t>
      </w:r>
      <w:r>
        <w:rPr>
          <w:i/>
        </w:rPr>
        <w:t xml:space="preserve">Nature Ecology &amp; Evolution</w:t>
      </w:r>
      <w:r>
        <w:t xml:space="preserve">,</w:t>
      </w:r>
      <w:r>
        <w:t xml:space="preserve"> </w:t>
      </w:r>
      <w:r>
        <w:rPr>
          <w:b/>
        </w:rPr>
        <w:t xml:space="preserve">1</w:t>
      </w:r>
      <w:r>
        <w:t xml:space="preserve">.</w:t>
      </w:r>
    </w:p>
    <w:bookmarkEnd w:id="138"/>
    <w:bookmarkStart w:id="139" w:name="ref-Z1irb7eF"/>
    <w:p>
      <w:pPr>
        <w:pStyle w:val="Bibliography"/>
      </w:pPr>
      <w:r>
        <w:t xml:space="preserve">43. San Millan,A., Santos-Lopez,A., Ortega-Huedo,R., Bernabe-Balas,C., Kennedy,S.P. and Gonzalez-Zorn,B. (2015) Small-Plasmid-Mediated Antibiotic Resistance Is Enhanced by Increases in Plasmid Copy Number and Bacterial Fitness.</w:t>
      </w:r>
      <w:r>
        <w:t xml:space="preserve"> </w:t>
      </w:r>
      <w:r>
        <w:rPr>
          <w:i/>
        </w:rPr>
        <w:t xml:space="preserve">Antimicrobial Agents and Chemotherapy</w:t>
      </w:r>
      <w:r>
        <w:t xml:space="preserve">,</w:t>
      </w:r>
      <w:r>
        <w:t xml:space="preserve"> </w:t>
      </w:r>
      <w:r>
        <w:rPr>
          <w:b/>
        </w:rPr>
        <w:t xml:space="preserve">59</w:t>
      </w:r>
      <w:r>
        <w:t xml:space="preserve">, 3335–3341.</w:t>
      </w:r>
    </w:p>
    <w:bookmarkEnd w:id="139"/>
    <w:bookmarkStart w:id="140" w:name="ref-QK9dmRUA"/>
    <w:p>
      <w:pPr>
        <w:pStyle w:val="Bibliography"/>
      </w:pPr>
      <w:r>
        <w:t xml:space="preserve">44. Zhou,F. and Xu,Y. (2010) cBar: a computer program to distinguish plasmid-derived from chromosome-derived sequence fragments in metagenomics data.</w:t>
      </w:r>
      <w:r>
        <w:t xml:space="preserve"> </w:t>
      </w:r>
      <w:r>
        <w:rPr>
          <w:i/>
        </w:rPr>
        <w:t xml:space="preserve">Bioinformatics</w:t>
      </w:r>
      <w:r>
        <w:t xml:space="preserve">,</w:t>
      </w:r>
      <w:r>
        <w:t xml:space="preserve"> </w:t>
      </w:r>
      <w:r>
        <w:rPr>
          <w:b/>
        </w:rPr>
        <w:t xml:space="preserve">26</w:t>
      </w:r>
      <w:r>
        <w:t xml:space="preserve">, 2051–2052.</w:t>
      </w:r>
    </w:p>
    <w:bookmarkEnd w:id="140"/>
    <w:bookmarkStart w:id="141" w:name="ref-ps1aOiRU"/>
    <w:p>
      <w:pPr>
        <w:pStyle w:val="Bibliography"/>
      </w:pPr>
      <w:r>
        <w:t xml:space="preserve">45. Davis,J.J. and Olsen,G.J. (2009) Modal Codon Usage: Assessing the Typical Codon Usage of a Genome.</w:t>
      </w:r>
      <w:r>
        <w:t xml:space="preserve"> </w:t>
      </w:r>
      <w:r>
        <w:rPr>
          <w:i/>
        </w:rPr>
        <w:t xml:space="preserve">Molecular Biology and Evolution</w:t>
      </w:r>
      <w:r>
        <w:t xml:space="preserve">,</w:t>
      </w:r>
      <w:r>
        <w:t xml:space="preserve"> </w:t>
      </w:r>
      <w:r>
        <w:rPr>
          <w:b/>
        </w:rPr>
        <w:t xml:space="preserve">27</w:t>
      </w:r>
      <w:r>
        <w:t xml:space="preserve">, 800–810.</w:t>
      </w:r>
    </w:p>
    <w:bookmarkEnd w:id="141"/>
    <w:bookmarkStart w:id="142" w:name="ref-X9j9vETu"/>
    <w:p>
      <w:pPr>
        <w:pStyle w:val="Bibliography"/>
      </w:pPr>
      <w:r>
        <w:t xml:space="preserve">46. Holmes,A.H., Moore,L.S.P., Sundsfjord,A., Steinbakk,M., Regmi,S., Karkey,A., Guerin,P.J. and Piddock,L.J.V. (2015) Understanding the mechanisms and drivers of antimicrobial resistance.</w:t>
      </w:r>
      <w:r>
        <w:t xml:space="preserve"> </w:t>
      </w:r>
      <w:r>
        <w:rPr>
          <w:i/>
        </w:rPr>
        <w:t xml:space="preserve">Lancet</w:t>
      </w:r>
      <w:r>
        <w:t xml:space="preserve">,</w:t>
      </w:r>
      <w:r>
        <w:t xml:space="preserve"> </w:t>
      </w:r>
      <w:r>
        <w:rPr>
          <w:b/>
        </w:rPr>
        <w:t xml:space="preserve">387</w:t>
      </w:r>
      <w:r>
        <w:t xml:space="preserve">, 176–87.</w:t>
      </w:r>
    </w:p>
    <w:bookmarkEnd w:id="142"/>
    <w:bookmarkStart w:id="143" w:name="ref-lsbnKJf8"/>
    <w:p>
      <w:pPr>
        <w:pStyle w:val="Bibliography"/>
      </w:pPr>
      <w:r>
        <w:t xml:space="preserve">47. Sczyrba,A., Hofmann,P., Belmann,P., Koslicki,D., Janssen,S., Dröge,J., Gregor,I., Majda,S., Fiedler,J. and Dahms,E.</w:t>
      </w:r>
      <w:r>
        <w:t xml:space="preserve"> </w:t>
      </w:r>
      <w:r>
        <w:rPr>
          <w:i/>
        </w:rPr>
        <w:t xml:space="preserve">et al.</w:t>
      </w:r>
      <w:r>
        <w:t xml:space="preserve"> </w:t>
      </w:r>
      <w:r>
        <w:t xml:space="preserve">(2017) Critical Assessment of Metagenome Interpretation—a benchmark of metagenomics software.</w:t>
      </w:r>
      <w:r>
        <w:t xml:space="preserve"> </w:t>
      </w:r>
      <w:r>
        <w:rPr>
          <w:i/>
        </w:rPr>
        <w:t xml:space="preserve">Nature Methods</w:t>
      </w:r>
      <w:r>
        <w:t xml:space="preserve">,</w:t>
      </w:r>
      <w:r>
        <w:t xml:space="preserve"> </w:t>
      </w:r>
      <w:r>
        <w:rPr>
          <w:b/>
        </w:rPr>
        <w:t xml:space="preserve">14</w:t>
      </w:r>
      <w:r>
        <w:t xml:space="preserve">, 1063–1071.</w:t>
      </w:r>
    </w:p>
    <w:bookmarkEnd w:id="143"/>
    <w:bookmarkStart w:id="144" w:name="ref-znONJtTo"/>
    <w:p>
      <w:pPr>
        <w:pStyle w:val="Bibliography"/>
      </w:pPr>
      <w:r>
        <w:t xml:space="preserve">48. Huang,W., Li,L., Myers,J.R. and Marth,G.T. (2012) ART: a next-generation sequencing read simulator.</w:t>
      </w:r>
      <w:r>
        <w:t xml:space="preserve"> </w:t>
      </w:r>
      <w:r>
        <w:rPr>
          <w:i/>
        </w:rPr>
        <w:t xml:space="preserve">Bioinformatics</w:t>
      </w:r>
      <w:r>
        <w:t xml:space="preserve">,</w:t>
      </w:r>
      <w:r>
        <w:t xml:space="preserve"> </w:t>
      </w:r>
      <w:r>
        <w:rPr>
          <w:b/>
        </w:rPr>
        <w:t xml:space="preserve">28</w:t>
      </w:r>
      <w:r>
        <w:t xml:space="preserve">, 593–594.</w:t>
      </w:r>
    </w:p>
    <w:bookmarkEnd w:id="144"/>
    <w:bookmarkStart w:id="145" w:name="ref-1CBlSILo4"/>
    <w:p>
      <w:pPr>
        <w:pStyle w:val="Bibliography"/>
      </w:pPr>
      <w:r>
        <w:t xml:space="preserve">49. Joshi,N. and Fass,J. (2011) Sickle: A sliding-window, adaptive, quality-based trimming tool for FastQ files.</w:t>
      </w:r>
      <w:r>
        <w:t xml:space="preserve"> </w:t>
      </w:r>
      <w:r>
        <w:rPr>
          <w:i/>
        </w:rPr>
        <w:t xml:space="preserve">GitHub</w:t>
      </w:r>
      <w:r>
        <w:t xml:space="preserve">.</w:t>
      </w:r>
    </w:p>
    <w:bookmarkEnd w:id="145"/>
    <w:bookmarkStart w:id="146" w:name="ref-TeRvtMCl"/>
    <w:p>
      <w:pPr>
        <w:pStyle w:val="Bibliography"/>
      </w:pPr>
      <w:r>
        <w:t xml:space="preserve">50. Mikheenko,A., Saveliev,V. and Gurevich,A. (2016) MetaQUAST: evaluation of metagenome assemblies.</w:t>
      </w:r>
      <w:r>
        <w:t xml:space="preserve"> </w:t>
      </w:r>
      <w:r>
        <w:rPr>
          <w:i/>
        </w:rPr>
        <w:t xml:space="preserve">Bioinformatics</w:t>
      </w:r>
      <w:r>
        <w:t xml:space="preserve">,</w:t>
      </w:r>
      <w:r>
        <w:t xml:space="preserve"> </w:t>
      </w:r>
      <w:r>
        <w:rPr>
          <w:b/>
        </w:rPr>
        <w:t xml:space="preserve">32</w:t>
      </w:r>
      <w:r>
        <w:t xml:space="preserve">, 1088–1090.</w:t>
      </w:r>
    </w:p>
    <w:bookmarkEnd w:id="146"/>
    <w:bookmarkStart w:id="147" w:name="ref-nEsJGUWa"/>
    <w:p>
      <w:pPr>
        <w:pStyle w:val="Bibliography"/>
      </w:pPr>
      <w:r>
        <w:t xml:space="preserve">51. Camacho,C., Coulouris,G., Avagyan,V., Ma,N., Papadopoulos,J., Bealer,K. and Madden,T.L. (2009) BLAST+: architecture and applications.</w:t>
      </w:r>
      <w:r>
        <w:t xml:space="preserve"> </w:t>
      </w:r>
      <w:r>
        <w:rPr>
          <w:i/>
        </w:rPr>
        <w:t xml:space="preserve">BMC Bioinformatics</w:t>
      </w:r>
      <w:r>
        <w:t xml:space="preserve">,</w:t>
      </w:r>
      <w:r>
        <w:t xml:space="preserve"> </w:t>
      </w:r>
      <w:r>
        <w:rPr>
          <w:b/>
        </w:rPr>
        <w:t xml:space="preserve">10</w:t>
      </w:r>
      <w:r>
        <w:t xml:space="preserve">, 421.</w:t>
      </w:r>
    </w:p>
    <w:bookmarkEnd w:id="147"/>
    <w:bookmarkStart w:id="148" w:name="ref-S53q1T30"/>
    <w:p>
      <w:pPr>
        <w:pStyle w:val="Bibliography"/>
      </w:pPr>
      <w:r>
        <w:t xml:space="preserve">52. Simão,F.A., Waterhouse,R.M., Ioannidis,P., Kriventseva,E.V. and Zdobnov,E.M. (2015) BUSCO: assessing genome assembly and annotation completeness with single-copy orthologs.</w:t>
      </w:r>
      <w:r>
        <w:t xml:space="preserve"> </w:t>
      </w:r>
      <w:r>
        <w:rPr>
          <w:i/>
        </w:rPr>
        <w:t xml:space="preserve">Bioinformatics</w:t>
      </w:r>
      <w:r>
        <w:t xml:space="preserve">,</w:t>
      </w:r>
      <w:r>
        <w:t xml:space="preserve"> </w:t>
      </w:r>
      <w:r>
        <w:rPr>
          <w:b/>
        </w:rPr>
        <w:t xml:space="preserve">31</w:t>
      </w:r>
      <w:r>
        <w:t xml:space="preserve">, 3210–3212.</w:t>
      </w:r>
    </w:p>
    <w:bookmarkEnd w:id="148"/>
    <w:bookmarkStart w:id="149" w:name="ref-L3vmZEmK"/>
    <w:p>
      <w:pPr>
        <w:pStyle w:val="Bibliography"/>
      </w:pPr>
      <w:r>
        <w:t xml:space="preserve">53. Nakamura,T., Yamada,K.D., Tomii,K. and Katoh,K. (2018) Parallelization of MAFFT for large-scale multiple sequence alignments.</w:t>
      </w:r>
      <w:r>
        <w:t xml:space="preserve"> </w:t>
      </w:r>
      <w:r>
        <w:rPr>
          <w:i/>
        </w:rPr>
        <w:t xml:space="preserve">Bioinformatics</w:t>
      </w:r>
      <w:r>
        <w:t xml:space="preserve">,</w:t>
      </w:r>
      <w:r>
        <w:t xml:space="preserve"> </w:t>
      </w:r>
      <w:r>
        <w:rPr>
          <w:b/>
        </w:rPr>
        <w:t xml:space="preserve">34</w:t>
      </w:r>
      <w:r>
        <w:t xml:space="preserve">, 2490–2492.</w:t>
      </w:r>
    </w:p>
    <w:bookmarkEnd w:id="149"/>
    <w:bookmarkStart w:id="150" w:name="ref-GCsU1nyf"/>
    <w:p>
      <w:pPr>
        <w:pStyle w:val="Bibliography"/>
      </w:pPr>
      <w:r>
        <w:t xml:space="preserve">54. Capella-Gutierrez,S., Silla-Martinez,J.M. and Gabaldon,T. (2009) trimAl: a tool for automated alignment trimming in large-scale phylogenetic analyses.</w:t>
      </w:r>
      <w:r>
        <w:t xml:space="preserve"> </w:t>
      </w:r>
      <w:r>
        <w:rPr>
          <w:i/>
        </w:rPr>
        <w:t xml:space="preserve">Bioinformatics</w:t>
      </w:r>
      <w:r>
        <w:t xml:space="preserve">,</w:t>
      </w:r>
      <w:r>
        <w:t xml:space="preserve"> </w:t>
      </w:r>
      <w:r>
        <w:rPr>
          <w:b/>
        </w:rPr>
        <w:t xml:space="preserve">25</w:t>
      </w:r>
      <w:r>
        <w:t xml:space="preserve">, 1972–1973.</w:t>
      </w:r>
    </w:p>
    <w:bookmarkEnd w:id="150"/>
    <w:bookmarkStart w:id="151" w:name="ref-JOWSuu8G"/>
    <w:p>
      <w:pPr>
        <w:pStyle w:val="Bibliography"/>
      </w:pPr>
      <w:r>
        <w:t xml:space="preserve">55. Nguyen,L.-T., Schmidt,H.A., von Haeseler,A. and Minh,B.Q. (2015) IQ-TREE: A Fast and Effective Stochastic Algorithm for Estimating Maximum-Likelihood Phylogenies.</w:t>
      </w:r>
      <w:r>
        <w:t xml:space="preserve"> </w:t>
      </w:r>
      <w:r>
        <w:rPr>
          <w:i/>
        </w:rPr>
        <w:t xml:space="preserve">Molecular Biology and Evolution</w:t>
      </w:r>
      <w:r>
        <w:t xml:space="preserve">,</w:t>
      </w:r>
      <w:r>
        <w:t xml:space="preserve"> </w:t>
      </w:r>
      <w:r>
        <w:rPr>
          <w:b/>
        </w:rPr>
        <w:t xml:space="preserve">32</w:t>
      </w:r>
      <w:r>
        <w:t xml:space="preserve">, 268–274.</w:t>
      </w:r>
    </w:p>
    <w:bookmarkEnd w:id="151"/>
    <w:bookmarkStart w:id="152" w:name="ref-P9j0gC8x"/>
    <w:p>
      <w:pPr>
        <w:pStyle w:val="Bibliography"/>
      </w:pPr>
      <w:r>
        <w:t xml:space="preserve">56. Lanfear,R., Calcott,B., Ho,S.Y.W. and Guindon,S. (2012) PartitionFinder: Combined Selection of Partitioning Schemes and Substitution Models for Phylogenetic Analyses.</w:t>
      </w:r>
      <w:r>
        <w:t xml:space="preserve"> </w:t>
      </w:r>
      <w:r>
        <w:rPr>
          <w:i/>
        </w:rPr>
        <w:t xml:space="preserve">Molecular Biology and Evolution</w:t>
      </w:r>
      <w:r>
        <w:t xml:space="preserve">,</w:t>
      </w:r>
      <w:r>
        <w:t xml:space="preserve"> </w:t>
      </w:r>
      <w:r>
        <w:rPr>
          <w:b/>
        </w:rPr>
        <w:t xml:space="preserve">29</w:t>
      </w:r>
      <w:r>
        <w:t xml:space="preserve">, 1695–1701.</w:t>
      </w:r>
    </w:p>
    <w:bookmarkEnd w:id="152"/>
    <w:bookmarkStart w:id="153" w:name="ref-5F7ii9Ji"/>
    <w:p>
      <w:pPr>
        <w:pStyle w:val="Bibliography"/>
      </w:pPr>
      <w:r>
        <w:t xml:space="preserve">57. Huerta-Cepas,J., Serra,F. and Bork,P. (2016) ETE 3: Reconstruction, Analysis, and Visualization of Phylogenomic Data.</w:t>
      </w:r>
      <w:r>
        <w:t xml:space="preserve"> </w:t>
      </w:r>
      <w:r>
        <w:rPr>
          <w:i/>
        </w:rPr>
        <w:t xml:space="preserve">Molecular Biology and Evolution</w:t>
      </w:r>
      <w:r>
        <w:t xml:space="preserve">,</w:t>
      </w:r>
      <w:r>
        <w:t xml:space="preserve"> </w:t>
      </w:r>
      <w:r>
        <w:rPr>
          <w:b/>
        </w:rPr>
        <w:t xml:space="preserve">33</w:t>
      </w:r>
      <w:r>
        <w:t xml:space="preserve">, 1635–1638.</w:t>
      </w:r>
    </w:p>
    <w:bookmarkEnd w:id="153"/>
    <w:bookmarkStart w:id="155" w:name="ref-LeLYF4iC"/>
    <w:p>
      <w:pPr>
        <w:pStyle w:val="Bibliography"/>
      </w:pPr>
      <w:r>
        <w:t xml:space="preserve">58. Waskom,M., Botvinnik,O., Ostblom,J., Lukauskas,S., Hobson,P., MaozGelbart, Gemperline,D.C., Augspurger,T., Halchenko,Y. and Cole,J.B.</w:t>
      </w:r>
      <w:r>
        <w:t xml:space="preserve"> </w:t>
      </w:r>
      <w:r>
        <w:rPr>
          <w:i/>
        </w:rPr>
        <w:t xml:space="preserve">et al.</w:t>
      </w:r>
      <w:r>
        <w:t xml:space="preserve"> </w:t>
      </w:r>
      <w:r>
        <w:t xml:space="preserve">(2020) mwaskom/seaborn: v0.10.0 (January 2020).</w:t>
      </w:r>
      <w:r>
        <w:t xml:space="preserve"> </w:t>
      </w:r>
      <w:hyperlink r:id="rId154">
        <w:r>
          <w:rPr>
            <w:rStyle w:val="Hyperlink"/>
          </w:rPr>
          <w:t xml:space="preserve">10.5281/zenodo.3629446</w:t>
        </w:r>
      </w:hyperlink>
      <w:r>
        <w:t xml:space="preserve">.</w:t>
      </w:r>
    </w:p>
    <w:bookmarkEnd w:id="155"/>
    <w:bookmarkStart w:id="156" w:name="ref-lX665mdh"/>
    <w:p>
      <w:pPr>
        <w:pStyle w:val="Bibliography"/>
      </w:pPr>
      <w:r>
        <w:t xml:space="preserve">59. Hyatt,D., Chen,G.-L., LoCascio,P.F., Land,M.L., Larimer,F.W. and Hauser,L.J. (2010) Prodigal: prokaryotic gene recognition and translation initiation site identification.</w:t>
      </w:r>
      <w:r>
        <w:t xml:space="preserve"> </w:t>
      </w:r>
      <w:r>
        <w:rPr>
          <w:i/>
        </w:rPr>
        <w:t xml:space="preserve">BMC Bioinformatics</w:t>
      </w:r>
      <w:r>
        <w:t xml:space="preserve">,</w:t>
      </w:r>
      <w:r>
        <w:t xml:space="preserve"> </w:t>
      </w:r>
      <w:r>
        <w:rPr>
          <w:b/>
        </w:rPr>
        <w:t xml:space="preserve">11</w:t>
      </w:r>
      <w:r>
        <w:t xml:space="preserve">.</w:t>
      </w:r>
    </w:p>
    <w:bookmarkEnd w:id="156"/>
    <w:bookmarkStart w:id="158" w:name="ref-nvbyXyPe"/>
    <w:p>
      <w:pPr>
        <w:pStyle w:val="Bibliography"/>
      </w:pPr>
      <w:r>
        <w:t xml:space="preserve">60. Alcock,B.P., Raphenya,A.R., Lau,T.T.Y., Tsang,K.K., Bouchard,M., Edalatmand,A., Huynh,W., Nguyen,A.-L.V., Cheng,A.A. and Liu,S.</w:t>
      </w:r>
      <w:r>
        <w:t xml:space="preserve"> </w:t>
      </w:r>
      <w:r>
        <w:rPr>
          <w:i/>
        </w:rPr>
        <w:t xml:space="preserve">et al.</w:t>
      </w:r>
      <w:r>
        <w:t xml:space="preserve"> </w:t>
      </w:r>
      <w:r>
        <w:t xml:space="preserve">(2019) CARD 2020: antibiotic resistome surveillance with the comprehensive antibiotic resistance database.</w:t>
      </w:r>
      <w:r>
        <w:t xml:space="preserve"> </w:t>
      </w:r>
      <w:r>
        <w:rPr>
          <w:i/>
        </w:rPr>
        <w:t xml:space="preserve">Nucleic Acids Research</w:t>
      </w:r>
      <w:r>
        <w:t xml:space="preserve">,</w:t>
      </w:r>
      <w:r>
        <w:t xml:space="preserve"> </w:t>
      </w:r>
      <w:hyperlink r:id="rId157">
        <w:r>
          <w:rPr>
            <w:rStyle w:val="Hyperlink"/>
          </w:rPr>
          <w:t xml:space="preserve">10.1093/nar/gkz935</w:t>
        </w:r>
      </w:hyperlink>
      <w:r>
        <w:t xml:space="preserve">.</w:t>
      </w:r>
    </w:p>
    <w:bookmarkEnd w:id="158"/>
    <w:bookmarkStart w:id="159" w:name="ref-pYB1SP5"/>
    <w:p>
      <w:pPr>
        <w:pStyle w:val="Bibliography"/>
      </w:pPr>
      <w:r>
        <w:t xml:space="preserve">61. Liu,B., Zheng,D., Jin,Q., Chen,L. and Yang,J. (2019) VFDB 2019: a comparative pathogenomic platform with an interactive web interface.</w:t>
      </w:r>
      <w:r>
        <w:t xml:space="preserve"> </w:t>
      </w:r>
      <w:r>
        <w:rPr>
          <w:i/>
        </w:rPr>
        <w:t xml:space="preserve">Nucleic Acids Research</w:t>
      </w:r>
      <w:r>
        <w:t xml:space="preserve">,</w:t>
      </w:r>
      <w:r>
        <w:t xml:space="preserve"> </w:t>
      </w:r>
      <w:r>
        <w:rPr>
          <w:b/>
        </w:rPr>
        <w:t xml:space="preserve">47</w:t>
      </w:r>
      <w:r>
        <w:t xml:space="preserve">, D687–D692.</w:t>
      </w:r>
    </w:p>
    <w:bookmarkEnd w:id="159"/>
    <w:bookmarkStart w:id="160" w:name="ref-19bHWbO47"/>
    <w:p>
      <w:pPr>
        <w:pStyle w:val="Bibliography"/>
      </w:pPr>
      <w:r>
        <w:t xml:space="preserve">62. Yu,N.Y., Wagner,J.R., Laird,M.R., Melli,G., Rey,S., Lo,R., Dao,P., Sahinalp,S.C., Ester,M. and Foster,L.J.</w:t>
      </w:r>
      <w:r>
        <w:t xml:space="preserve"> </w:t>
      </w:r>
      <w:r>
        <w:rPr>
          <w:i/>
        </w:rPr>
        <w:t xml:space="preserve">et al.</w:t>
      </w:r>
      <w:r>
        <w:t xml:space="preserve"> </w:t>
      </w:r>
      <w:r>
        <w:t xml:space="preserve">(2010) PSORTb 3.0: improved protein subcellular localization prediction with refined localization subcategories and predictive capabilities for all prokaryotes.</w:t>
      </w:r>
      <w:r>
        <w:t xml:space="preserve"> </w:t>
      </w:r>
      <w:r>
        <w:rPr>
          <w:i/>
        </w:rPr>
        <w:t xml:space="preserve">Bioinformatics</w:t>
      </w:r>
      <w:r>
        <w:t xml:space="preserve">,</w:t>
      </w:r>
      <w:r>
        <w:t xml:space="preserve"> </w:t>
      </w:r>
      <w:r>
        <w:rPr>
          <w:b/>
        </w:rPr>
        <w:t xml:space="preserve">26</w:t>
      </w:r>
      <w:r>
        <w:t xml:space="preserve">, 1608–1615.</w:t>
      </w:r>
    </w:p>
    <w:bookmarkEnd w:id="160"/>
    <w:bookmarkStart w:id="161" w:name="ref-12zFifp5x"/>
    <w:p>
      <w:pPr>
        <w:pStyle w:val="Bibliography"/>
      </w:pPr>
      <w:r>
        <w:t xml:space="preserve">63. Arredondo-Alonso,S., Willems,R.J., van Schaik,W. and Schürch,A.C. (2017) On the (im)possibility of reconstructing plasmids from whole-genome short-read sequencing data.</w:t>
      </w:r>
      <w:r>
        <w:t xml:space="preserve"> </w:t>
      </w:r>
      <w:r>
        <w:rPr>
          <w:i/>
        </w:rPr>
        <w:t xml:space="preserve">Microbial Genomics</w:t>
      </w:r>
      <w:r>
        <w:t xml:space="preserve">,</w:t>
      </w:r>
      <w:r>
        <w:t xml:space="preserve"> </w:t>
      </w:r>
      <w:r>
        <w:rPr>
          <w:b/>
        </w:rPr>
        <w:t xml:space="preserve">3</w:t>
      </w:r>
      <w:r>
        <w:t xml:space="preserve">.</w:t>
      </w:r>
    </w:p>
    <w:bookmarkEnd w:id="161"/>
    <w:bookmarkStart w:id="163" w:name="ref-5bpLJeyh"/>
    <w:p>
      <w:pPr>
        <w:pStyle w:val="Bibliography"/>
      </w:pPr>
      <w:r>
        <w:t xml:space="preserve">64. Pellow,D., Probst,M., Furman,O., Zorea,A., Segal,A., Mizrahi,I. and Shamir,R. (2020) SCAPP: An algorithm for improved plasmid assembly in metagenomes.</w:t>
      </w:r>
      <w:r>
        <w:t xml:space="preserve"> </w:t>
      </w:r>
      <w:r>
        <w:rPr>
          <w:i/>
        </w:rPr>
        <w:t xml:space="preserve">bioRxiv</w:t>
      </w:r>
      <w:r>
        <w:t xml:space="preserve">,</w:t>
      </w:r>
      <w:r>
        <w:t xml:space="preserve"> </w:t>
      </w:r>
      <w:hyperlink r:id="rId162">
        <w:r>
          <w:rPr>
            <w:rStyle w:val="Hyperlink"/>
          </w:rPr>
          <w:t xml:space="preserve">10.1101/2020.01.12.903252</w:t>
        </w:r>
      </w:hyperlink>
      <w:r>
        <w:t xml:space="preserve">.</w:t>
      </w:r>
    </w:p>
    <w:bookmarkEnd w:id="163"/>
    <w:bookmarkStart w:id="165" w:name="ref-GW6Ed5Sw"/>
    <w:p>
      <w:pPr>
        <w:pStyle w:val="Bibliography"/>
      </w:pPr>
      <w:r>
        <w:t xml:space="preserve">65. Giguere,D.J., Bahcheli,A.T., Joris,B.R., Paulssen,J.M., Gieg,L.M., Flatley,M.W. and Gloor,G.B. (2020) Complete and validated genomes from a metagenome.</w:t>
      </w:r>
      <w:r>
        <w:t xml:space="preserve"> </w:t>
      </w:r>
      <w:r>
        <w:rPr>
          <w:i/>
        </w:rPr>
        <w:t xml:space="preserve">bioRxiv</w:t>
      </w:r>
      <w:r>
        <w:t xml:space="preserve">,</w:t>
      </w:r>
      <w:r>
        <w:t xml:space="preserve"> </w:t>
      </w:r>
      <w:hyperlink r:id="rId164">
        <w:r>
          <w:rPr>
            <w:rStyle w:val="Hyperlink"/>
          </w:rPr>
          <w:t xml:space="preserve">10.1101/2020.04.08.032540</w:t>
        </w:r>
      </w:hyperlink>
      <w:r>
        <w:t xml:space="preserve">.</w:t>
      </w:r>
    </w:p>
    <w:bookmarkEnd w:id="165"/>
    <w:bookmarkStart w:id="166" w:name="ref-8IMKGJe4"/>
    <w:p>
      <w:pPr>
        <w:pStyle w:val="Bibliography"/>
      </w:pPr>
      <w:r>
        <w:t xml:space="preserve">66. Suzuki,Y., Nishijima,S., Furuta,Y., Yoshimura,J., Suda,W., Oshima,K., Hattori,M. and Morishita,S. (2019) Long-read metagenomic exploration of extrachromosomal mobile genetic elements in the human gut.</w:t>
      </w:r>
      <w:r>
        <w:t xml:space="preserve"> </w:t>
      </w:r>
      <w:r>
        <w:rPr>
          <w:i/>
        </w:rPr>
        <w:t xml:space="preserve">Microbiome</w:t>
      </w:r>
      <w:r>
        <w:t xml:space="preserve">,</w:t>
      </w:r>
      <w:r>
        <w:t xml:space="preserve"> </w:t>
      </w:r>
      <w:r>
        <w:rPr>
          <w:b/>
        </w:rPr>
        <w:t xml:space="preserve">7</w:t>
      </w:r>
      <w:r>
        <w:t xml:space="preserve">.</w:t>
      </w:r>
    </w:p>
    <w:bookmarkEnd w:id="166"/>
    <w:bookmarkStart w:id="167" w:name="ref-cMfI5dpb"/>
    <w:p>
      <w:pPr>
        <w:pStyle w:val="Bibliography"/>
      </w:pPr>
      <w:r>
        <w:t xml:space="preserve">67. Ravi,A., Halstead,F.D., Bamford,A., Casey,A., Thomson,N.M., van Schaik,W., Snelson,C., Goulden,R., Foster-Nyarko,E. and Savva,G.M.</w:t>
      </w:r>
      <w:r>
        <w:t xml:space="preserve"> </w:t>
      </w:r>
      <w:r>
        <w:rPr>
          <w:i/>
        </w:rPr>
        <w:t xml:space="preserve">et al.</w:t>
      </w:r>
      <w:r>
        <w:t xml:space="preserve"> </w:t>
      </w:r>
      <w:r>
        <w:t xml:space="preserve">(2019) Loss of microbial diversity and pathogen domination of the gut microbiota in critically ill patients.</w:t>
      </w:r>
      <w:r>
        <w:t xml:space="preserve"> </w:t>
      </w:r>
      <w:r>
        <w:rPr>
          <w:i/>
        </w:rPr>
        <w:t xml:space="preserve">Microbial Genomics</w:t>
      </w:r>
      <w:r>
        <w:t xml:space="preserve">,</w:t>
      </w:r>
      <w:r>
        <w:t xml:space="preserve"> </w:t>
      </w:r>
      <w:r>
        <w:rPr>
          <w:b/>
        </w:rPr>
        <w:t xml:space="preserve">5</w:t>
      </w:r>
      <w:r>
        <w:t xml:space="preserve">.</w:t>
      </w:r>
    </w:p>
    <w:bookmarkEnd w:id="167"/>
    <w:bookmarkStart w:id="168" w:name="ref-YRviGlC7"/>
    <w:p>
      <w:pPr>
        <w:pStyle w:val="Bibliography"/>
      </w:pPr>
      <w:r>
        <w:t xml:space="preserve">68. Liu,Z., Klümper,U., Liu,Y., Yang,Y., Wei,Q., Lin,J.-G., Gu,J.-D. and Li,M. (2019) Metagenomic and metatranscriptomic analyses reveal activity and hosts of antibiotic resistance genes in activated sludge.</w:t>
      </w:r>
      <w:r>
        <w:t xml:space="preserve"> </w:t>
      </w:r>
      <w:r>
        <w:rPr>
          <w:i/>
        </w:rPr>
        <w:t xml:space="preserve">Environment International</w:t>
      </w:r>
      <w:r>
        <w:t xml:space="preserve">,</w:t>
      </w:r>
      <w:r>
        <w:t xml:space="preserve"> </w:t>
      </w:r>
      <w:r>
        <w:rPr>
          <w:b/>
        </w:rPr>
        <w:t xml:space="preserve">129</w:t>
      </w:r>
      <w:r>
        <w:t xml:space="preserve">, 208–220.</w:t>
      </w:r>
    </w:p>
    <w:bookmarkEnd w:id="168"/>
    <w:bookmarkStart w:id="170" w:name="ref-FONzPbL9"/>
    <w:p>
      <w:pPr>
        <w:pStyle w:val="Bibliography"/>
      </w:pPr>
      <w:r>
        <w:t xml:space="preserve">69. Newberry,E., Bhandari,R., Kemble,J., Sikora,E. and Potnis,N. (2020) Genome-resolved metagenomics to study co-occurrence patterns and intraspecific heterogeneity among plant pathogen metapopulations.</w:t>
      </w:r>
      <w:r>
        <w:t xml:space="preserve"> </w:t>
      </w:r>
      <w:r>
        <w:rPr>
          <w:i/>
        </w:rPr>
        <w:t xml:space="preserve">Environmental Microbiology</w:t>
      </w:r>
      <w:r>
        <w:t xml:space="preserve">,</w:t>
      </w:r>
      <w:r>
        <w:t xml:space="preserve"> </w:t>
      </w:r>
      <w:hyperlink r:id="rId169">
        <w:r>
          <w:rPr>
            <w:rStyle w:val="Hyperlink"/>
          </w:rPr>
          <w:t xml:space="preserve">10.1111/1462-2920.14989</w:t>
        </w:r>
      </w:hyperlink>
      <w:r>
        <w:t xml:space="preserve">.</w:t>
      </w:r>
    </w:p>
    <w:bookmarkEnd w:id="170"/>
    <w:bookmarkStart w:id="171" w:name="ref-fQs94ZPa"/>
    <w:p>
      <w:pPr>
        <w:pStyle w:val="Bibliography"/>
      </w:pPr>
      <w:r>
        <w:t xml:space="preserve">70. Zhang,Y., Kitajima,M., Whittle,A.J. and Liu,W.-T. (2017) Benefits of Genomic Insights and CRISPR-Cas Signatures to Monitor Potential Pathogens across Drinking Water Production and Distribution Systems.</w:t>
      </w:r>
      <w:r>
        <w:t xml:space="preserve"> </w:t>
      </w:r>
      <w:r>
        <w:rPr>
          <w:i/>
        </w:rPr>
        <w:t xml:space="preserve">Frontiers in Microbiology</w:t>
      </w:r>
      <w:r>
        <w:t xml:space="preserve">,</w:t>
      </w:r>
      <w:r>
        <w:t xml:space="preserve"> </w:t>
      </w:r>
      <w:r>
        <w:rPr>
          <w:b/>
        </w:rPr>
        <w:t xml:space="preserve">8</w:t>
      </w:r>
      <w:r>
        <w:t xml:space="preserve">.</w:t>
      </w:r>
    </w:p>
    <w:bookmarkEnd w:id="171"/>
    <w:bookmarkStart w:id="172" w:name="ref-WJT5of5h"/>
    <w:p>
      <w:pPr>
        <w:pStyle w:val="Bibliography"/>
      </w:pPr>
      <w:r>
        <w:t xml:space="preserve">71. Huang,A.D., Luo,C., Pena-Gonzalez,A., Weigand,M.R., Tarr,C.L. and Konstantinidis,K.T. (2016) Metagenomics of Two Severe Foodborne Outbreaks Provides Diagnostic Signatures and Signs of Coinfection Not Attainable by Traditional Methods.</w:t>
      </w:r>
      <w:r>
        <w:t xml:space="preserve"> </w:t>
      </w:r>
      <w:r>
        <w:rPr>
          <w:i/>
        </w:rPr>
        <w:t xml:space="preserve">Applied and Environmental Microbiology</w:t>
      </w:r>
      <w:r>
        <w:t xml:space="preserve">,</w:t>
      </w:r>
      <w:r>
        <w:t xml:space="preserve"> </w:t>
      </w:r>
      <w:r>
        <w:rPr>
          <w:b/>
        </w:rPr>
        <w:t xml:space="preserve">83</w:t>
      </w:r>
      <w:r>
        <w:t xml:space="preserve">.</w:t>
      </w:r>
    </w:p>
    <w:bookmarkEnd w:id="172"/>
    <w:bookmarkStart w:id="173" w:name="ref-1EZyZrHhJ"/>
    <w:p>
      <w:pPr>
        <w:pStyle w:val="Bibliography"/>
      </w:pPr>
      <w:r>
        <w:t xml:space="preserve">72. Klassen,J.L. and Currie,C.R. (2012) Gene fragmentation in bacterial draft genomes: extent, consequences and mitigation.</w:t>
      </w:r>
      <w:r>
        <w:t xml:space="preserve"> </w:t>
      </w:r>
      <w:r>
        <w:rPr>
          <w:i/>
        </w:rPr>
        <w:t xml:space="preserve">BMC Genomics</w:t>
      </w:r>
      <w:r>
        <w:t xml:space="preserve">,</w:t>
      </w:r>
      <w:r>
        <w:t xml:space="preserve"> </w:t>
      </w:r>
      <w:r>
        <w:rPr>
          <w:b/>
        </w:rPr>
        <w:t xml:space="preserve">13</w:t>
      </w:r>
      <w:r>
        <w:t xml:space="preserve">, 14.</w:t>
      </w:r>
    </w:p>
    <w:bookmarkEnd w:id="173"/>
    <w:bookmarkStart w:id="174" w:name="ref-MdKqt622"/>
    <w:p>
      <w:pPr>
        <w:pStyle w:val="Bibliography"/>
      </w:pPr>
      <w:r>
        <w:t xml:space="preserve">73. Abayasekara,L.M., Perera,J., Chandrasekharan,V., Gnanam,V.S., Udunuwara,N.A., Liyanage,D.S., Bulathsinhala,N.E., Adikary,S., Aluthmuhandiram,J.V.S. and Thanaseelan,C.S.</w:t>
      </w:r>
      <w:r>
        <w:t xml:space="preserve"> </w:t>
      </w:r>
      <w:r>
        <w:rPr>
          <w:i/>
        </w:rPr>
        <w:t xml:space="preserve">et al.</w:t>
      </w:r>
      <w:r>
        <w:t xml:space="preserve"> </w:t>
      </w:r>
      <w:r>
        <w:t xml:space="preserve">(2017) Detection of bacterial pathogens from clinical specimens using conventional microbial culture and 16S metagenomics: a comparative study.</w:t>
      </w:r>
      <w:r>
        <w:t xml:space="preserve"> </w:t>
      </w:r>
      <w:r>
        <w:rPr>
          <w:i/>
        </w:rPr>
        <w:t xml:space="preserve">BMC Infectious Diseases</w:t>
      </w:r>
      <w:r>
        <w:t xml:space="preserve">,</w:t>
      </w:r>
      <w:r>
        <w:t xml:space="preserve"> </w:t>
      </w:r>
      <w:r>
        <w:rPr>
          <w:b/>
        </w:rPr>
        <w:t xml:space="preserve">17</w:t>
      </w:r>
      <w:r>
        <w:t xml:space="preserve">.</w:t>
      </w:r>
    </w:p>
    <w:bookmarkEnd w:id="174"/>
    <w:bookmarkStart w:id="175" w:name="ref-zxPEyXfK"/>
    <w:p>
      <w:pPr>
        <w:pStyle w:val="Bibliography"/>
      </w:pPr>
      <w:r>
        <w:t xml:space="preserve">74. Rogers,G.B., Carroll,M.P., Serisier,D.J., Hockey,P.M., Jones,G. and Bruce,K.D. (2004) Characterization of Bacterial Community Diversity in Cystic Fibrosis Lung Infections by Use of 16S Ribosomal DNA Terminal Restriction Fragment Length Polymorphism Profiling.</w:t>
      </w:r>
      <w:r>
        <w:t xml:space="preserve"> </w:t>
      </w:r>
      <w:r>
        <w:rPr>
          <w:i/>
        </w:rPr>
        <w:t xml:space="preserve">Journal of Clinical Microbiology</w:t>
      </w:r>
      <w:r>
        <w:t xml:space="preserve">,</w:t>
      </w:r>
      <w:r>
        <w:t xml:space="preserve"> </w:t>
      </w:r>
      <w:r>
        <w:rPr>
          <w:b/>
        </w:rPr>
        <w:t xml:space="preserve">42</w:t>
      </w:r>
      <w:r>
        <w:t xml:space="preserve">, 5176–5183.</w:t>
      </w:r>
    </w:p>
    <w:bookmarkEnd w:id="175"/>
    <w:bookmarkStart w:id="176" w:name="ref-mUmGRb3J"/>
    <w:p>
      <w:pPr>
        <w:pStyle w:val="Bibliography"/>
      </w:pPr>
      <w:r>
        <w:t xml:space="preserve">75. Freitas,A.C., Chaban,B., Bocking,A., Rocco,M., Yang,S., Hill,J.E., Money,D.M. and The VOGUE Research Group (2017) The vaginal microbiome of pregnant women is less rich and diverse, with lower prevalence of Mollicutes, compared to non-pregnant women.</w:t>
      </w:r>
      <w:r>
        <w:t xml:space="preserve"> </w:t>
      </w:r>
      <w:r>
        <w:rPr>
          <w:i/>
        </w:rPr>
        <w:t xml:space="preserve">Scientific Reports</w:t>
      </w:r>
      <w:r>
        <w:t xml:space="preserve">,</w:t>
      </w:r>
      <w:r>
        <w:t xml:space="preserve"> </w:t>
      </w:r>
      <w:r>
        <w:rPr>
          <w:b/>
        </w:rPr>
        <w:t xml:space="preserve">7</w:t>
      </w:r>
      <w:r>
        <w:t xml:space="preserve">.</w:t>
      </w:r>
    </w:p>
    <w:bookmarkEnd w:id="176"/>
    <w:bookmarkStart w:id="177" w:name="ref-IkpDSlIL"/>
    <w:p>
      <w:pPr>
        <w:pStyle w:val="Bibliography"/>
      </w:pPr>
      <w:r>
        <w:t xml:space="preserve">76. Gołębiewski,M., Deja-Sikora,E., Cichosz,M., Tretyn,A. and Wróbel,B. (2014) 16S rDNA Pyrosequencing Analysis of Bacterial Community in Heavy Metals Polluted Soils.</w:t>
      </w:r>
      <w:r>
        <w:t xml:space="preserve"> </w:t>
      </w:r>
      <w:r>
        <w:rPr>
          <w:i/>
        </w:rPr>
        <w:t xml:space="preserve">Microbial Ecology</w:t>
      </w:r>
      <w:r>
        <w:t xml:space="preserve">,</w:t>
      </w:r>
      <w:r>
        <w:t xml:space="preserve"> </w:t>
      </w:r>
      <w:r>
        <w:rPr>
          <w:b/>
        </w:rPr>
        <w:t xml:space="preserve">67</w:t>
      </w:r>
      <w:r>
        <w:t xml:space="preserve">, 635–647.</w:t>
      </w:r>
    </w:p>
    <w:bookmarkEnd w:id="177"/>
    <w:bookmarkStart w:id="178" w:name="ref-WU7NeQcW"/>
    <w:p>
      <w:pPr>
        <w:pStyle w:val="Bibliography"/>
      </w:pPr>
      <w:r>
        <w:t xml:space="preserve">77. Youssef,N., Sheik,C.S., Krumholz,L.R., Najar,F.Z., Roe,B.A. and Elshahed,M.S. (2009) Comparison of Species Richness Estimates Obtained Using Nearly Complete Fragments and Simulated Pyrosequencing-Generated Fragments in 16S rRNA Gene-Based Environmental Surveys.</w:t>
      </w:r>
      <w:r>
        <w:t xml:space="preserve"> </w:t>
      </w:r>
      <w:r>
        <w:rPr>
          <w:i/>
        </w:rPr>
        <w:t xml:space="preserve">Applied and Environmental Microbiology</w:t>
      </w:r>
      <w:r>
        <w:t xml:space="preserve">,</w:t>
      </w:r>
      <w:r>
        <w:t xml:space="preserve"> </w:t>
      </w:r>
      <w:r>
        <w:rPr>
          <w:b/>
        </w:rPr>
        <w:t xml:space="preserve">75</w:t>
      </w:r>
      <w:r>
        <w:t xml:space="preserve">, 5227–5236.</w:t>
      </w:r>
    </w:p>
    <w:bookmarkEnd w:id="178"/>
    <w:bookmarkStart w:id="179" w:name="ref-3KTnNd66"/>
    <w:p>
      <w:pPr>
        <w:pStyle w:val="Bibliography"/>
      </w:pPr>
      <w:r>
        <w:t xml:space="preserve">78. Claesson,M.J., O’Sullivan,O., Wang,Q., Nikkilä,J., Marchesi,J.R., Smidt,H., de Vos,W.M., Ross,R.P. and O’Toole,P.W. (2009) Comparative Analysis of Pyrosequencing and a Phylogenetic Microarray for Exploring Microbial Community Structures in the Human Distal Intestine.</w:t>
      </w:r>
      <w:r>
        <w:t xml:space="preserve"> </w:t>
      </w:r>
      <w:r>
        <w:rPr>
          <w:i/>
        </w:rPr>
        <w:t xml:space="preserve">PLoS ONE</w:t>
      </w:r>
      <w:r>
        <w:t xml:space="preserve">,</w:t>
      </w:r>
      <w:r>
        <w:t xml:space="preserve"> </w:t>
      </w:r>
      <w:r>
        <w:rPr>
          <w:b/>
        </w:rPr>
        <w:t xml:space="preserve">4</w:t>
      </w:r>
      <w:r>
        <w:t xml:space="preserve">, e6669.</w:t>
      </w:r>
    </w:p>
    <w:bookmarkEnd w:id="179"/>
    <w:bookmarkStart w:id="180" w:name="ref-69R3Dd1j"/>
    <w:p>
      <w:pPr>
        <w:pStyle w:val="Bibliography"/>
      </w:pPr>
      <w:r>
        <w:t xml:space="preserve">79. Thomas,M., Webb,M., Ghimire,S., Blair,A., Olson,K., Fenske,G.J., Fonder,A.T., Christopher-Hennings,J., Brake,D. and Scaria,J. (2017) Metagenomic characterization of the effect of feed additives on the gut microbiome and antibiotic resistome of feedlot cattle.</w:t>
      </w:r>
      <w:r>
        <w:t xml:space="preserve"> </w:t>
      </w:r>
      <w:r>
        <w:rPr>
          <w:i/>
        </w:rPr>
        <w:t xml:space="preserve">Scientific Reports</w:t>
      </w:r>
      <w:r>
        <w:t xml:space="preserve">,</w:t>
      </w:r>
      <w:r>
        <w:t xml:space="preserve"> </w:t>
      </w:r>
      <w:r>
        <w:rPr>
          <w:b/>
        </w:rPr>
        <w:t xml:space="preserve">7</w:t>
      </w:r>
      <w:r>
        <w:t xml:space="preserve">.</w:t>
      </w:r>
    </w:p>
    <w:bookmarkEnd w:id="180"/>
    <w:bookmarkStart w:id="181" w:name="ref-18qKF2jNL"/>
    <w:p>
      <w:pPr>
        <w:pStyle w:val="Bibliography"/>
      </w:pPr>
      <w:r>
        <w:t xml:space="preserve">80. Fritz,A., Hofmann,P., Majda,S., Dahms,E., Dröge,J., Fiedler,J., Lesker,T.R., Belmann,P., DeMaere,M.Z. and Darling,A.E.</w:t>
      </w:r>
      <w:r>
        <w:t xml:space="preserve"> </w:t>
      </w:r>
      <w:r>
        <w:rPr>
          <w:i/>
        </w:rPr>
        <w:t xml:space="preserve">et al.</w:t>
      </w:r>
      <w:r>
        <w:t xml:space="preserve"> </w:t>
      </w:r>
      <w:r>
        <w:t xml:space="preserve">(2019) CAMISIM: simulating metagenomes and microbial communities.</w:t>
      </w:r>
      <w:r>
        <w:t xml:space="preserve"> </w:t>
      </w:r>
      <w:r>
        <w:rPr>
          <w:i/>
        </w:rPr>
        <w:t xml:space="preserve">Microbiome</w:t>
      </w:r>
      <w:r>
        <w:t xml:space="preserve">,</w:t>
      </w:r>
      <w:r>
        <w:t xml:space="preserve"> </w:t>
      </w:r>
      <w:r>
        <w:rPr>
          <w:b/>
        </w:rPr>
        <w:t xml:space="preserve">7</w:t>
      </w:r>
      <w:r>
        <w:t xml:space="preserve">.</w:t>
      </w:r>
    </w:p>
    <w:bookmarkEnd w:id="181"/>
    <w:bookmarkStart w:id="182" w:name="ref-4jGCH8lH"/>
    <w:p>
      <w:pPr>
        <w:pStyle w:val="Bibliography"/>
      </w:pPr>
      <w:r>
        <w:t xml:space="preserve">81. Bokulich,N.A., Rideout,J.R., Mercurio,W.G., Shiffer,A., Wolfe,B., Maurice,C.F., Dutton,R.J., Turnbaugh,P.J., Knight,R. and Caporaso,J.G. (2016) mockrobiota: a Public Resource for Microbiome Bioinformatics Benchmarking.</w:t>
      </w:r>
      <w:r>
        <w:t xml:space="preserve"> </w:t>
      </w:r>
      <w:r>
        <w:rPr>
          <w:i/>
        </w:rPr>
        <w:t xml:space="preserve">mSystems</w:t>
      </w:r>
      <w:r>
        <w:t xml:space="preserve">,</w:t>
      </w:r>
      <w:r>
        <w:t xml:space="preserve"> </w:t>
      </w:r>
      <w:r>
        <w:rPr>
          <w:b/>
        </w:rPr>
        <w:t xml:space="preserve">1</w:t>
      </w:r>
      <w:r>
        <w:t xml:space="preserve">.</w:t>
      </w:r>
    </w:p>
    <w:bookmarkEnd w:id="182"/>
    <w:bookmarkStart w:id="183" w:name="ref-1FgkF8i4W"/>
    <w:p>
      <w:pPr>
        <w:pStyle w:val="Bibliography"/>
      </w:pPr>
      <w:r>
        <w:t xml:space="preserve">82. Hunt,M., Mather,A.E., Sánchez-Busó,L., Page,A.J., Parkhill,J., Keane,J.A. and Harris,S.R. (2017) ARIBA: rapid antimicrobial resistance genotyping directly from sequencing reads.</w:t>
      </w:r>
      <w:r>
        <w:t xml:space="preserve"> </w:t>
      </w:r>
      <w:r>
        <w:rPr>
          <w:i/>
        </w:rPr>
        <w:t xml:space="preserve">Microbial Genomics</w:t>
      </w:r>
      <w:r>
        <w:t xml:space="preserve">,</w:t>
      </w:r>
      <w:r>
        <w:t xml:space="preserve"> </w:t>
      </w:r>
      <w:r>
        <w:rPr>
          <w:b/>
        </w:rPr>
        <w:t xml:space="preserve">3</w:t>
      </w:r>
      <w:r>
        <w:t xml:space="preserve">.</w:t>
      </w:r>
    </w:p>
    <w:bookmarkEnd w:id="183"/>
    <w:bookmarkEnd w:id="184"/>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42" Target="github.com/fmaguire/MAG_gi_plasmid_analysis" TargetMode="External" /><Relationship Type="http://schemas.openxmlformats.org/officeDocument/2006/relationships/hyperlink" Id="rId116" Target="https://doi.org/10.1093/bioinformatics/btw290" TargetMode="External" /><Relationship Type="http://schemas.openxmlformats.org/officeDocument/2006/relationships/hyperlink" Id="rId157" Target="https://doi.org/10.1093/nar/gkz935" TargetMode="External" /><Relationship Type="http://schemas.openxmlformats.org/officeDocument/2006/relationships/hyperlink" Id="rId162" Target="https://doi.org/10.1101/2020.01.12.903252" TargetMode="External" /><Relationship Type="http://schemas.openxmlformats.org/officeDocument/2006/relationships/hyperlink" Id="rId164" Target="https://doi.org/10.1101/2020.04.08.032540" TargetMode="External" /><Relationship Type="http://schemas.openxmlformats.org/officeDocument/2006/relationships/hyperlink" Id="rId124" Target="https://doi.org/10.1101/489443" TargetMode="External" /><Relationship Type="http://schemas.openxmlformats.org/officeDocument/2006/relationships/hyperlink" Id="rId169" Target="https://doi.org/10.1111/1462-2920.14989" TargetMode="External" /><Relationship Type="http://schemas.openxmlformats.org/officeDocument/2006/relationships/hyperlink" Id="rId154" Target="https://doi.org/10.5281/zenodo.3629446" TargetMode="External" /><Relationship Type="http://schemas.openxmlformats.org/officeDocument/2006/relationships/hyperlink" Id="rId118" Target="https://doi.org/10.7287/peerj.preprints.27522v1" TargetMode="External" /><Relationship Type="http://schemas.openxmlformats.org/officeDocument/2006/relationships/hyperlink" Id="rId20" Target="https://fmaguire.github.io/mag_sim_paper/v/195029564e9641e9ba18c976e1297fb9db9faa67/"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195029564e9641e9ba18c976e1297fb9db9faa67"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43" Target="osf.io/nrejs/" TargetMode="External" /><Relationship Type="http://schemas.openxmlformats.org/officeDocument/2006/relationships/hyperlink" Id="rId47"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42" Target="github.com/fmaguire/MAG_gi_plasmid_analysis" TargetMode="External" /><Relationship Type="http://schemas.openxmlformats.org/officeDocument/2006/relationships/hyperlink" Id="rId116" Target="https://doi.org/10.1093/bioinformatics/btw290" TargetMode="External" /><Relationship Type="http://schemas.openxmlformats.org/officeDocument/2006/relationships/hyperlink" Id="rId157" Target="https://doi.org/10.1093/nar/gkz935" TargetMode="External" /><Relationship Type="http://schemas.openxmlformats.org/officeDocument/2006/relationships/hyperlink" Id="rId162" Target="https://doi.org/10.1101/2020.01.12.903252" TargetMode="External" /><Relationship Type="http://schemas.openxmlformats.org/officeDocument/2006/relationships/hyperlink" Id="rId164" Target="https://doi.org/10.1101/2020.04.08.032540" TargetMode="External" /><Relationship Type="http://schemas.openxmlformats.org/officeDocument/2006/relationships/hyperlink" Id="rId124" Target="https://doi.org/10.1101/489443" TargetMode="External" /><Relationship Type="http://schemas.openxmlformats.org/officeDocument/2006/relationships/hyperlink" Id="rId169" Target="https://doi.org/10.1111/1462-2920.14989" TargetMode="External" /><Relationship Type="http://schemas.openxmlformats.org/officeDocument/2006/relationships/hyperlink" Id="rId154" Target="https://doi.org/10.5281/zenodo.3629446" TargetMode="External" /><Relationship Type="http://schemas.openxmlformats.org/officeDocument/2006/relationships/hyperlink" Id="rId118" Target="https://doi.org/10.7287/peerj.preprints.27522v1" TargetMode="External" /><Relationship Type="http://schemas.openxmlformats.org/officeDocument/2006/relationships/hyperlink" Id="rId20" Target="https://fmaguire.github.io/mag_sim_paper/v/195029564e9641e9ba18c976e1297fb9db9faa67/"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195029564e9641e9ba18c976e1297fb9db9faa67"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43" Target="osf.io/nrejs/" TargetMode="External" /><Relationship Type="http://schemas.openxmlformats.org/officeDocument/2006/relationships/hyperlink" Id="rId47"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2020-05-21T17:13:44Z</dcterms:created>
  <dcterms:modified xsi:type="dcterms:W3CDTF">2020-05-21T17:13:44Z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2020-05-21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