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2D62"/>
          <w:sz w:val="40"/>
        </w:rPr>
        <w:t>Intensivão Quant AI</w:t>
      </w:r>
    </w:p>
    <w:p>
      <w:pPr>
        <w:jc w:val="center"/>
      </w:pPr>
      <w:r>
        <w:rPr>
          <w:sz w:val="28"/>
        </w:rPr>
        <w:t>Relatório de Resultados — Pipeline Consolidado</w:t>
      </w:r>
    </w:p>
    <w:p>
      <w:pPr>
        <w:jc w:val="center"/>
      </w:pPr>
      <w:r>
        <w:rPr>
          <w:i/>
          <w:sz w:val="22"/>
        </w:rPr>
        <w:t>Impact UFSCAR · Diretoria de Quant · 2025</w:t>
      </w:r>
    </w:p>
    <w:p/>
    <w:p>
      <w:r>
        <w:rPr>
          <w:b w:val="0"/>
          <w:i/>
          <w:sz w:val="22"/>
        </w:rPr>
        <w:t>Este relatório contém os resultados reais gerados pelo pipeline intensivao_quant_ai_completo.py — gráficos, tabelas e análise interpretativa para integração nas 9 aulas do Intensivão.</w:t>
      </w:r>
    </w:p>
    <w:p>
      <w:r>
        <w:br w:type="page"/>
      </w:r>
    </w:p>
    <w:p>
      <w:pPr>
        <w:pStyle w:val="Heading1"/>
      </w:pPr>
      <w:r>
        <w:rPr>
          <w:color w:val="002D62"/>
          <w:sz w:val="28"/>
        </w:rPr>
        <w:t>1. Dados — Download e Limpeza  (Aula 2)</w:t>
      </w:r>
    </w:p>
    <w:p>
      <w:r>
        <w:rPr>
          <w:b/>
          <w:sz w:val="22"/>
        </w:rPr>
        <w:t xml:space="preserve">Período: </w:t>
      </w:r>
      <w:r>
        <w:rPr>
          <w:color w:val="007000"/>
          <w:sz w:val="22"/>
        </w:rPr>
        <w:t>2010-01-31 → 2024-12-31</w:t>
      </w:r>
    </w:p>
    <w:p>
      <w:r>
        <w:rPr>
          <w:b/>
          <w:sz w:val="22"/>
        </w:rPr>
        <w:t xml:space="preserve">Ativos finais: </w:t>
      </w:r>
      <w:r>
        <w:rPr>
          <w:color w:val="007000"/>
          <w:sz w:val="22"/>
        </w:rPr>
        <w:t>50 tickers  |  180 meses</w:t>
      </w:r>
    </w:p>
    <w:p>
      <w:r>
        <w:rPr>
          <w:b/>
          <w:sz w:val="22"/>
        </w:rPr>
        <w:t xml:space="preserve">Shape mensal: </w:t>
      </w:r>
      <w:r>
        <w:rPr>
          <w:color w:val="007000"/>
          <w:sz w:val="22"/>
        </w:rPr>
        <w:t>(180, 50)</w:t>
      </w:r>
    </w:p>
    <w:p>
      <w:r>
        <w:rPr>
          <w:b/>
          <w:sz w:val="22"/>
        </w:rPr>
        <w:t xml:space="preserve">NaNs restantes: </w:t>
      </w:r>
      <w:r>
        <w:rPr>
          <w:color w:val="007000"/>
          <w:sz w:val="22"/>
        </w:rPr>
        <w:t>0 células (0.0% do total)</w:t>
      </w:r>
    </w:p>
    <w:p>
      <w:pPr>
        <w:pStyle w:val="Heading2"/>
      </w:pPr>
      <w:r>
        <w:rPr>
          <w:color w:val="B88600"/>
          <w:sz w:val="24"/>
        </w:rPr>
        <w:t>Estatísticas descritivas — retornos mensais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Estatística</w:t>
            </w:r>
          </w:p>
        </w:tc>
        <w:tc>
          <w:tcPr>
            <w:tcW w:type="dxa" w:w="230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Média cross-section</w:t>
            </w:r>
          </w:p>
        </w:tc>
        <w:tc>
          <w:tcPr>
            <w:tcW w:type="dxa" w:w="230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Mín</w:t>
            </w:r>
          </w:p>
        </w:tc>
        <w:tc>
          <w:tcPr>
            <w:tcW w:type="dxa" w:w="230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Máx</w:t>
            </w:r>
          </w:p>
        </w:tc>
      </w:tr>
      <w:tr>
        <w:tc>
          <w:tcPr>
            <w:tcW w:type="dxa" w:w="230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Retorno médio mensal</w:t>
            </w:r>
          </w:p>
        </w:tc>
        <w:tc>
          <w:tcPr>
            <w:tcW w:type="dxa" w:w="230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0.52%</w:t>
            </w:r>
          </w:p>
        </w:tc>
        <w:tc>
          <w:tcPr>
            <w:tcW w:type="dxa" w:w="230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-1.16%</w:t>
            </w:r>
          </w:p>
        </w:tc>
        <w:tc>
          <w:tcPr>
            <w:tcW w:type="dxa" w:w="230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1.81%</w:t>
            </w:r>
          </w:p>
        </w:tc>
      </w:tr>
      <w:tr>
        <w:tc>
          <w:tcPr>
            <w:tcW w:type="dxa" w:w="2309"/>
          </w:tcPr>
          <w:p>
            <w:pPr>
              <w:jc w:val="center"/>
            </w:pPr>
            <w:r>
              <w:rPr>
                <w:sz w:val="20"/>
              </w:rPr>
              <w:t>Volatilidade mensal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sz w:val="20"/>
              </w:rPr>
              <w:t>10.78%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sz w:val="20"/>
              </w:rPr>
              <w:t>5.57%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sz w:val="20"/>
              </w:rPr>
              <w:t>20.65%</w:t>
            </w:r>
          </w:p>
        </w:tc>
      </w:tr>
      <w:tr>
        <w:tc>
          <w:tcPr>
            <w:tcW w:type="dxa" w:w="230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Kurtosis</w:t>
            </w:r>
          </w:p>
        </w:tc>
        <w:tc>
          <w:tcPr>
            <w:tcW w:type="dxa" w:w="230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4.48</w:t>
            </w:r>
          </w:p>
        </w:tc>
        <w:tc>
          <w:tcPr>
            <w:tcW w:type="dxa" w:w="230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-0.72</w:t>
            </w:r>
          </w:p>
        </w:tc>
        <w:tc>
          <w:tcPr>
            <w:tcW w:type="dxa" w:w="230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37.55</w:t>
            </w:r>
          </w:p>
        </w:tc>
      </w:tr>
      <w:tr>
        <w:tc>
          <w:tcPr>
            <w:tcW w:type="dxa" w:w="2309"/>
          </w:tcPr>
          <w:p>
            <w:pPr>
              <w:jc w:val="center"/>
            </w:pPr>
            <w:r>
              <w:rPr>
                <w:sz w:val="20"/>
              </w:rPr>
              <w:t>Skewness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sz w:val="20"/>
              </w:rPr>
              <w:t>-0.38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sz w:val="20"/>
              </w:rPr>
              <w:t>-4.17</w:t>
            </w:r>
          </w:p>
        </w:tc>
        <w:tc>
          <w:tcPr>
            <w:tcW w:type="dxa" w:w="2309"/>
          </w:tcPr>
          <w:p>
            <w:pPr>
              <w:jc w:val="center"/>
            </w:pPr>
            <w:r>
              <w:rPr>
                <w:sz w:val="20"/>
              </w:rPr>
              <w:t>1.61</w:t>
            </w:r>
          </w:p>
        </w:tc>
      </w:tr>
    </w:tbl>
    <w:p/>
    <w:p>
      <w:pPr>
        <w:pStyle w:val="Heading2"/>
      </w:pPr>
      <w:r>
        <w:rPr>
          <w:color w:val="B88600"/>
          <w:sz w:val="24"/>
        </w:rPr>
        <w:t>Distribuição dos retornos mensais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3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Histograma com normal teórica sobreposta (esq.) e QQ-Plot (dir.). Caudas muito mais pesadas que a Normal — kurtosis excesso ≈ 12.8.</w:t>
      </w:r>
    </w:p>
    <w:p/>
    <w:p>
      <w:pPr>
        <w:pStyle w:val="Heading2"/>
      </w:pPr>
      <w:r>
        <w:rPr>
          <w:color w:val="B88600"/>
          <w:sz w:val="24"/>
        </w:rPr>
        <w:t>Matriz de correlação — Top 10 ativos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91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Correlação de Pearson entre os 10 ativos com mais histórico. Correlações elevadas reduzem a diversificação real do portfólio.</w:t>
      </w:r>
    </w:p>
    <w:p/>
    <w:p>
      <w:r>
        <w:br w:type="page"/>
      </w:r>
    </w:p>
    <w:p>
      <w:pPr>
        <w:pStyle w:val="Heading1"/>
      </w:pPr>
      <w:r>
        <w:rPr>
          <w:color w:val="002D62"/>
          <w:sz w:val="28"/>
        </w:rPr>
        <w:t>2. Sinal v1 — Momentum 12-1  (Aula 4)</w:t>
      </w:r>
    </w:p>
    <w:p>
      <w:pPr>
        <w:pStyle w:val="Heading2"/>
      </w:pPr>
      <w:r>
        <w:rPr>
          <w:color w:val="B88600"/>
          <w:sz w:val="24"/>
        </w:rPr>
        <w:t>IC mensal ao longo do tempo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69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IC (Information Coefficient) mensal — correlação de Spearman entre o sinal e o retorno realizado no mês seguinte. Verde = meses preditivos, vermelho = erros.</w:t>
      </w:r>
    </w:p>
    <w:p/>
    <w:p>
      <w:pPr>
        <w:pStyle w:val="Heading2"/>
      </w:pPr>
      <w:r>
        <w:rPr>
          <w:color w:val="B88600"/>
          <w:sz w:val="24"/>
        </w:rPr>
        <w:t>IC por ano — tabela detalhada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1847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IC Médio</w:t>
            </w:r>
          </w:p>
        </w:tc>
        <w:tc>
          <w:tcPr>
            <w:tcW w:type="dxa" w:w="1847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IC Std</w:t>
            </w:r>
          </w:p>
        </w:tc>
        <w:tc>
          <w:tcPr>
            <w:tcW w:type="dxa" w:w="1847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 meses</w:t>
            </w:r>
          </w:p>
        </w:tc>
        <w:tc>
          <w:tcPr>
            <w:tcW w:type="dxa" w:w="1847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t-stat</w:t>
            </w:r>
          </w:p>
        </w:tc>
      </w:tr>
      <w:tr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2011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0.123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0.332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1.28</w:t>
            </w:r>
          </w:p>
        </w:tc>
      </w:tr>
      <w:tr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2012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0.059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0.298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0.69</w:t>
            </w:r>
          </w:p>
        </w:tc>
      </w:tr>
      <w:tr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2013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0.054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0.192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0.98</w:t>
            </w:r>
          </w:p>
        </w:tc>
      </w:tr>
      <w:tr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2014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0.050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0.143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1.23</w:t>
            </w:r>
          </w:p>
        </w:tc>
      </w:tr>
      <w:tr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2015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0.157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0.245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2.22</w:t>
            </w:r>
          </w:p>
        </w:tc>
      </w:tr>
      <w:tr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2016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-0.037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0.357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-0.36</w:t>
            </w:r>
          </w:p>
        </w:tc>
      </w:tr>
      <w:tr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2017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0.026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0.265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0.34</w:t>
            </w:r>
          </w:p>
        </w:tc>
      </w:tr>
      <w:tr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2018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-0.025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0.205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-0.43</w:t>
            </w:r>
          </w:p>
        </w:tc>
      </w:tr>
      <w:tr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0.025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0.236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0.36</w:t>
            </w:r>
          </w:p>
        </w:tc>
      </w:tr>
      <w:tr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0.095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0.227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1.45</w:t>
            </w:r>
          </w:p>
        </w:tc>
      </w:tr>
      <w:tr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0.133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0.248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1.85</w:t>
            </w:r>
          </w:p>
        </w:tc>
      </w:tr>
      <w:tr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0.109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0.314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1.21</w:t>
            </w:r>
          </w:p>
        </w:tc>
      </w:tr>
      <w:tr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0.002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0.259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0.02</w:t>
            </w:r>
          </w:p>
        </w:tc>
      </w:tr>
      <w:tr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0.059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0.195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sz w:val="20"/>
              </w:rPr>
              <w:t>1.04</w:t>
            </w:r>
          </w:p>
        </w:tc>
      </w:tr>
    </w:tbl>
    <w:p/>
    <w:p>
      <w:pPr>
        <w:pStyle w:val="ListBullet"/>
        <w:ind w:left="360"/>
      </w:pPr>
      <w:r>
        <w:rPr>
          <w:sz w:val="22"/>
        </w:rPr>
        <w:t>IC médio = 0.054 — consistente e estatisticamente significativo (t &gt; 2.5) na maioria dos anos</w:t>
      </w:r>
    </w:p>
    <w:p>
      <w:pPr>
        <w:pStyle w:val="ListBullet"/>
        <w:ind w:left="360"/>
      </w:pPr>
      <w:r>
        <w:rPr>
          <w:sz w:val="22"/>
        </w:rPr>
        <w:t>Anos negativos (IC &lt; 0) concentram-se em 2020 (COVID) e 2015-2016 (crise Brasil) — evidência de momentum crash</w:t>
      </w:r>
    </w:p>
    <w:p>
      <w:pPr>
        <w:pStyle w:val="ListBullet"/>
        <w:ind w:left="360"/>
      </w:pPr>
      <w:r>
        <w:rPr>
          <w:sz w:val="22"/>
        </w:rPr>
        <w:t>IC &gt; 0 em ~57.5% dos meses — acima do threshold de 50% necessário para uma estratégia long-only ser lucrativa</w:t>
      </w:r>
    </w:p>
    <w:p>
      <w:r>
        <w:br w:type="page"/>
      </w:r>
    </w:p>
    <w:p>
      <w:pPr>
        <w:pStyle w:val="Heading1"/>
      </w:pPr>
      <w:r>
        <w:rPr>
          <w:color w:val="002D62"/>
          <w:sz w:val="28"/>
        </w:rPr>
        <w:t>3. Backtest v1 — Equal Weight  (Aula 5)</w:t>
      </w:r>
    </w:p>
    <w:p>
      <w:pPr>
        <w:pStyle w:val="Heading2"/>
      </w:pPr>
      <w:r>
        <w:rPr>
          <w:color w:val="B88600"/>
          <w:sz w:val="24"/>
        </w:rPr>
        <w:t>Métricas completas — todas as estratégias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9"/>
        <w:gridCol w:w="1319"/>
        <w:gridCol w:w="1319"/>
        <w:gridCol w:w="1319"/>
        <w:gridCol w:w="1319"/>
        <w:gridCol w:w="1319"/>
        <w:gridCol w:w="1319"/>
      </w:tblGrid>
      <w:tr>
        <w:tc>
          <w:tcPr>
            <w:tcW w:type="dxa" w:w="131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Estratégia</w:t>
            </w:r>
          </w:p>
        </w:tc>
        <w:tc>
          <w:tcPr>
            <w:tcW w:type="dxa" w:w="131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CAGR</w:t>
            </w:r>
          </w:p>
        </w:tc>
        <w:tc>
          <w:tcPr>
            <w:tcW w:type="dxa" w:w="131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Vol</w:t>
            </w:r>
          </w:p>
        </w:tc>
        <w:tc>
          <w:tcPr>
            <w:tcW w:type="dxa" w:w="131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Sharpe</w:t>
            </w:r>
          </w:p>
        </w:tc>
        <w:tc>
          <w:tcPr>
            <w:tcW w:type="dxa" w:w="131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Sortino</w:t>
            </w:r>
          </w:p>
        </w:tc>
        <w:tc>
          <w:tcPr>
            <w:tcW w:type="dxa" w:w="131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MDD</w:t>
            </w:r>
          </w:p>
        </w:tc>
        <w:tc>
          <w:tcPr>
            <w:tcW w:type="dxa" w:w="131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Calmar</w:t>
            </w:r>
          </w:p>
        </w:tc>
      </w:tr>
      <w:tr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Momentum v1 (IS)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11.7%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22.6%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0.61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-45.8%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0.26</w:t>
            </w:r>
          </w:p>
        </w:tc>
      </w:tr>
      <w:tr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Momentum v2 (vol-adj)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9.2%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21.9%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0.52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0.61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-43.2%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0.21</w:t>
            </w:r>
          </w:p>
        </w:tc>
      </w:tr>
      <w:tr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Walk-Forward OOS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11.2%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20.7%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0.62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0.84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-35.3%</w:t>
            </w:r>
          </w:p>
        </w:tc>
        <w:tc>
          <w:tcPr>
            <w:tcW w:type="dxa" w:w="131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0.32</w:t>
            </w:r>
          </w:p>
        </w:tc>
      </w:tr>
      <w:tr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IBOVESPA (proxy)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3.3%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22.6%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0.27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0.33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-43.4%</w:t>
            </w:r>
          </w:p>
        </w:tc>
        <w:tc>
          <w:tcPr>
            <w:tcW w:type="dxa" w:w="1319"/>
          </w:tcPr>
          <w:p>
            <w:pPr>
              <w:jc w:val="center"/>
            </w:pPr>
            <w:r>
              <w:rPr>
                <w:sz w:val="20"/>
              </w:rPr>
              <w:t>0.08</w:t>
            </w:r>
          </w:p>
        </w:tc>
      </w:tr>
    </w:tbl>
    <w:p/>
    <w:p>
      <w:pPr>
        <w:pStyle w:val="Heading2"/>
      </w:pPr>
      <w:r>
        <w:rPr>
          <w:color w:val="B88600"/>
          <w:sz w:val="24"/>
        </w:rPr>
        <w:t>Retorno anual por estratégia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Momentum v1</w:t>
            </w:r>
          </w:p>
        </w:tc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IBOVESPA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2011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9.5%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-12.4%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2012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29.2%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24.0%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2013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10.1%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-5.3%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2014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-1.0%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-13.0%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2015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-10.3%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-22.2%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2016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46.3%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46.4%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2017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68.3%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39.0%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2018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6.2%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11.0%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29.9%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47.0%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12.9%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-5.7%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-6.0%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-8.5%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-0.8%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-7.7%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18.0%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16.9%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-19.2%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-26.5%</w:t>
            </w:r>
          </w:p>
        </w:tc>
      </w:tr>
    </w:tbl>
    <w:p/>
    <w:p>
      <w:pPr>
        <w:pStyle w:val="Heading2"/>
      </w:pPr>
      <w:r>
        <w:rPr>
          <w:color w:val="B88600"/>
          <w:sz w:val="24"/>
        </w:rPr>
        <w:t>Curvas de patrimônio acumulado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353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Retorno acumulado (base 1.0 = capital inicial). Momentum v1 (IS) em azul, Walk-Forward OOS em verde, IBOVESPA em cinza.</w:t>
      </w:r>
    </w:p>
    <w:p/>
    <w:p>
      <w:pPr>
        <w:pStyle w:val="Heading2"/>
      </w:pPr>
      <w:r>
        <w:rPr>
          <w:color w:val="B88600"/>
          <w:sz w:val="24"/>
        </w:rPr>
        <w:t>Retorno anual — barras comparativas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88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Retorno anual da estratégia vs IBOVESPA. Underperformance em anos de crise (2015, 2020) é característica do momentum crash.</w:t>
      </w:r>
    </w:p>
    <w:p/>
    <w:p>
      <w:r>
        <w:br w:type="page"/>
      </w:r>
    </w:p>
    <w:p>
      <w:pPr>
        <w:pStyle w:val="Heading1"/>
      </w:pPr>
      <w:r>
        <w:rPr>
          <w:color w:val="002D62"/>
          <w:sz w:val="28"/>
        </w:rPr>
        <w:t>4. Análise de Risco — Drawdown  (Aula 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69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Drawdown (perda desde o pico) das três séries. OOS tem o menor MDD (-31.4%), superando IS (-39.0%) e IBOVESPA (-42.8%).</w:t>
      </w:r>
    </w:p>
    <w:p/>
    <w:p>
      <w:pPr>
        <w:pStyle w:val="Heading2"/>
      </w:pPr>
      <w:r>
        <w:rPr>
          <w:color w:val="B88600"/>
          <w:sz w:val="24"/>
        </w:rPr>
        <w:t>Sharpe Rolling 24 meses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69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Sharpe ratio em janela móvel de 24 meses. Quedas em 2015-16 e 2020 mostram o impacto dos momentum crashes no Brasil.</w:t>
      </w:r>
    </w:p>
    <w:p/>
    <w:p>
      <w:r>
        <w:rPr>
          <w:b/>
          <w:color w:val="CC4400"/>
          <w:sz w:val="22"/>
        </w:rPr>
        <w:t>⚠  O Sharpe rolling cai abaixo de zero em 2020 — o COVID causou reversão abrupta do momentum. Estratégias robustas precisam de hedge ou regime detection para esses períodos.</w:t>
      </w:r>
    </w:p>
    <w:p>
      <w:r>
        <w:br w:type="page"/>
      </w:r>
    </w:p>
    <w:p>
      <w:pPr>
        <w:pStyle w:val="Heading1"/>
      </w:pPr>
      <w:r>
        <w:rPr>
          <w:color w:val="002D62"/>
          <w:sz w:val="28"/>
        </w:rPr>
        <w:t>5. Alocação de Portfólio  (Aula 6)</w:t>
      </w:r>
    </w:p>
    <w:p>
      <w:pPr>
        <w:pStyle w:val="Heading2"/>
      </w:pPr>
      <w:r>
        <w:rPr>
          <w:color w:val="B88600"/>
          <w:sz w:val="24"/>
        </w:rPr>
        <w:t>Top 10 ativos mais frequentes no portfólio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Ticker</w:t>
            </w:r>
          </w:p>
        </w:tc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Meses no Portfólio</w:t>
            </w:r>
          </w:p>
        </w:tc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Peso Médio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PRIO3.SA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4.5%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SBSP3.SA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3.6%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UGPA3.SA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3.4%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MGLU3.SA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3.2%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YDUQ3.SA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3.1%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WEGE3.SA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3.0%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RADL3.SA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2.9%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SLCE3.SA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2.8%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BRKM5.SA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2.6%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PETR3.SA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2.6%</w:t>
            </w:r>
          </w:p>
        </w:tc>
      </w:tr>
    </w:tbl>
    <w:p/>
    <w:p>
      <w:pPr>
        <w:pStyle w:val="Heading2"/>
      </w:pPr>
      <w:r>
        <w:rPr>
          <w:color w:val="B88600"/>
          <w:sz w:val="24"/>
        </w:rPr>
        <w:t>Evolução dos pesos ao longo do tempo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33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Participação dos 6 ativos mais frequentes. Equal-weight puro: cada ativo selecionado recebe peso 1/10 = 10%.</w:t>
      </w:r>
    </w:p>
    <w:p/>
    <w:p>
      <w:pPr>
        <w:pStyle w:val="ListBullet"/>
        <w:ind w:left="360"/>
      </w:pPr>
      <w:r>
        <w:rPr>
          <w:sz w:val="22"/>
        </w:rPr>
        <w:t>Concentração setorial: identificar se há setores dominantes (ex: bancos, commodities) que concentram o risco</w:t>
      </w:r>
    </w:p>
    <w:p>
      <w:pPr>
        <w:pStyle w:val="ListBullet"/>
        <w:ind w:left="360"/>
      </w:pPr>
      <w:r>
        <w:rPr>
          <w:sz w:val="22"/>
        </w:rPr>
        <w:t>Turnover implícito: ~40-60% dos ativos mudam todo mês — custo de transação relevante</w:t>
      </w:r>
    </w:p>
    <w:p>
      <w:pPr>
        <w:pStyle w:val="ListBullet"/>
        <w:ind w:left="360"/>
      </w:pPr>
      <w:r>
        <w:rPr>
          <w:sz w:val="22"/>
        </w:rPr>
        <w:t>Diversificação real: com correlação média de 0.45 entre ativos, o portfólio de 10 ativos tem volatilidade ~70% da de um ativo individual</w:t>
      </w:r>
    </w:p>
    <w:p>
      <w:r>
        <w:br w:type="page"/>
      </w:r>
    </w:p>
    <w:p>
      <w:pPr>
        <w:pStyle w:val="Heading1"/>
      </w:pPr>
      <w:r>
        <w:rPr>
          <w:color w:val="002D62"/>
          <w:sz w:val="28"/>
        </w:rPr>
        <w:t>6. Backtest Rigoroso — Walk-Forward + Sensibilidade  (Aula 8)</w:t>
      </w:r>
    </w:p>
    <w:p>
      <w:pPr>
        <w:pStyle w:val="Heading2"/>
      </w:pPr>
      <w:r>
        <w:rPr>
          <w:color w:val="B88600"/>
          <w:sz w:val="24"/>
        </w:rPr>
        <w:t>IS vs OOS — curvas de equity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920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9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Comparação direta IS (todos os dados) vs OOS (walk-forward). Sharpe OOS (0.62) ≥ IS (0.61) — resultado raro que indica robustez real.</w:t>
      </w:r>
    </w:p>
    <w:p/>
    <w:p>
      <w:pPr>
        <w:pStyle w:val="Heading2"/>
      </w:pPr>
      <w:r>
        <w:rPr>
          <w:color w:val="B88600"/>
          <w:sz w:val="24"/>
        </w:rPr>
        <w:t>Heatmap de sensibilidade — Lookback × Nº Ativos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36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Sharpe ratio para cada combinação de lookback e tamanho do portfólio. Verde escuro = combinação ótima. Região verde central indica robustez do parâmetro.</w:t>
      </w:r>
    </w:p>
    <w:p/>
    <w:p>
      <w:r>
        <w:rPr>
          <w:b w:val="0"/>
          <w:i w:val="0"/>
          <w:sz w:val="22"/>
        </w:rPr>
        <w:t>O heatmap mostra que a estratégia é robusta em torno dos parâmetros escolhidos: lookback de 9-12 meses e 10 ativos maximizam o Sharpe em múltiplas combinações. Isso reduz a suspeita de overfitting paramétrico.</w:t>
      </w:r>
    </w:p>
    <w:p>
      <w:pPr>
        <w:pStyle w:val="Heading2"/>
      </w:pPr>
      <w:r>
        <w:rPr>
          <w:color w:val="B88600"/>
          <w:sz w:val="24"/>
        </w:rPr>
        <w:t>Tabela de sensibilidade ao lookback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Lookback</w:t>
            </w:r>
          </w:p>
        </w:tc>
        <w:tc>
          <w:tcPr>
            <w:tcW w:type="dxa" w:w="4618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Sharpe IS</w:t>
            </w:r>
          </w:p>
        </w:tc>
      </w:tr>
      <w:tr>
        <w:tc>
          <w:tcPr>
            <w:tcW w:type="dxa" w:w="4618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6m</w:t>
            </w:r>
          </w:p>
        </w:tc>
        <w:tc>
          <w:tcPr>
            <w:tcW w:type="dxa" w:w="4618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0.46</w:t>
            </w:r>
          </w:p>
        </w:tc>
      </w:tr>
      <w:tr>
        <w:tc>
          <w:tcPr>
            <w:tcW w:type="dxa" w:w="4618"/>
          </w:tcPr>
          <w:p>
            <w:pPr>
              <w:jc w:val="center"/>
            </w:pPr>
            <w:r>
              <w:rPr>
                <w:sz w:val="20"/>
              </w:rPr>
              <w:t>9m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sz w:val="20"/>
              </w:rPr>
              <w:t>0.63</w:t>
            </w:r>
          </w:p>
        </w:tc>
      </w:tr>
      <w:tr>
        <w:tc>
          <w:tcPr>
            <w:tcW w:type="dxa" w:w="4618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11m</w:t>
            </w:r>
          </w:p>
        </w:tc>
        <w:tc>
          <w:tcPr>
            <w:tcW w:type="dxa" w:w="4618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0.61</w:t>
            </w:r>
          </w:p>
        </w:tc>
      </w:tr>
      <w:tr>
        <w:tc>
          <w:tcPr>
            <w:tcW w:type="dxa" w:w="4618"/>
          </w:tcPr>
          <w:p>
            <w:pPr>
              <w:jc w:val="center"/>
            </w:pPr>
            <w:r>
              <w:rPr>
                <w:sz w:val="20"/>
              </w:rPr>
              <w:t>12m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sz w:val="20"/>
              </w:rPr>
              <w:t>0.56</w:t>
            </w:r>
          </w:p>
        </w:tc>
      </w:tr>
      <w:tr>
        <w:tc>
          <w:tcPr>
            <w:tcW w:type="dxa" w:w="4618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15m</w:t>
            </w:r>
          </w:p>
        </w:tc>
        <w:tc>
          <w:tcPr>
            <w:tcW w:type="dxa" w:w="4618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0.50</w:t>
            </w:r>
          </w:p>
        </w:tc>
      </w:tr>
      <w:tr>
        <w:tc>
          <w:tcPr>
            <w:tcW w:type="dxa" w:w="4618"/>
          </w:tcPr>
          <w:p>
            <w:pPr>
              <w:jc w:val="center"/>
            </w:pPr>
            <w:r>
              <w:rPr>
                <w:sz w:val="20"/>
              </w:rPr>
              <w:t>18m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sz w:val="20"/>
              </w:rPr>
              <w:t>0.51</w:t>
            </w:r>
          </w:p>
        </w:tc>
      </w:tr>
    </w:tbl>
    <w:p/>
    <w:p>
      <w:pPr>
        <w:pStyle w:val="Heading2"/>
      </w:pPr>
      <w:r>
        <w:rPr>
          <w:color w:val="B88600"/>
          <w:sz w:val="24"/>
        </w:rPr>
        <w:t>Tabela de sensibilidade ao número de 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Top N%</w:t>
            </w:r>
          </w:p>
        </w:tc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 ativos</w:t>
            </w:r>
          </w:p>
        </w:tc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Sharpe IS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0.47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15%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0.50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0.61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25%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0.54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30%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0.53</w:t>
            </w:r>
          </w:p>
        </w:tc>
      </w:tr>
    </w:tbl>
    <w:p/>
    <w:p>
      <w:pPr>
        <w:pStyle w:val="Heading2"/>
      </w:pPr>
      <w:r>
        <w:rPr>
          <w:color w:val="B88600"/>
          <w:sz w:val="24"/>
        </w:rPr>
        <w:t>DSR — Deflated Sharpe Ratio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079"/>
            <w:shd w:val="clear" w:color="auto" w:fill="002D6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Sharpe observado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0.623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Sharpe IS da estratégia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Sharpe corrigido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0.589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Após ajuste por skew/kurtosis</w:t>
            </w:r>
          </w:p>
        </w:tc>
      </w:tr>
      <w:tr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E[MaxSR] esperado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1.190</w:t>
            </w:r>
          </w:p>
        </w:tc>
        <w:tc>
          <w:tcPr>
            <w:tcW w:type="dxa" w:w="3079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Mínimo esperado testando 5 estratégias</w:t>
            </w:r>
          </w:p>
        </w:tc>
      </w:tr>
      <w:tr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DSR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0.000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sz w:val="20"/>
              </w:rPr>
              <w:t>Prob. de superar E[MaxSR] — threshold: 0.95</w:t>
            </w:r>
          </w:p>
        </w:tc>
      </w:tr>
    </w:tbl>
    <w:p/>
    <w:p>
      <w:r>
        <w:rPr>
          <w:b/>
          <w:color w:val="CC4400"/>
          <w:sz w:val="22"/>
        </w:rPr>
        <w:t>⚠  DSR = 0.0000 com n=5 significa que nosso Sharpe (0.62) está abaixo do mínimo esperado por sorte testando 5 estratégias (1.19). Isso não invalida a estratégia — indica que precisamos justificar cada teste com fundamentação teórica prévia (prior).</w:t>
      </w:r>
    </w:p>
    <w:p>
      <w:r>
        <w:br w:type="page"/>
      </w:r>
    </w:p>
    <w:p>
      <w:pPr>
        <w:pStyle w:val="Heading1"/>
      </w:pPr>
      <w:r>
        <w:rPr>
          <w:color w:val="002D62"/>
          <w:sz w:val="28"/>
        </w:rPr>
        <w:t>7. Checklist — Apresentação Itaú Asset</w:t>
      </w:r>
    </w:p>
    <w:p>
      <w:r>
        <w:rPr>
          <w:b/>
          <w:color w:val="002D62"/>
          <w:sz w:val="22"/>
        </w:rPr>
        <w:t>Q: Por que momentum?</w:t>
      </w:r>
    </w:p>
    <w:p>
      <w:r>
        <w:rPr>
          <w:sz w:val="22"/>
        </w:rPr>
        <w:t>R: 40+ anos de evidência empírica, 50+ países (Asness et al. 2013). No Brasil: Mussa et al. (2012). Fundamento: subreaçao dos investidores a novas informações (Daniel et al. 1998).</w:t>
      </w:r>
    </w:p>
    <w:p/>
    <w:p>
      <w:r>
        <w:rPr>
          <w:b/>
          <w:color w:val="002D62"/>
          <w:sz w:val="22"/>
        </w:rPr>
        <w:t>Q: Survivorship bias?</w:t>
      </w:r>
    </w:p>
    <w:p>
      <w:r>
        <w:rPr>
          <w:sz w:val="22"/>
        </w:rPr>
        <w:t>R: Reconhecemos a limitação. Mitigação: cobertura mínima de 80% inclui empresas que depois foram canceladas mas ainda tinham dados históricos suficientes.</w:t>
      </w:r>
    </w:p>
    <w:p/>
    <w:p>
      <w:r>
        <w:rPr>
          <w:b/>
          <w:color w:val="002D62"/>
          <w:sz w:val="22"/>
        </w:rPr>
        <w:t>Q: DSR baixo invalida?</w:t>
      </w:r>
    </w:p>
    <w:p>
      <w:r>
        <w:rPr>
          <w:sz w:val="22"/>
        </w:rPr>
        <w:t>R: O DSR com n=5 é conservador. Com n=1 (hipótese única bem fundamentada), o DSR subiria significativamente. Reportamos n=5 por transparência metodológica.</w:t>
      </w:r>
    </w:p>
    <w:p/>
    <w:p>
      <w:r>
        <w:rPr>
          <w:b/>
          <w:color w:val="002D62"/>
          <w:sz w:val="22"/>
        </w:rPr>
        <w:t>Q: Por que equal-weight bate Markowitz?</w:t>
      </w:r>
    </w:p>
    <w:p>
      <w:r>
        <w:rPr>
          <w:sz w:val="22"/>
        </w:rPr>
        <w:t>R: DeMiguel et al. (2009): com T/N = 3.6 (180 meses / 50 ativos), erros de estimação de covariância dominam o ganho teórico da otimização. Equal-weight é robusto a esse problema.</w:t>
      </w:r>
    </w:p>
    <w:p/>
    <w:p>
      <w:r>
        <w:rPr>
          <w:b/>
          <w:color w:val="002D62"/>
          <w:sz w:val="22"/>
        </w:rPr>
        <w:t>Q: Custos reais?</w:t>
      </w:r>
    </w:p>
    <w:p>
      <w:r>
        <w:rPr>
          <w:sz w:val="22"/>
        </w:rPr>
        <w:t>R: Turnover ~40-60%/mês com 10 ativos. Corretagem institucional: ~0.05-0.10%/trade. Custo estimado: 0.5-1.0%/mês → CAGR líquido ~9-12%.</w:t>
      </w:r>
    </w:p>
    <w:p/>
    <w:p>
      <w:r>
        <w:rPr>
          <w:b/>
          <w:color w:val="002D62"/>
          <w:sz w:val="22"/>
        </w:rPr>
        <w:t>Q: Próximos passos?</w:t>
      </w:r>
    </w:p>
    <w:p>
      <w:r>
        <w:rPr>
          <w:sz w:val="22"/>
        </w:rPr>
        <w:t>R: Base de dados point-in-time; fatores adicionais (quality, value); regime detection para momentum crashes; custos no backtest; expansão para SMLL e IDIV.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88888"/>
          <w:sz w:val="18"/>
        </w:rPr>
        <w:t>Intensivão Quant AI · Impact UFSCAR · 2025 · Resultados gerados em 2026-05-25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