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D1B3E"/>
          <w:sz w:val="40"/>
        </w:rPr>
        <w:t>INTENSIVAO QUANT AI — AULA 10</w:t>
      </w:r>
    </w:p>
    <w:p>
      <w:pPr>
        <w:jc w:val="center"/>
      </w:pPr>
      <w:r>
        <w:rPr>
          <w:b/>
          <w:color w:val="F5A623"/>
          <w:sz w:val="28"/>
        </w:rPr>
        <w:t>RELATORIO FINAL E SIMULACAO DE DEFESA</w:t>
      </w:r>
    </w:p>
    <w:p/>
    <w:p>
      <w:pPr>
        <w:jc w:val="center"/>
      </w:pPr>
      <w:r>
        <w:rPr>
          <w:i/>
          <w:color w:val="999999"/>
          <w:sz w:val="18"/>
        </w:rPr>
        <w:t>ROTEIRO COMPLETO — USO INTERNO DO INSTRUTOR</w:t>
      </w:r>
    </w:p>
    <w:p/>
    <w:p>
      <w:pPr>
        <w:pStyle w:val="Heading1"/>
      </w:pPr>
      <w:r>
        <w:rPr>
          <w:b/>
          <w:color w:val="0D1B3E"/>
          <w:sz w:val="30"/>
        </w:rPr>
        <w:t>PARTE 1 — TEORIA: COMO APRESENTAR ESTRATEGIAS QUANTITATIVAS</w:t>
      </w:r>
    </w:p>
    <w:p>
      <w:pPr>
        <w:spacing w:after="40"/>
      </w:pPr>
      <w:r>
        <w:rPr>
          <w:b/>
          <w:color w:val="F5A623"/>
          <w:sz w:val="20"/>
        </w:rPr>
        <w:t>[TEMPO: 0:00 – 0:20]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A6EAE"/>
          <w:sz w:val="24"/>
        </w:rPr>
        <w:t>1.1 — O que os Juizes do Desafio Itaú Avaliam</w:t>
      </w:r>
    </w:p>
    <w:p>
      <w:pPr>
        <w:spacing w:after="80"/>
      </w:pPr>
      <w:r>
        <w:rPr>
          <w:i/>
          <w:color w:val="7B4F12"/>
          <w:sz w:val="20"/>
        </w:rPr>
        <w:t>[Slide 1. Tom motivador — última aula, chegamos ao fim.]</w:t>
      </w:r>
    </w:p>
    <w:p>
      <w:pPr>
        <w:spacing w:after="120"/>
      </w:pPr>
      <w:r>
        <w:rPr>
          <w:color w:val="1A1A1A"/>
          <w:sz w:val="22"/>
        </w:rPr>
        <w:t>Pessoal, chegamos à Aula 10 — a última do Intensivão Quant AI. Parabéns por terem chegado até aqui. Em 10 semanas, vocês construíram do zero um pipeline completo de gestão quantitativa de portfólios.</w:t>
      </w:r>
    </w:p>
    <w:p>
      <w:pPr>
        <w:spacing w:after="120"/>
      </w:pPr>
      <w:r>
        <w:rPr>
          <w:color w:val="1A1A1A"/>
          <w:sz w:val="22"/>
        </w:rPr>
        <w:t>Hoje temos dois objetivos: montar o relatório final completo e fazer uma simulação realista de como defender a estratégia perante os juízes do Desafio Itaú Asset Management.</w:t>
      </w:r>
    </w:p>
    <w:p>
      <w:pPr>
        <w:spacing w:after="120"/>
      </w:pPr>
      <w:r>
        <w:rPr>
          <w:color w:val="1A1A1A"/>
          <w:sz w:val="22"/>
        </w:rPr>
        <w:t>O que os juízes avaliam? Com base nas edições anteriores e nos critérios publicados, podemos identificar quatro dimensões principais.</w:t>
      </w:r>
    </w:p>
    <w:p>
      <w:pPr>
        <w:spacing w:after="120"/>
      </w:pPr>
      <w:r>
        <w:rPr>
          <w:color w:val="1A1A1A"/>
          <w:sz w:val="22"/>
        </w:rPr>
        <w:t>Primeira: rigor metodológico. O backtest foi conduzido sem viés? Walk-forward? Look-ahead controlado? Tratamento de custos de transação? Essa dimensão é eliminatória — sem rigor, a estratégia não passa.</w:t>
      </w:r>
    </w:p>
    <w:p>
      <w:pPr>
        <w:spacing w:after="120"/>
      </w:pPr>
      <w:r>
        <w:rPr>
          <w:color w:val="1A1A1A"/>
          <w:sz w:val="22"/>
        </w:rPr>
        <w:t>Segunda: fundamentação econômica. Por que o fator deveria funcionar? Qual o mecanismo econômico ou comportamental por trás do sinal? Citar Jegadeesh &amp; Titman é bom — explicar por que momentum existe no mercado brasileiro é melhor ainda.</w:t>
      </w:r>
    </w:p>
    <w:p>
      <w:pPr>
        <w:spacing w:after="120"/>
      </w:pPr>
      <w:r>
        <w:rPr>
          <w:color w:val="1A1A1A"/>
          <w:sz w:val="22"/>
        </w:rPr>
        <w:t>Terceira: qualidade da implementação. O código é limpo, reproduzível, bem documentado? A pipeline funciona do zero com os parquets base? Há controle de versão?</w:t>
      </w:r>
    </w:p>
    <w:p>
      <w:pPr>
        <w:spacing w:after="120"/>
      </w:pPr>
      <w:r>
        <w:rPr>
          <w:color w:val="1A1A1A"/>
          <w:sz w:val="22"/>
        </w:rPr>
        <w:t>Quarta: comunicação dos resultados. A apresentação é clara, os gráficos são legíveis, as conclusões são proporcionais à evidência? Um resultado honesto com limitações bem articuladas é muito mais valioso que um resultado exagerado.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A6EAE"/>
          <w:sz w:val="24"/>
        </w:rPr>
        <w:t>1.2 — Estrutura do Relatorio Final</w:t>
      </w:r>
    </w:p>
    <w:p>
      <w:pPr>
        <w:spacing w:after="80"/>
      </w:pPr>
      <w:r>
        <w:rPr>
          <w:i/>
          <w:color w:val="7B4F12"/>
          <w:sz w:val="20"/>
        </w:rPr>
        <w:t>[Slide 2. Sumário do relatório.]</w:t>
      </w:r>
    </w:p>
    <w:p>
      <w:pPr>
        <w:spacing w:after="120"/>
      </w:pPr>
      <w:r>
        <w:rPr>
          <w:color w:val="1A1A1A"/>
          <w:sz w:val="22"/>
        </w:rPr>
        <w:t>O relatório final deve ter a seguinte estrutura.</w:t>
      </w:r>
    </w:p>
    <w:p>
      <w:pPr>
        <w:spacing w:after="120"/>
      </w:pPr>
      <w:r>
        <w:rPr>
          <w:color w:val="1A1A1A"/>
          <w:sz w:val="22"/>
        </w:rPr>
        <w:t>Seção 1: Sumário Executivo — uma página. Hipótese, metodologia, resultado principal, limitações. Um juiz ocupado deve conseguir entender tudo em 2 minutos.</w:t>
      </w:r>
    </w:p>
    <w:p>
      <w:pPr>
        <w:spacing w:after="120"/>
      </w:pPr>
      <w:r>
        <w:rPr>
          <w:color w:val="1A1A1A"/>
          <w:sz w:val="22"/>
        </w:rPr>
        <w:t>Seção 2: Dados e Universo de Investimentos — de onde vêm os dados, qual o período, quantos ativos, como foi feita a limpeza. Seja específico: cite o yfinance, o IBOVESPA, o período de 2015 a 2024.</w:t>
      </w:r>
    </w:p>
    <w:p>
      <w:pPr>
        <w:spacing w:after="120"/>
      </w:pPr>
      <w:r>
        <w:rPr>
          <w:color w:val="1A1A1A"/>
          <w:sz w:val="22"/>
        </w:rPr>
        <w:t>Seção 3: Metodologia — descreva o sinal em linguagem matemática e intuição econômica. Descreva o processo de construção de portfólio. Descreva o backtest e as salvaguardas de rigor.</w:t>
      </w:r>
    </w:p>
    <w:p>
      <w:pPr>
        <w:spacing w:after="120"/>
      </w:pPr>
      <w:r>
        <w:rPr>
          <w:color w:val="1A1A1A"/>
          <w:sz w:val="22"/>
        </w:rPr>
        <w:t>Seção 4: Resultados — apresente as métricas IS e OOS lado a lado. Gráficos de equity curve, distribuição de retornos, drawdowns. IC médio. DSR.</w:t>
      </w:r>
    </w:p>
    <w:p>
      <w:pPr>
        <w:spacing w:after="120"/>
      </w:pPr>
      <w:r>
        <w:rPr>
          <w:color w:val="1A1A1A"/>
          <w:sz w:val="22"/>
        </w:rPr>
        <w:t>Seção 5: Análise de Sensibilidade — o que acontece se você mudar o lookback de 12 para 9 ou 15 meses? Se mudar o portfólio de top 20% para top 10%? Resultados robustos não mudam dramaticamente com pequenas variações de parâmetros.</w:t>
      </w:r>
    </w:p>
    <w:p>
      <w:pPr>
        <w:spacing w:after="120"/>
      </w:pPr>
      <w:r>
        <w:rPr>
          <w:color w:val="1A1A1A"/>
          <w:sz w:val="22"/>
        </w:rPr>
        <w:t>Seção 6: Limitações e Trabalhos Futuros — seja honesto. Survivorship bias, custos de transação aproximados, período limitado, regime de mercado único. Isso mostra maturidade intelectual.</w:t>
      </w:r>
    </w:p>
    <w:p>
      <w:pPr>
        <w:spacing w:after="120"/>
      </w:pPr>
      <w:r>
        <w:rPr>
          <w:color w:val="1A1A1A"/>
          <w:sz w:val="22"/>
        </w:rPr>
        <w:t>Seção 7: Referências — cite os papers acadêmicos corretamente.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A6EAE"/>
          <w:sz w:val="24"/>
        </w:rPr>
        <w:t>1.3 — Como Defender sob Pressao</w:t>
      </w:r>
    </w:p>
    <w:p>
      <w:pPr>
        <w:spacing w:after="80"/>
      </w:pPr>
      <w:r>
        <w:rPr>
          <w:i/>
          <w:color w:val="7B4F12"/>
          <w:sz w:val="20"/>
        </w:rPr>
        <w:t>[Slide 3. Simulação de perguntas difíceis.]</w:t>
      </w:r>
    </w:p>
    <w:p>
      <w:pPr>
        <w:spacing w:after="120"/>
      </w:pPr>
      <w:r>
        <w:rPr>
          <w:color w:val="1A1A1A"/>
          <w:sz w:val="22"/>
        </w:rPr>
        <w:t>Os juízes vão fazer perguntas difíceis. Vou simular algumas que vocês precisam estar preparados para responder.</w:t>
      </w:r>
    </w:p>
    <w:p>
      <w:pPr>
        <w:spacing w:after="120"/>
      </w:pPr>
      <w:r>
        <w:rPr>
          <w:color w:val="1A1A1A"/>
          <w:sz w:val="22"/>
        </w:rPr>
        <w:t>Pergunta: 'O resultado de vocês é atribuível ao fator momentum ou ao beta de mercado?' — Resposta esperada: comparar a correlação da estratégia com o IBOVESPA, mostrar o alpha de Jensen ou um information ratio.</w:t>
      </w:r>
    </w:p>
    <w:p>
      <w:pPr>
        <w:spacing w:after="120"/>
      </w:pPr>
      <w:r>
        <w:rPr>
          <w:color w:val="1A1A1A"/>
          <w:sz w:val="22"/>
        </w:rPr>
        <w:t>Pergunta: 'Como vocês controlaram survivorship bias?' — Resposta: reconhecer a limitação, explicar que o yfinance com composição histórica do índice minimiza mas não elimina o problema, citar que isso é uma limitação declarada na seção 6.</w:t>
      </w:r>
    </w:p>
    <w:p>
      <w:pPr>
        <w:spacing w:after="120"/>
      </w:pPr>
      <w:r>
        <w:rPr>
          <w:color w:val="1A1A1A"/>
          <w:sz w:val="22"/>
        </w:rPr>
        <w:t>Pergunta: 'Qual seria a capacidade da estratégia em termos de AUM?' — Resposta: estimar a liquidez média dos ativos do portfólio, calcular quantos reais poderiam ser gerenciados sem impacto de mercado significativo.</w:t>
      </w:r>
    </w:p>
    <w:p>
      <w:pPr>
        <w:spacing w:after="120"/>
      </w:pPr>
      <w:r>
        <w:rPr>
          <w:color w:val="1A1A1A"/>
          <w:sz w:val="22"/>
        </w:rPr>
        <w:t>Pergunta: 'Você adicionaria outros fatores?' — Resposta: mencionar value, quality, low vol — descrever como um modelo multifator funcionaria e citar Fama &amp; French 1993.</w:t>
      </w:r>
    </w:p>
    <w:p>
      <w:pPr>
        <w:spacing w:after="120"/>
      </w:pPr>
      <w:r>
        <w:rPr>
          <w:color w:val="1A1A1A"/>
          <w:sz w:val="22"/>
        </w:rPr>
        <w:t>A regra de ouro na defesa: nunca finja saber o que não sabe. 'Excelente pergunta, não testamos isso, mas hipotetizamos que...' é muito melhor do que uma resposta incorreta com confiança falsa.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b/>
          <w:color w:val="0D1B3E"/>
          <w:sz w:val="30"/>
        </w:rPr>
        <w:t>PARTE 2 — CODIGO: MONTAR O RELATORIO FINAL</w:t>
      </w:r>
    </w:p>
    <w:p>
      <w:pPr>
        <w:spacing w:after="40"/>
      </w:pPr>
      <w:r>
        <w:rPr>
          <w:b/>
          <w:color w:val="F5A623"/>
          <w:sz w:val="20"/>
        </w:rPr>
        <w:t>[TEMPO: 0:20 – 1:20]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A6EAE"/>
          <w:sz w:val="24"/>
        </w:rPr>
        <w:t>2.1 — Setup: Carregar Todos os Dados do Pipeline</w:t>
      </w:r>
    </w:p>
    <w:p>
      <w:pPr>
        <w:spacing w:after="80"/>
      </w:pPr>
      <w:r>
        <w:rPr>
          <w:i/>
          <w:color w:val="7B4F12"/>
          <w:sz w:val="20"/>
        </w:rPr>
        <w:t>[Novo notebook: aula_10_relatorio_final.ipynb]</w:t>
      </w:r>
    </w:p>
    <w:p>
      <w:pPr>
        <w:spacing w:after="120"/>
      </w:pPr>
      <w:r>
        <w:rPr>
          <w:color w:val="1A1A1A"/>
          <w:sz w:val="22"/>
        </w:rPr>
        <w:t>Vamos carregar todos os artefatos que produzimos nas 9 aulas anteriores e construir o relatório visual completo.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import pandas as pd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import numpy as np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import matplotlib.pyplot as plt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import matplotlib.gridspec as gridspec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from scipy import stats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import warnings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warnings.filterwarnings('ignore')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# Carregar todos os parquets do pipeline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precos        = pd.read_parquet('../dados/precos_ibov.parquet')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ret_diarios   = pd.read_parquet('../dados/retornos_diarios_limpo.parquet')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ret_mensais   = pd.read_parquet('../dados/retornos_mensais_limpo.parquet')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sinal_v1      = pd.read_parquet('../dados/sinal_v1.parquet')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sinal_v2      = pd.read_parquet('../dados/sinal_v2.parquet')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pesos_v1      = pd.read_parquet('../dados/pesos_v1.parquet')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pesos_v2      = pd.read_parquet('../dados/pesos_v2.parquet')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ret_carteira  = pd.read_parquet('../dados/retorno_carteira.parquet').squeeze()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ret_oos       = pd.read_parquet('../dados/retorno_walkforward_liquido.parquet').squeeze()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print('Pipeline completo carregado!')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print(f'Periodo: {ret_mensais.index.min().date()} a {ret_mensais.index.max().date()}')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print(f'Ativos:  {ret_mensais.shape[1]}')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A6EAE"/>
          <w:sz w:val="24"/>
        </w:rPr>
        <w:t>2.2 — Calcular Metricas Completas</w:t>
      </w:r>
    </w:p>
    <w:p>
      <w:pPr>
        <w:spacing w:after="80"/>
      </w:pPr>
      <w:r>
        <w:rPr>
          <w:i/>
          <w:color w:val="7B4F12"/>
          <w:sz w:val="20"/>
        </w:rPr>
        <w:t>[Digitar. Função abrangente de métricas.]</w:t>
      </w:r>
    </w:p>
    <w:p>
      <w:pPr>
        <w:spacing w:after="120"/>
      </w:pPr>
      <w:r>
        <w:rPr>
          <w:color w:val="1A1A1A"/>
          <w:sz w:val="22"/>
        </w:rPr>
        <w:t>Vamos criar uma função completa de métricas que usaremos em todo o relatório.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def metricas_completas(retornos, nome='Estrategia', rf_anual=0.1025):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r  = retornos.dropna()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rf = (1 + rf_anual) ** (1/12) - 1  # CDI mensal aproximado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excesso = r - rf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sharpe    = excesso.mean() / excesso.std() * np.sqrt(12)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sortino   = excesso.mean() / excesso[excesso &lt; 0].std() * np.sqrt(12)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cagr      = (1 + r).prod() ** (12/len(r)) - 1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vol       = r.std() * np.sqrt(12)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cum       = (1 + r).cumprod()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mdd       = (cum / cum.cummax() - 1).min()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calmar    = cagr / abs(mdd) if mdd != 0 else np.nan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skew      = r.skew()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kurt      = r.kurtosis()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win_rate  = (r &gt; 0).mean()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return pd.Series({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'CAGR':              f'{cagr:.1%}',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'Vol Anual':         f'{vol:.1%}',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'Sharpe Ratio':      f'{sharpe:.2f}',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'Sortino Ratio':     f'{sortino:.2f}',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'Max Drawdown':      f'{mdd:.1%}',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'Calmar Ratio':      f'{calmar:.2f}',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'Skewness':          f'{skew:.2f}',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'Kurtosis':          f'{kurt:.2f}',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'Win Rate (mensal)': f'{win_rate:.1%}',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'N Meses':           len(r)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}, name=nome)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m_is  = metricas_completas(ret_carteira, 'Backtest IS')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m_oos = metricas_completas(ret_oos,      'Walk-Forward OOS')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tabela = pd.DataFrame([m_is, m_oos]).T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print(tabela.to_string())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A6EAE"/>
          <w:sz w:val="24"/>
        </w:rPr>
        <w:t>2.3 — Painel Principal: Equity Curve e Metricas</w:t>
      </w:r>
    </w:p>
    <w:p>
      <w:pPr>
        <w:spacing w:after="80"/>
      </w:pPr>
      <w:r>
        <w:rPr>
          <w:i/>
          <w:color w:val="7B4F12"/>
          <w:sz w:val="20"/>
        </w:rPr>
        <w:t>[Digitar. O gráfico mais importante do relatório.]</w:t>
      </w:r>
    </w:p>
    <w:p>
      <w:pPr>
        <w:spacing w:after="120"/>
      </w:pPr>
      <w:r>
        <w:rPr>
          <w:color w:val="1A1A1A"/>
          <w:sz w:val="22"/>
        </w:rPr>
        <w:t>Agora o painel principal — a figura que vai na primeira página do relatório.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fig = plt.figure(figsize=(16, 10))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gs  = gridspec.GridSpec(3, 3, figure=fig, hspace=0.4, wspace=0.35)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# --- Equity curve ---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ax_eq = fig.add_subplot(gs[0, :])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cum_is  = (1 + ret_carteira.dropna()).cumprod()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cum_oos = (1 + ret_oos.dropna()).cumprod()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ax_eq.plot(cum_is,  label='Backtest In-Sample',      color='#1A6EAE', lw=2)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ax_eq.plot(cum_oos, label='Walk-Forward OOS',        color='#F5A623', lw=2, ls='--')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ax_eq.set_title('Retorno Acumulado da Estrategia Momentum v2', fontsize=13, fontweight='bold')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ax_eq.legend(fontsize=10)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ax_eq.grid(alpha=0.3)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ax_eq.set_ylabel('Valor da Cota')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# --- Drawdown ---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ax_dd = fig.add_subplot(gs[1, :])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dd_oos = (cum_oos / cum_oos.cummax() - 1)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ax_dd.fill_between(dd_oos.index, dd_oos.values, 0, color='#E74C3C', alpha=0.5)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ax_dd.set_title('Drawdown — Out-of-Sample', fontsize=11)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ax_dd.set_ylabel('Drawdown')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ax_dd.grid(alpha=0.3)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# --- Retornos mensais bar chart ---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ax_bar = fig.add_subplot(gs[2, :2])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colors = ['#1E8B4C' if x &gt; 0 else '#E74C3C' for x in ret_oos.values]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ax_bar.bar(range(len(ret_oos)), ret_oos.values, color=colors, alpha=0.8)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ax_bar.axhline(0, color='black', lw=0.8)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ax_bar.set_title('Retornos Mensais OOS', fontsize=11)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ax_bar.set_ylabel('Retorno Mensal')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ax_bar.grid(alpha=0.2, axis='y')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# --- QQ-plot ---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ax_qq = fig.add_subplot(gs[2, 2])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stats.probplot(ret_oos.dropna(), dist='norm', plot=ax_qq)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ax_qq.set_title('QQ-Plot Retornos OOS', fontsize=11)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ax_qq.grid(alpha=0.3)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plt.suptitle('Relatorio Final — Estrategia Momentum IBOVESPA | Intensivao Quant AI',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     fontsize=14, fontweight='bold', color='#0D1B3E')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plt.savefig('painel_relatorio_final.png', dpi=150, bbox_inches='tight')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plt.show()</w:t>
      </w:r>
    </w:p>
    <w:p>
      <w:pPr>
        <w:spacing w:after="120"/>
      </w:pPr>
      <w:r>
        <w:rPr>
          <w:color w:val="1A1A1A"/>
          <w:sz w:val="22"/>
        </w:rPr>
        <w:t>Este painel condensa toda a história da estratégia: performance acumulada, risco via drawdown, distribuição dos retornos mensais, e diagnóstico de normalidade. É a figura que abriria qualquer pitchbook institucional.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A6EAE"/>
          <w:sz w:val="24"/>
        </w:rPr>
        <w:t>2.4 — Analise de Sensibilidade de Parametros</w:t>
      </w:r>
    </w:p>
    <w:p>
      <w:pPr>
        <w:spacing w:after="80"/>
      </w:pPr>
      <w:r>
        <w:rPr>
          <w:i/>
          <w:color w:val="7B4F12"/>
          <w:sz w:val="20"/>
        </w:rPr>
        <w:t>[Digitar. Mostrar robustez do sinal.]</w:t>
      </w:r>
    </w:p>
    <w:p>
      <w:pPr>
        <w:spacing w:after="120"/>
      </w:pPr>
      <w:r>
        <w:rPr>
          <w:color w:val="1A1A1A"/>
          <w:sz w:val="22"/>
        </w:rPr>
        <w:t>Para demonstrar robustez, vamos testar o sinal com diferentes lookbacks e ver se o resultado se mantém.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def backtest_simples(sinal, ret_mensais, n_long_pct=0.2):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retornos = []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for data in sinal.index: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sig = sinal.loc[data].dropna()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if len(sig) &lt; 5: continue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ranks  = sig.rank(ascending=False)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n      = max(int(len(ranks) * n_long_pct), 1)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top    = ranks[ranks &lt;= n].index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pesos  = pd.Series(1/len(top), index=top)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if data in ret_mensais.index: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    ret_m = ret_mensais.loc[data, top].dropna()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    pw    = pesos.reindex(ret_m.index).dropna()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    pw   /= pw.sum()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    retornos.append({'data': data, 'ret': (ret_m * pw).sum()})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return pd.DataFrame(retornos).set_index('data')['ret']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# Testar lookbacks de 6 a 18 meses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resultados_sensib = {}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for lb in [6, 9, 12, 15, 18]: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sinal_lb = ret_mensais.shift(2).rolling(lb).sum()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ret_lb   = backtest_simples(sinal_lb, ret_mensais)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sharpe   = ret_lb.mean() / ret_lb.std() * np.sqrt(12)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resultados_sensib[f'Lookback {lb}m'] = round(sharpe, 2)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print('Sensibilidade do Sharpe por Lookback:')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for k, v in resultados_sensib.items():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print(f'  {k}: Sharpe = {v}')</w:t>
      </w:r>
    </w:p>
    <w:p>
      <w:pPr>
        <w:spacing w:after="120"/>
      </w:pPr>
      <w:r>
        <w:rPr>
          <w:color w:val="1A1A1A"/>
          <w:sz w:val="22"/>
        </w:rPr>
        <w:t>Se o Sharpe se mantiver relativamente estável entre 0,6 e 1,0 para todos os lookbacks, isso é sinal de robustez. Se só funcionar para lookback=12, levanta suspeita de overfitting.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A6EAE"/>
          <w:sz w:val="24"/>
        </w:rPr>
        <w:t>2.5 — Gerar Tabela de Sensibilidade Grafico</w:t>
      </w:r>
    </w:p>
    <w:p>
      <w:pPr>
        <w:spacing w:after="80"/>
      </w:pPr>
      <w:r>
        <w:rPr>
          <w:i/>
          <w:color w:val="7B4F12"/>
          <w:sz w:val="20"/>
        </w:rPr>
        <w:t>[Digitar e mostrar.]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fig, axes = plt.subplots(1, 2, figsize=(12, 4))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# Sharpe por lookback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lbs    = list(resultados_sensib.keys())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sharps = list(resultados_sensib.values())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axes[0].bar(lbs, sharps, color='#1A6EAE', alpha=0.8)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axes[0].axhline(0, color='black', lw=0.8)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axes[0].set_title('Sharpe por Lookback do Sinal')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axes[0].set_ylabel('Sharpe Ratio')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axes[0].tick_params(axis='x', rotation=30)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axes[0].grid(alpha=0.3, axis='y')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# Sharpe por n_long_pct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resultados_nlg = {}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for pct in [0.10, 0.15, 0.20, 0.25, 0.30]: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sinal_fix = ret_mensais.shift(2).rolling(12).sum()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ret_fix   = backtest_simples(sinal_fix, ret_mensais, n_long_pct=pct)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resultados_nlg[f'Top {int(pct*100)}%'] = round(ret_fix.mean() / ret_fix.std() * np.sqrt(12), 2)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pcts   = list(resultados_nlg.keys())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sharps2 = list(resultados_nlg.values())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axes[1].bar(pcts, sharps2, color='#F5A623', alpha=0.8)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axes[1].axhline(0, color='black', lw=0.8)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axes[1].set_title('Sharpe por Tamanho do Portfolio')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axes[1].set_ylabel('Sharpe Ratio')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axes[1].grid(alpha=0.3, axis='y')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plt.suptitle('Analise de Sensibilidade de Parametros', fontweight='bold')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plt.tight_layout()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plt.savefig('sensibilidade_parametros.png', dpi=150, bbox_inches='tight')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plt.show()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A6EAE"/>
          <w:sz w:val="24"/>
        </w:rPr>
        <w:t>2.6 — IC Medio e Estabilidade Temporal</w:t>
      </w:r>
    </w:p>
    <w:p>
      <w:pPr>
        <w:spacing w:after="80"/>
      </w:pPr>
      <w:r>
        <w:rPr>
          <w:i/>
          <w:color w:val="7B4F12"/>
          <w:sz w:val="20"/>
        </w:rPr>
        <w:t>[Digitar. Mostrar a estabilidade preditiva do sinal ao longo do tempo.]</w:t>
      </w:r>
    </w:p>
    <w:p>
      <w:pPr>
        <w:spacing w:after="120"/>
      </w:pPr>
      <w:r>
        <w:rPr>
          <w:color w:val="1A1A1A"/>
          <w:sz w:val="22"/>
        </w:rPr>
        <w:t>O IC médio nos diz se o sinal tem poder preditivo genuíno. Vamos calcular o IC mês a mês e plotar a série temporal.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from scipy.stats import spearmanr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ic_serie = []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for i in range(1, len(sinal_v2.index)):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data_sinal  = sinal_v2.index[i-1]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data_ret    = sinal_v2.index[i]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if data_ret not in ret_mensais.index: continue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s = sinal_v2.loc[data_sinal].dropna()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r = ret_mensais.loc[data_ret, s.index].dropna()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s = s.reindex(r.index).dropna()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if len(s) &gt; 10: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ic, _ = spearmanr(s, r)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ic_serie.append({'data': data_ret, 'ic': ic})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ic_df = pd.DataFrame(ic_serie).set_index('data')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ic_rolling = ic_df['ic'].rolling(12).mean()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fig, axes = plt.subplots(2, 1, figsize=(12, 7), sharex=True)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axes[0].bar(ic_df.index, ic_df['ic'].values, color=['#1E8B4C' if x&gt;0 else '#E74C3C' for x in ic_df['ic']], alpha=0.6)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axes[0].axhline(0, color='black', lw=0.8)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axes[0].set_title(f'IC Mensal — Media: {ic_df["ic"].mean():.3f}')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axes[0].grid(alpha=0.3)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axes[1].plot(ic_rolling.index, ic_rolling.values, color='#0D1B3E', lw=2)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axes[1].axhline(0, color='black', lw=0.8)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axes[1].set_title('IC Rolling 12 Meses')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axes[1].grid(alpha=0.3)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plt.suptitle('Information Coefficient — Sinal v2', fontweight='bold')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plt.tight_layout()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plt.savefig('ic_temporal.png', dpi=150, bbox_inches='tight')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plt.show()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b/>
          <w:color w:val="0D1B3E"/>
          <w:sz w:val="30"/>
        </w:rPr>
        <w:t>PARTE 3 — SIMULACAO DE DEFESA</w:t>
      </w:r>
    </w:p>
    <w:p>
      <w:pPr>
        <w:spacing w:after="40"/>
      </w:pPr>
      <w:r>
        <w:rPr>
          <w:b/>
          <w:color w:val="F5A623"/>
          <w:sz w:val="20"/>
        </w:rPr>
        <w:t>[TEMPO: 1:20 – 1:40]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A6EAE"/>
          <w:sz w:val="24"/>
        </w:rPr>
        <w:t>3.1 — Estrutura da Apresentacao</w:t>
      </w:r>
    </w:p>
    <w:p>
      <w:pPr>
        <w:spacing w:after="80"/>
      </w:pPr>
      <w:r>
        <w:rPr>
          <w:i/>
          <w:color w:val="7B4F12"/>
          <w:sz w:val="20"/>
        </w:rPr>
        <w:t>[Fechar notebooks. Modo apresentação.]</w:t>
      </w:r>
    </w:p>
    <w:p>
      <w:pPr>
        <w:spacing w:after="120"/>
      </w:pPr>
      <w:r>
        <w:rPr>
          <w:color w:val="1A1A1A"/>
          <w:sz w:val="22"/>
        </w:rPr>
        <w:t>Agora vamos simular a defesa. Cada grupo tem 10 minutos de apresentação e 5 minutos de perguntas. Vou fazer o papel dos juízes.</w:t>
      </w:r>
    </w:p>
    <w:p>
      <w:pPr>
        <w:spacing w:after="120"/>
      </w:pPr>
      <w:r>
        <w:rPr>
          <w:color w:val="1A1A1A"/>
          <w:sz w:val="22"/>
        </w:rPr>
        <w:t>Estrutura ideal da apresentação em 10 minutos: 1 minuto para introdução e hipótese — por que momentum? 2 minutos para dados e metodologia — o pipeline. 3 minutos para resultados — IS e OOS, com os gráficos do painel principal. 2 minutos para análise de sensibilidade e robustez. 2 minutos para limitações e trabalhos futuros.</w:t>
      </w:r>
    </w:p>
    <w:p>
      <w:pPr>
        <w:spacing w:after="120"/>
      </w:pPr>
      <w:r>
        <w:rPr>
          <w:color w:val="1A1A1A"/>
          <w:sz w:val="22"/>
        </w:rPr>
        <w:t>A primeira coisa que os juízes querem ouvir é a hipótese clara: 'Testamos a hipótese de que ações com maior retorno nos últimos 11 meses, excluindo o mês imediatamente anterior, continuam a superar nos meses seguintes — fenômeno documentado por Jegadeesh e Titman em 1993.' Isso prova que você sabe o que está fazendo e por quê.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A6EAE"/>
          <w:sz w:val="24"/>
        </w:rPr>
        <w:t>3.2 — Perguntas Simuladas</w:t>
      </w:r>
    </w:p>
    <w:p>
      <w:pPr>
        <w:spacing w:after="80"/>
      </w:pPr>
      <w:r>
        <w:rPr>
          <w:i/>
          <w:color w:val="7B4F12"/>
          <w:sz w:val="20"/>
        </w:rPr>
        <w:t>[Fazer perguntas difíceis para os participantes. Deixar responderem antes de revelar a resposta ideal.]</w:t>
      </w:r>
    </w:p>
    <w:p>
      <w:pPr>
        <w:spacing w:after="120"/>
      </w:pPr>
      <w:r>
        <w:rPr>
          <w:color w:val="1A1A1A"/>
          <w:sz w:val="22"/>
        </w:rPr>
        <w:t>Pergunta 1: 'Seu Sharpe OOS de X,XX é significativo? Qual o p-valor dessa estatística?'</w:t>
      </w:r>
    </w:p>
    <w:p>
      <w:pPr>
        <w:spacing w:after="120"/>
      </w:pPr>
      <w:r>
        <w:rPr>
          <w:color w:val="1A1A1A"/>
          <w:sz w:val="22"/>
        </w:rPr>
        <w:t>Resposta ideal: 'Com N meses de dados, o Sharpe de X,XX tem t-statistic de Sharpe vezes raiz de N, o que dá aproximadamente Y. Aplicando o DSR com N configurações testadas, obtemos probabilidade de Z de que o resultado não é overfitting.'</w:t>
      </w:r>
    </w:p>
    <w:p>
      <w:pPr>
        <w:spacing w:after="120"/>
      </w:pPr>
      <w:r>
        <w:rPr>
          <w:color w:val="1A1A1A"/>
          <w:sz w:val="22"/>
        </w:rPr>
        <w:t>Pergunta 2: 'Como a estratégia se comportou durante a crise da COVID?'</w:t>
      </w:r>
    </w:p>
    <w:p>
      <w:pPr>
        <w:spacing w:after="120"/>
      </w:pPr>
      <w:r>
        <w:rPr>
          <w:color w:val="1A1A1A"/>
          <w:sz w:val="22"/>
        </w:rPr>
        <w:t>Resposta ideal: 'Em março de 2020, a estratégia sofreu drawdown de X por cento — próximo do mercado, já que momentum tem correlação positiva com mercado em crises. Isso é consistente com a literatura — momentum crashs são documentados em crises de liquidez severas, como discutem Daniel e Moskowitz 2016.'</w:t>
      </w:r>
    </w:p>
    <w:p>
      <w:pPr>
        <w:spacing w:after="120"/>
      </w:pPr>
      <w:r>
        <w:rPr>
          <w:color w:val="1A1A1A"/>
          <w:sz w:val="22"/>
        </w:rPr>
        <w:t>Pergunta 3: 'Por que não usar alocação por Markowitz em vez de equal-weight?'</w:t>
      </w:r>
    </w:p>
    <w:p>
      <w:pPr>
        <w:spacing w:after="120"/>
      </w:pPr>
      <w:r>
        <w:rPr>
          <w:color w:val="1A1A1A"/>
          <w:sz w:val="22"/>
        </w:rPr>
        <w:t>Resposta ideal: 'Testamos ambas as abordagens. DeMiguel et al. 2009 mostram que a carteira de mínima variância raramente supera equal-weight fora da amostra. Em nosso teste, equal-weight produziu Sharpe de X versus Y do Markowitz, com muito menos instabilidade de pesos — o turnover do Markowitz foi Z por cento mais alto, gerando custos adicionais.'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A6EAE"/>
          <w:sz w:val="24"/>
        </w:rPr>
        <w:t>3.3 — Fechamento do Intensivao</w:t>
      </w:r>
    </w:p>
    <w:p>
      <w:pPr>
        <w:spacing w:after="40"/>
      </w:pPr>
      <w:r>
        <w:rPr>
          <w:b/>
          <w:color w:val="F5A623"/>
          <w:sz w:val="20"/>
        </w:rPr>
        <w:t>[TEMPO: 1:35 – 1:40]</w:t>
      </w:r>
    </w:p>
    <w:p>
      <w:pPr>
        <w:spacing w:after="80"/>
      </w:pPr>
      <w:r>
        <w:rPr>
          <w:i/>
          <w:color w:val="7B4F12"/>
          <w:sz w:val="20"/>
        </w:rPr>
        <w:t>[Tom solene e motivador. Este é o encerramento do curso.]</w:t>
      </w:r>
    </w:p>
    <w:p>
      <w:pPr>
        <w:spacing w:after="120"/>
      </w:pPr>
      <w:r>
        <w:rPr>
          <w:color w:val="1A1A1A"/>
          <w:sz w:val="22"/>
        </w:rPr>
        <w:t>Chegamos ao fim do Intensivão Quant AI. Em 10 semanas, vocês aprenderam a baixar e limpar dados financeiros de alta frequência, construir sinais quantitativos com fundamentação acadêmica, implementar backtests rigorosos com controle de look-ahead bias, aplicar diferentes metodologias de alocação de portfólios, conduzir validação out-of-sample com walk-forward analysis, medir a robustez estatística com o Deflated Sharpe Ratio, integrar Large Language Models ao pipeline quantitativo, e comunicar resultados no padrão de uma gestora institucional.</w:t>
      </w:r>
    </w:p>
    <w:p>
      <w:pPr>
        <w:spacing w:after="120"/>
      </w:pPr>
      <w:r>
        <w:rPr>
          <w:color w:val="1A1A1A"/>
          <w:sz w:val="22"/>
        </w:rPr>
        <w:t>O mercado de trabalho em finanças quantitativas no Brasil está em expansão acelerada. A Itaú Asset, a Verde, a Ibiuna, a Kadima, a Giant Steps — todas contratam pessoas com exatamente o perfil que vocês estão desenvolvendo. O Desafio Itaú é uma porta de entrada real para esse mundo.</w:t>
      </w:r>
    </w:p>
    <w:p>
      <w:pPr>
        <w:spacing w:after="120"/>
      </w:pPr>
      <w:r>
        <w:rPr>
          <w:color w:val="1A1A1A"/>
          <w:sz w:val="22"/>
        </w:rPr>
        <w:t>Mas independente do resultado da competição — o que vocês aprenderam aqui vai muito além de um troféu. Vocês construíram intuição quantitativa, que leva anos para desenvolver, em dois meses e meio. Isso é resultado do esforço de cada um de vocês.</w:t>
      </w:r>
    </w:p>
    <w:p>
      <w:pPr>
        <w:spacing w:after="120"/>
      </w:pPr>
      <w:r>
        <w:rPr>
          <w:color w:val="1A1A1A"/>
          <w:sz w:val="22"/>
        </w:rPr>
        <w:t>Da parte da Impact UFSCAR e da Diretoria Quant, obrigado pela confiança e pela dedicação. Boa sorte no Desafio. Façam bonito!</w:t>
      </w:r>
    </w:p>
    <w:p>
      <w:pPr>
        <w:spacing w:after="80"/>
      </w:pPr>
      <w:r>
        <w:rPr>
          <w:i/>
          <w:color w:val="7B4F12"/>
          <w:sz w:val="20"/>
        </w:rPr>
        <w:t>[Aplausos. Tirar foto do grupo para as redes sociais da Impact.]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