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cy0abdrws" w:id="0"/>
      <w:bookmarkEnd w:id="0"/>
      <w:r w:rsidDel="00000000" w:rsidR="00000000" w:rsidRPr="00000000">
        <w:rPr>
          <w:rtl w:val="0"/>
        </w:rPr>
        <w:t xml:space="preserve">Oct 19,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play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Nano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 H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Freya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(30-45 minutes)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clean-up - Excel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dictionary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Copied from proposal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of insomnia symptomatology in adolescents by subgroups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Visually identify distinct subgroups among adolescents based on demographic variables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Age, 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their distribution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ASQ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battery tests.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Utilize data visualization techniques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depict the relationship between identified subgroups and psychological factors. Provide an intuitive representation of how diverse psychosocial factors contribute to varied sleep patterns in adolescents.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Analysis of Sleep Quality and Habits in Adolescents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sleep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and habits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among adolescents with regression analyses.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Investigate if the interaction effect of significant predictor factor(s) above and the race factor is statistically significant.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Chosen Variables to play around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Joe: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ISI_total, BDI_total : pearson correlation </w:t>
      </w:r>
      <w:r w:rsidDel="00000000" w:rsidR="00000000" w:rsidRPr="00000000">
        <w:rPr>
          <w:color w:val="980000"/>
          <w:rtl w:val="0"/>
        </w:rPr>
        <w:t xml:space="preserve">(r = 0.597, t = 7.1751, df = 93, p-value = 1.721e-10)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Jane: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ISI - GCTI_total: pearson correlation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Freya: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Age/Race,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</w:t>
      </w:r>
      <w:r w:rsidDel="00000000" w:rsidR="00000000" w:rsidRPr="00000000">
        <w:rPr>
          <w:rtl w:val="0"/>
        </w:rPr>
        <w:t xml:space="preserve"> cope_growth &amp; ISI_total (something that shows negative correlation)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task today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a metadata sheet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 dictionary (variable names with data descriptions)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the ‘Raw data’ further to make sure there are no empty cells (deleted empty columns)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play around with the chosen variables (R) and discuss the results next week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a detailed timeline for each aims and subsections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meetings: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Thursday, Oct.19th, 4pm-5pm (or 4:30pm)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Tuesday, Oct.24th, 4pm-5pm (or 4:30pm)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Thursday, Oct.26th, 4pm-5pm (or 4:30pm)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Tuesday, Oct.31st, 4pm-5pm (or 4:30pm)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Thursday, Nov.2nd, 4pm-5pm (Draft one presentation? &amp; TA feedback)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Tuesday, Nov.7th, 4pm-5pm (**Practice Presentation**)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Nov.9th: FINAL PRESENTATION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ofang.ma.gr@dartmouth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5iaGhpcnBuNWFoZWJxMmNqdDhobWhlaG4gZ3VvZmFuZy5tYS5nckBkYXJ0bW91dGguZWR1" TargetMode="External"/><Relationship Id="rId7" Type="http://schemas.openxmlformats.org/officeDocument/2006/relationships/hyperlink" Target="mailto:joseph.nano.gr@dartmouth.edu" TargetMode="External"/><Relationship Id="rId8" Type="http://schemas.openxmlformats.org/officeDocument/2006/relationships/hyperlink" Target="mailto:jane.han.gr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