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Arial" w:cs="Arial" w:eastAsia="Arial" w:hAnsi="Arial"/>
          <w:b/>
          <w:bCs/>
          <w:color w:val="1E3A5F"/>
          <w:sz w:val="56"/>
          <w:szCs w:val="56"/>
        </w:rPr>
        <w:t xml:space="preserve">Investigacion Financiera</w:t>
      </w:r>
    </w:p>
    <w:p>
      <w:pPr>
        <w:spacing w:after="400"/>
        <w:jc w:val="center"/>
      </w:pPr>
      <w:r>
        <w:rPr>
          <w:color w:val="2E75B6"/>
          <w:sz w:val="28"/>
          <w:szCs w:val="28"/>
        </w:rPr>
        <w:t xml:space="preserve">Fundamentos del Tablero de Scoring: Value Investing y Analisis Tecnico</w:t>
      </w:r>
    </w:p>
    <w:p>
      <w:pPr>
        <w:spacing w:after="80"/>
        <w:jc w:val="center"/>
      </w:pPr>
      <w:r>
        <w:rPr>
          <w:color w:val="555555"/>
          <w:sz w:val="22"/>
          <w:szCs w:val="22"/>
        </w:rPr>
        <w:t xml:space="preserve">Doctrina de Warren Buffett aplicada a multiplos - 5 indicadores tecnicos</w:t>
      </w:r>
    </w:p>
    <w:p>
      <w:pPr>
        <w:jc w:val="center"/>
      </w:pPr>
      <w:r>
        <w:rPr>
          <w:color w:val="888888"/>
          <w:sz w:val="20"/>
          <w:szCs w:val="20"/>
        </w:rPr>
        <w:t xml:space="preserve">Version 0.1 - Julio 2026</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Este documento fundamenta las reglas del tablero de scoring que clasifica acciones de Estados Unidos, el panel lider argentino (a traves de sus ADRs en dolares) y empresas globales. El objetivo es identificar empresas atractivas por sus fundamentales segun la doctrina de value investing de Warren Buffett, atractivas por analisis tecnico segun una combinacion de cinco indicadores, y aquellas que cumplen ambas condiciones simultaneamente, denominadas Consagrada.</w:t>
      </w:r>
    </w:p>
    <w:p>
      <w:pPr>
        <w:spacing w:after="120" w:line="276"/>
      </w:pPr>
      <w:r>
        <w:t xml:space="preserve">La tesis central es que fundamentales y tecnica no compiten, sino que se complementan: los fundamentales dicen que comprar y la tecnica dice cuando, y sobre todo evita las trampas de valor, es decir, empresas que parecen baratas pero cuyo precio sigue cayendo porque el mercado descuenta un deterioro real. Combinar ambos enfoques reduce falsos positivos en cada uno.</w:t>
      </w:r>
    </w:p>
    <w:p>
      <w:pPr>
        <w:pStyle w:val="Heading1"/>
      </w:pPr>
      <w:r>
        <w:t xml:space="preserve">2. La doctrina de Warren Buffett aplicada a multiplos</w:t>
      </w:r>
    </w:p>
    <w:p>
      <w:pPr>
        <w:spacing w:after="120" w:line="276"/>
      </w:pPr>
      <w:r>
        <w:t xml:space="preserve">La filosofia de Buffett, heredada de Benjamin Graham y refinada por la influencia de Charlie Munger, puede resumirse en una frase: es mucho mejor comprar una empresa maravillosa a un precio razonable que una empresa razonable a un precio maravilloso. El foco no esta en la accion barata a secas, sino en el negocio de calidad con ventaja competitiva durable adquirido con un margen de seguridad. Trasladado a multiplos financieros observables, esto se operacionaliza en cinco dimensiones.</w:t>
      </w:r>
    </w:p>
    <w:p>
      <w:pPr>
        <w:pStyle w:val="Heading2"/>
      </w:pPr>
      <w:r>
        <w:t xml:space="preserve">2.1 P/E - Precio sobre ganancias</w:t>
      </w:r>
    </w:p>
    <w:p>
      <w:pPr>
        <w:spacing w:after="120" w:line="276"/>
      </w:pPr>
      <w:r>
        <w:t xml:space="preserve">Mide cuanto paga el mercado por cada unidad de ganancia. Un P/E bajo sugiere que la accion esta barata respecto de sus beneficios, pero Buffett lo interpreta con matices: tolera un P/E elevado cuando el retorno sobre el capital es excepcional y sostenible, porque un negocio que reinvierte a tasas altas justifica pagar mas. Como guia, se premia P/E por debajo de 15, se acepta hasta 25, y por encima se penaliza salvo que la calidad lo compense.</w:t>
      </w:r>
    </w:p>
    <w:p>
      <w:pPr>
        <w:pStyle w:val="Heading2"/>
      </w:pPr>
      <w:r>
        <w:t xml:space="preserve">2.2 P/B - Precio sobre valor libro</w:t>
      </w:r>
    </w:p>
    <w:p>
      <w:pPr>
        <w:spacing w:after="120" w:line="276"/>
      </w:pPr>
      <w:r>
        <w:t xml:space="preserve">Compara la capitalizacion con el patrimonio contable. Es especialmente informativo en bancos, aseguradoras e industriales intensivos en activos, muy presentes en el panel argentino, como Ternium, Galicia, Macro o Banco de America. En negocios de activos livianos, como el software, pierde relevancia porque el valor esta en intangibles no capitalizados. Se premia P/B por debajo de 1,5 y se acepta hasta 3.</w:t>
      </w:r>
    </w:p>
    <w:p>
      <w:pPr>
        <w:pStyle w:val="Heading2"/>
      </w:pPr>
      <w:r>
        <w:t xml:space="preserve">2.3 ROE - Rentabilidad sobre el patrimonio</w:t>
      </w:r>
    </w:p>
    <w:p>
      <w:pPr>
        <w:spacing w:after="120" w:line="276"/>
      </w:pPr>
      <w:r>
        <w:t xml:space="preserve">Es el corazon del negocio maravilloso: mide cuanta ganancia genera la empresa por cada peso de patrimonio. Buffett busca un ROE alto y sostenido en el tiempo, no un pico puntual inflado por un evento extraordinario. Un umbral clasico es superior al 15 por ciento, premiando por encima del 20 por ciento. Advertencia clave: un ROE alto puede estar apalancado con deuda, por eso debe leerse siempre junto al ratio de endeudamiento.</w:t>
      </w:r>
    </w:p>
    <w:p>
      <w:pPr>
        <w:pStyle w:val="Heading2"/>
      </w:pPr>
      <w:r>
        <w:t xml:space="preserve">2.4 Deuda sobre capital</w:t>
      </w:r>
    </w:p>
    <w:p>
      <w:pPr>
        <w:spacing w:after="120" w:line="276"/>
      </w:pPr>
      <w:r>
        <w:t xml:space="preserve">Buffett tiene aversion declarada al apalancamiento excesivo: prefiere empresas que no dependen de deuda para operar y sobreviven a ciclos adversos. Este ratio actua ademas como control de calidad del ROE, descartando casos donde la rentabilidad es artificialmente alta por endeudamiento. Se premia una relacion deuda sobre patrimonio por debajo de 0,5 y se acepta hasta 1.</w:t>
      </w:r>
    </w:p>
    <w:p>
      <w:pPr>
        <w:pStyle w:val="Heading2"/>
      </w:pPr>
      <w:r>
        <w:t xml:space="preserve">2.5 Margenes</w:t>
      </w:r>
    </w:p>
    <w:p>
      <w:pPr>
        <w:spacing w:after="120" w:line="276"/>
      </w:pPr>
      <w:r>
        <w:t xml:space="preserve">Los margenes bruto, operativo y neto son el mejor proxy observable del moat o foso competitivo. Margenes altos y estables en el tiempo indican poder de fijacion de precios y una posicion defendible, como en Coca-Cola, Apple o Microsoft. Se valora tanto el nivel como la estabilidad: un margen que no se erosiona ante la competencia vale mas que uno alto pero volatil.</w:t>
      </w:r>
    </w:p>
    <w:p>
      <w:pPr>
        <w:spacing w:after="100" w:line="276"/>
      </w:pPr>
      <w:r>
        <w:rPr>
          <w:b/>
          <w:bCs/>
        </w:rPr>
        <w:t xml:space="preserve">Umbrales fundamentales adoptados en el tablero (parametrizados, ajustables):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Metrica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Excelente</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Aceptable</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Peso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&lt; 15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15 - 25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22 %</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P/B</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&lt; 1,5</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1,5 - 3</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18 %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20 %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15 - 20 %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28 %</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Deuda / Equity</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&lt; 0,5</w:t>
            </w:r>
          </w:p>
        </w:tc>
        <w:tc>
          <w:tcPr>
            <w:tcW w:type="dxa" w:w="21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0,5 - 1</w:t>
            </w:r>
          </w:p>
        </w:tc>
        <w:tc>
          <w:tcPr>
            <w:tcW w:type="dxa" w:w="23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16 %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Margen neto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&gt; 20 %</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10 - 20 %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16 %</w:t>
            </w:r>
          </w:p>
        </w:tc>
      </w:tr>
    </w:tbl>
    <w:p>
      <w:pPr>
        <w:spacing w:after="200" w:line="276"/>
      </w:pPr>
      <w:r>
        <w:t xml:space="preserve">El score fundamental se calcula como un promedio ponderado de estas metricas en una escala de 0 a 100, con interpolacion lineal entre los umbrales. No es una regla binaria de todo o nada: eso vaciaria la tabla. Ademas, si una empresa tiene menos de tres metricas fundamentales disponibles, no se la clasifica, se la marca como sin datos suficientes.</w:t>
      </w:r>
    </w:p>
    <w:p>
      <w:r>
        <w:br w:type="page"/>
      </w:r>
    </w:p>
    <w:p>
      <w:pPr>
        <w:pStyle w:val="Heading1"/>
      </w:pPr>
      <w:r>
        <w:t xml:space="preserve">3. Los cinco indicadores tecnicos</w:t>
      </w:r>
    </w:p>
    <w:p>
      <w:pPr>
        <w:spacing w:after="120" w:line="276"/>
      </w:pPr>
      <w:r>
        <w:t xml:space="preserve">El criterio de seleccion no fue elegir los indicadores mas populares, sino los que mejor complementan el value investing y, en particular, ayudan a evitar trampas de valor. Una accion puede estar barata segun todos los multiplos y aun asi seguir cayendo durante meses. La tecnica aporta la confirmacion de que el mercado ya dejo de venderla. Se eligieron cinco que cubren tres dimensiones independientes: tendencia, momentum y volumen.</w:t>
      </w:r>
    </w:p>
    <w:p>
      <w:pPr>
        <w:pStyle w:val="Heading2"/>
      </w:pPr>
      <w:r>
        <w:t xml:space="preserve">3.1 Media movil de 200 ruedas - tendencia primaria</w:t>
      </w:r>
    </w:p>
    <w:p>
      <w:pPr>
        <w:spacing w:after="120" w:line="276"/>
      </w:pPr>
      <w:r>
        <w:t xml:space="preserve">Es el filtro maestro y la principal defensa contra la trampa de valor. Si el precio esta por encima de su media de 200 ruedas, la tendencia de largo plazo es alcista; si esta por debajo, se esta frente a un cuchillo cayendo. Comprar una empresa barata solo tiene sentido cuando el precio ya encontro piso. Este unico filtro separa la accion barata con sosten de la barata en caida libre.</w:t>
      </w:r>
    </w:p>
    <w:p>
      <w:pPr>
        <w:pStyle w:val="Heading2"/>
      </w:pPr>
      <w:r>
        <w:t xml:space="preserve">3.2 Cruce de medias de 50 y 200 - regimen de mediano plazo</w:t>
      </w:r>
    </w:p>
    <w:p>
      <w:pPr>
        <w:spacing w:after="120" w:line="276"/>
      </w:pPr>
      <w:r>
        <w:t xml:space="preserve">Cuando la media de 50 ruedas cruza por encima de la de 200 se produce el golden cross, senal de que el impulso de mediano plazo se alineo con la tendencia de fondo; el cruce inverso, o death cross, advierte lo contrario. Confirma y refina la senal de tendencia del punto anterior.</w:t>
      </w:r>
    </w:p>
    <w:p>
      <w:pPr>
        <w:pStyle w:val="Heading2"/>
      </w:pPr>
      <w:r>
        <w:t xml:space="preserve">3.3 RSI de 14 ruedas - momentum y timing de entrada</w:t>
      </w:r>
    </w:p>
    <w:p>
      <w:pPr>
        <w:spacing w:after="120" w:line="276"/>
      </w:pPr>
      <w:r>
        <w:t xml:space="preserve">El indice de fuerza relativa mide si un activo esta sobrecomprado o sobrevendido. En el contexto de value investing su lectura es particular: una condicion de sobreventa en una empresa de calidad no es debilidad estructural sino una oportunidad de entrada a mejor precio, mientras que la sobrecompra sugiere esperar. Se considera saludable una zona de 40 a 65, se premia parcialmente la sobreventa por debajo de 30 y se penaliza la sobrecompra por encima de 70.</w:t>
      </w:r>
    </w:p>
    <w:p>
      <w:pPr>
        <w:pStyle w:val="Heading2"/>
      </w:pPr>
      <w:r>
        <w:t xml:space="preserve">3.4 MACD - confirmacion de momentum</w:t>
      </w:r>
    </w:p>
    <w:p>
      <w:pPr>
        <w:spacing w:after="120" w:line="276"/>
      </w:pPr>
      <w:r>
        <w:t xml:space="preserve">La convergencia y divergencia de medias moviles captura los cambios de momentum antes que las propias medias, al comparar dos medias exponenciales contra su linea de senal. Que la linea MACD supere a su senal indica que el impulso de corto plazo se vuelve positivo, util para confirmar un giro incipiente.</w:t>
      </w:r>
    </w:p>
    <w:p>
      <w:pPr>
        <w:pStyle w:val="Heading2"/>
      </w:pPr>
      <w:r>
        <w:t xml:space="preserve">3.5 OBV - confirmacion por volumen (clave anti-trampa)</w:t>
      </w:r>
    </w:p>
    <w:p>
      <w:pPr>
        <w:spacing w:after="120" w:line="276"/>
      </w:pPr>
      <w:r>
        <w:t xml:space="preserve">El On-Balance Volume acumula el volumen segun la direccion del precio y revela si detras de un movimiento hay conviccion real o si es un rebote sin sustento. Es la pieza decisiva contra la trampa de valor: si el precio sube pero el OBV no acompana, significa que no hay acumulacion institucional detras y la senal fundamental se descuenta. El volumen confirma o desmiente lo que el precio insinua.</w:t>
      </w:r>
    </w:p>
    <w:p>
      <w:pPr>
        <w:spacing w:after="100" w:line="276"/>
      </w:pPr>
      <w:r>
        <w:rPr>
          <w:b/>
          <w:bCs/>
        </w:rPr>
        <w:t xml:space="preserve">Aporte de cada senal al score tecnico (0 a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760"/>
        <w:gridCol w:w="2400"/>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20"/>
                <w:szCs w:val="20"/>
              </w:rPr>
              <w:t xml:space="preserve">Indicador</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Suma si...</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b/>
                <w:bCs/>
                <w:color w:val="FFFFFF"/>
                <w:sz w:val="20"/>
                <w:szCs w:val="20"/>
              </w:rPr>
              <w:t xml:space="preserve">Puntos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Precio vs MM200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Precio &gt; MM200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Cruce MM50 / MM200</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MM50 &gt; MM200 (golden)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20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RSI(14)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Zona sana 40-65 (o sobreventa)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20</w:t>
            </w:r>
          </w:p>
        </w:tc>
      </w:tr>
      <w:tr>
        <w:tc>
          <w:tcPr>
            <w:tcW w:type="dxa" w:w="4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b w:val="false"/>
                <w:bCs w:val="false"/>
                <w:color w:val="000000"/>
                <w:sz w:val="20"/>
                <w:szCs w:val="20"/>
              </w:rPr>
              <w:t xml:space="preserve">MACD</w:t>
            </w:r>
          </w:p>
        </w:tc>
        <w:tc>
          <w:tcPr>
            <w:tcW w:type="dxa" w:w="27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MACD &gt; senal</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pPr>
              <w:jc w:val="center"/>
            </w:pPr>
            <w:r>
              <w:rPr>
                <w:b w:val="false"/>
                <w:bCs w:val="false"/>
                <w:color w:val="000000"/>
                <w:sz w:val="20"/>
                <w:szCs w:val="20"/>
              </w:rPr>
              <w:t xml:space="preserve">15</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OBV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OBV en alza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15</w:t>
            </w:r>
          </w:p>
        </w:tc>
      </w:tr>
    </w:tbl>
    <w:p>
      <w:pPr>
        <w:spacing w:after="200" w:line="276"/>
      </w:pPr>
      <w:r>
        <w:t xml:space="preserve">Se eligio deliberadamente no incluir un sexto indicador redundante. Bandas de Bollinger o estocastico aportan informacion muy correlacionada con RSI y medias, y sumarlos daria un falso sentido de robustez. Cinco senales sobre tres dimensiones independientes ofrecen mejor relacion senal-ruido.</w:t>
      </w:r>
    </w:p>
    <w:p>
      <w:pPr>
        <w:pStyle w:val="Heading2"/>
      </w:pPr>
      <w:r>
        <w:t xml:space="preserve">3.6 Filtro anti-trampa: techo y recorrido</w:t>
      </w:r>
    </w:p>
    <w:p>
      <w:pPr>
        <w:spacing w:after="120" w:line="276"/>
      </w:pPr>
      <w:r>
        <w:t xml:space="preserve">Un score tecnico alto puede esconder una trampa: una accion que ya recorrio casi todo su camino y esta por agotarse. Por eso el score tecnico incorpora dos castigos. Primero, la cercania a maximos: si el precio esta a menos de 3% de su maximo del periodo, se penaliza -salvo que sea una ruptura confirmada por volumen, es decir, precio en nuevo maximo con un volumen del dia de al menos 150% del promedio de las ultimas 50 ruedas. Esa es justamente la diferencia entre un doble techo (agotamiento, el volumen no acompana) y un rompimiento genuino (el volumen empuja). Segundo, el recorrido hasta el objetivo de consenso de analistas: si el precio ya alcanzo o supero el precio objetivo, queda poco espacio y se penaliza. Asi el sistema evita comprar arriba, sin castigar a las que rompen maximos con fuerza real.</w:t>
      </w:r>
    </w:p>
    <w:p>
      <w:pPr>
        <w:pStyle w:val="Heading2"/>
      </w:pPr>
      <w:r>
        <w:t xml:space="preserve">3.7 Divergencia de RSI y ROA en bancos</w:t>
      </w:r>
    </w:p>
    <w:p>
      <w:pPr>
        <w:spacing w:after="120" w:line="276"/>
      </w:pPr>
      <w:r>
        <w:t xml:space="preserve">La divergencia bajista de RSI detecta agotamiento oculto: si el precio marca un maximo mas alto pero el RSI marca un maximo mas bajo, el impulso se esta debilitando aunque el precio suba, y se castiga el score tecnico. (La comparacion del PRECIO contra su propia historia se descarto por usar valores nominales que mezclan inflacion y crecimiento; la version correcta es comparar el P/E contra su media historica, anotada en el backlog de mejoras.)</w:t>
      </w:r>
    </w:p>
    <w:p>
      <w:pPr>
        <w:spacing w:after="160" w:line="276"/>
      </w:pPr>
      <w:r>
        <w:t xml:space="preserve">En bancos y financieras, ademas, el peso que se le quitaba al Deuda/Equity (no significativo) se reasigna al ROA -retorno sobre activos-, que si mide la eficiencia y solvencia de un banco.</w:t>
      </w:r>
    </w:p>
    <w:p>
      <w:pPr>
        <w:pStyle w:val="Heading1"/>
      </w:pPr>
      <w:r>
        <w:t xml:space="preserve">4. Metodologia de clasificacion</w:t>
      </w:r>
    </w:p>
    <w:p>
      <w:pPr>
        <w:spacing w:after="120" w:line="276"/>
      </w:pPr>
      <w:r>
        <w:t xml:space="preserve">Cada empresa recibe dos scores independientes de 0 a 100. Con los cortes por defecto, fijados en 60 para ambos y ajustables en la configuracion, se define la categoria:</w:t>
      </w:r>
    </w:p>
    <w:p>
      <w:pPr>
        <w:pStyle w:val="ListParagraph"/>
        <w:numPr>
          <w:ilvl w:val="0"/>
          <w:numId w:val="2"/>
        </w:numPr>
        <w:spacing w:after="80"/>
      </w:pPr>
      <w:r>
        <w:rPr>
          <w:b/>
          <w:bCs/>
        </w:rPr>
        <w:t xml:space="preserve">Atractiva por Fundamentales: </w:t>
      </w:r>
      <w:r>
        <w:t xml:space="preserve">score fundamental igual o mayor a 60 (y al menos 3 metricas disponibles).</w:t>
      </w:r>
    </w:p>
    <w:p>
      <w:pPr>
        <w:pStyle w:val="ListParagraph"/>
        <w:numPr>
          <w:ilvl w:val="0"/>
          <w:numId w:val="2"/>
        </w:numPr>
        <w:spacing w:after="80"/>
      </w:pPr>
      <w:r>
        <w:rPr>
          <w:b/>
          <w:bCs/>
        </w:rPr>
        <w:t xml:space="preserve">Atractiva por Tecnico: </w:t>
      </w:r>
      <w:r>
        <w:t xml:space="preserve">score tecnico igual o mayor a 60.</w:t>
      </w:r>
    </w:p>
    <w:p>
      <w:pPr>
        <w:pStyle w:val="ListParagraph"/>
        <w:numPr>
          <w:ilvl w:val="0"/>
          <w:numId w:val="2"/>
        </w:numPr>
        <w:spacing w:after="80"/>
      </w:pPr>
      <w:r>
        <w:rPr>
          <w:b/>
          <w:bCs/>
        </w:rPr>
        <w:t xml:space="preserve">Consagrada: </w:t>
      </w:r>
      <w:r>
        <w:t xml:space="preserve">cumple ambos cortes de forma simultanea.</w:t>
      </w:r>
    </w:p>
    <w:p>
      <w:pPr>
        <w:pStyle w:val="ListParagraph"/>
        <w:numPr>
          <w:ilvl w:val="0"/>
          <w:numId w:val="2"/>
        </w:numPr>
        <w:spacing w:after="80"/>
      </w:pPr>
      <w:r>
        <w:rPr>
          <w:b/>
          <w:bCs/>
        </w:rPr>
        <w:t xml:space="preserve">Ninguna / Sin datos: </w:t>
      </w:r>
      <w:r>
        <w:t xml:space="preserve">no alcanza los cortes, o carece de datos suficientes para clasificar con responsabilidad.</w:t>
      </w:r>
    </w:p>
    <w:p>
      <w:pPr>
        <w:spacing w:after="200" w:line="276"/>
      </w:pPr>
      <w:r>
        <w:t xml:space="preserve">El principio rector es no forzar una clasificacion con datos incompletos. Es preferible declarar sin dato suficiente antes que emitir un falso positivo, especialmente en los ADRs argentinos, donde la cobertura de fundamentales es irregular.</w:t>
      </w:r>
    </w:p>
    <w:p>
      <w:pPr>
        <w:pStyle w:val="Heading2"/>
      </w:pPr>
      <w:r>
        <w:t xml:space="preserve">4.1 Tratamiento sectorial del ratio Deuda / Equity</w:t>
      </w:r>
    </w:p>
    <w:p>
      <w:pPr>
        <w:spacing w:after="120" w:line="276"/>
      </w:pPr>
      <w:r>
        <w:t xml:space="preserve">El ratio Deuda sobre Equity que provee la fuente de datos no es significativo para bancos y companias financieras. La razon es contable y estructural: en un banco la mayor parte del pasivo son depositos de clientes, que constituyen su materia prima operativa y no deuda de apalancamiento en el sentido que a Buffett le preocupa. Aplicar el mismo umbral que a una industrial arroja valores enormes y penaliza de forma espuria a entidades solventes como Galicia, Macro o Banco de America.</w:t>
      </w:r>
    </w:p>
    <w:p>
      <w:pPr>
        <w:spacing w:after="120" w:line="276"/>
      </w:pPr>
      <w:r>
        <w:t xml:space="preserve">Por eso, para las empresas cuyo sector es financiero, el modelo excluye la metrica Deuda / Equity del calculo y reparte su peso entre las cuatro restantes (P/E, P/B, ROE y margen). La metrica se muestra como No Aplica, de modo que la exclusion sea explicita y auditable, en linea con el principio de no penalizar ni clasificar con datos que no corresponden. El listado de sectores excluidos vive en la configuracion y puede ampliarse. En estos sectores el P/B y el ROE ganan protagonismo como indicadores de solvencia y calidad, que es precisamente como un analista evalua a un banco.</w:t>
      </w:r>
    </w:p>
    <w:p>
      <w:pPr>
        <w:spacing w:after="200" w:line="276"/>
      </w:pPr>
      <w:r>
        <w:t xml:space="preserve">Queda pendiente, como mejora futura, incorporar metricas de solvencia especificas del sector financiero, como el ratio de capital regulatorio o Tier 1, cuando se disponga de una fuente que las cubra de forma consistente para el universo argentino.</w:t>
      </w:r>
    </w:p>
    <w:p>
      <w:pPr>
        <w:pStyle w:val="Heading1"/>
      </w:pPr>
      <w:r>
        <w:t xml:space="preserve">5. Limitaciones y advertencias</w:t>
      </w:r>
    </w:p>
    <w:p>
      <w:pPr>
        <w:pStyle w:val="ListParagraph"/>
        <w:numPr>
          <w:ilvl w:val="0"/>
          <w:numId w:val="3"/>
        </w:numPr>
        <w:spacing w:after="80"/>
      </w:pPr>
      <w:r>
        <w:t xml:space="preserve">El ratio Deuda / Equity de bancos y financieras se excluye del score por no ser significativo (ver seccion 4.1). Como mejora futura resta incorporar metricas de solvencia propias del sector, como el capital regulatorio o Tier 1.</w:t>
      </w:r>
    </w:p>
    <w:p>
      <w:pPr>
        <w:pStyle w:val="ListParagraph"/>
        <w:numPr>
          <w:ilvl w:val="0"/>
          <w:numId w:val="3"/>
        </w:numPr>
        <w:spacing w:after="80"/>
      </w:pPr>
      <w:r>
        <w:t xml:space="preserve">Algunos ADRs presentan metricas incompletas; esas empresas quedan marcadas como sin dato y no se clasifican.</w:t>
      </w:r>
    </w:p>
    <w:p>
      <w:pPr>
        <w:pStyle w:val="ListParagraph"/>
        <w:numPr>
          <w:ilvl w:val="0"/>
          <w:numId w:val="3"/>
        </w:numPr>
        <w:spacing w:after="80"/>
      </w:pPr>
      <w:r>
        <w:t xml:space="preserve">Los fundamentales de algunos papeles argentinos llegan distorsionados desde la fuente por efecto de la contabilidad ajustada por inflacion y desfases temporales; el ROE y los margenes pueden no reflejar la realidad operativa. Se recomienda contrastar con los estados contables antes de decidir.</w:t>
      </w:r>
    </w:p>
    <w:p>
      <w:pPr>
        <w:pStyle w:val="ListParagraph"/>
        <w:numPr>
          <w:ilvl w:val="0"/>
          <w:numId w:val="3"/>
        </w:numPr>
        <w:spacing w:after="80"/>
      </w:pPr>
      <w:r>
        <w:t xml:space="preserve">El scoring es un modelo de tamizado, no un dictamen. Sus umbrales deben calibrarse y sus senales validarse historicamente antes de confiar plenamente en ellas.</w:t>
      </w:r>
    </w:p>
    <w:p>
      <w:pPr>
        <w:pStyle w:val="ListParagraph"/>
        <w:numPr>
          <w:ilvl w:val="0"/>
          <w:numId w:val="3"/>
        </w:numPr>
        <w:spacing w:after="80"/>
      </w:pPr>
      <w:r>
        <w:t xml:space="preserve">Este documento y el tablero asociado tienen fin informativo y educativo. No constituyen una recomendacion de inversion ni asesoramiento financiero.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Investigacion Financiera - Tablero de Scoring - 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Arial" w:cs="Arial" w:eastAsia="Arial" w:hAnsi="Arial"/>
      <w:b/>
      <w:bCs/>
      <w:color w:val="1E3A5F"/>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Investigacion Financiera</dc:title>
  <dc:creator>Franco</dc:creator>
  <cp:lastModifiedBy>Un-named</cp:lastModifiedBy>
  <cp:revision>1</cp:revision>
  <dcterms:created xsi:type="dcterms:W3CDTF">2026-07-07T02:13:58.083Z</dcterms:created>
  <dcterms:modified xsi:type="dcterms:W3CDTF">2026-07-07T02:13:58.089Z</dcterms:modified>
</cp:coreProperties>
</file>

<file path=docProps/custom.xml><?xml version="1.0" encoding="utf-8"?>
<Properties xmlns="http://schemas.openxmlformats.org/officeDocument/2006/custom-properties" xmlns:vt="http://schemas.openxmlformats.org/officeDocument/2006/docPropsVTypes"/>
</file>