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rPr>
          <w:b/>
          <w:sz w:val="32"/>
        </w:rPr>
        <w:t xml:space="preserve">Resolución de medida disciplinaria por conducta gravemente perjudicial</w:t>
      </w:r>
    </w:p>
    <w:p>
      <w:r>
        <w:t xml:space="preserve">Vista la información recogida en el expediente de {{NOMBRE NATURAL}}, del grupo {{GRUPO}}, y</w:t>
        <w:br/>
        <w:t xml:space="preserve">practicada la audiencia al alumnado y, en su caso, a la familia, esta Dirección resuelve</w:t>
        <w:br/>
        <w:t xml:space="preserve">imponer la siguiente medida disciplinaria:</w:t>
      </w:r>
    </w:p>
    <w:p>
      <w:r>
        <w:t xml:space="preserve">[medida acordada, y días o periodo si corresponde]</w:t>
      </w:r>
    </w:p>
    <w:p>
      <w:r>
        <w:t xml:space="preserve">Esta resolución se dicta conforme al artículo 38 del Decreto 327/2010, de 13 de julio, por el</w:t>
        <w:br/>
        <w:t xml:space="preserve">que se aprueba el Reglamento Orgánico de los institutos de educación secundaria, y es</w:t>
        <w:br/>
        <w:t xml:space="preserve">inmediatamente ejecutiva.</w:t>
      </w:r>
    </w:p>
    <w:p>
      <w:r>
        <w:t xml:space="preserve">Contra esta resolución cabe presentar reclamación, en el plazo de dos días lectivos desde su</w:t>
        <w:br/>
        <w:t xml:space="preserve">notificación, ante quien la ha impuesto.</w:t>
      </w:r>
    </w:p>
    <w:p>
      <w:pPr>
        <w:jc w:val="right"/>
      </w:pPr>
      <w:r>
        <w:t xml:space="preserve">{{LUGAR Y FECHA}}</w:t>
        <w:br/>
        <w:t xml:space="preserve"/>
        <w:br/>
        <w:t xml:space="preserve">{{TRATAMIENTO FIRMANTE}}</w:t>
        <w:br/>
        <w:t xml:space="preserve"/>
        <w:br/>
        <w:t xml:space="preserve">Fdo.: {{FIRMANTE}}</w:t>
      </w:r>
    </w:p>
    <w:p>
      <w:pPr>
        <w:pBdr>
          <w:bottom w:val="single" w:sz="24" w:space="1" w:color="auto"/>
        </w:pBdr>
      </w:pPr>
    </w:p>
    <w:p>
      <w:r>
        <w:t xml:space="preserve">Responsable del tratamiento: {{CENTRO}}. Finalidad: la tramitación de este expediente de</w:t>
        <w:br/>
        <w:t xml:space="preserve">convivencia. Puede ejercer sus derechos de acceso, rectificación y supresión ante la dirección</w:t>
        <w:br/>
        <w:t xml:space="preserve">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