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883920"/>
            <wp:docPr id="1" name="Picture 1"/>
            <wp:cNvGraphicFramePr>
              <a:graphicFrameLocks noChangeAspect="1"/>
            </wp:cNvGraphicFramePr>
            <a:graphic>
              <a:graphicData uri="http://schemas.openxmlformats.org/drawingml/2006/picture">
                <pic:pic>
                  <pic:nvPicPr>
                    <pic:cNvPr id="0" name="a_2d_vector_graphic_logo_features_a_cartoon_bull_c.png"/>
                    <pic:cNvPicPr/>
                  </pic:nvPicPr>
                  <pic:blipFill>
                    <a:blip r:embed="rId9"/>
                    <a:stretch>
                      <a:fillRect/>
                    </a:stretch>
                  </pic:blipFill>
                  <pic:spPr>
                    <a:xfrm>
                      <a:off x="0" y="0"/>
                      <a:ext cx="1325880" cy="883920"/>
                    </a:xfrm>
                    <a:prstGeom prst="rect"/>
                  </pic:spPr>
                </pic:pic>
              </a:graphicData>
            </a:graphic>
          </wp:inline>
        </w:drawing>
      </w:r>
    </w:p>
    <w:p>
      <w:pPr>
        <w:jc w:val="center"/>
      </w:pPr>
      <w:r>
        <w:rPr>
          <w:b/>
          <w:color w:val="102240"/>
          <w:sz w:val="44"/>
        </w:rPr>
        <w:t>openMiura</w:t>
      </w:r>
    </w:p>
    <w:p>
      <w:pPr>
        <w:jc w:val="center"/>
      </w:pPr>
      <w:r>
        <w:rPr>
          <w:i/>
          <w:color w:val="5A5A5A"/>
          <w:sz w:val="22"/>
        </w:rPr>
        <w:t>What it is · Why now · Why us</w:t>
      </w:r>
    </w:p>
    <w:tbl>
      <w:tblPr>
        <w:tblW w:type="auto" w:w="0"/>
        <w:jc w:val="center"/>
        <w:tblLayout w:type="fixed"/>
        <w:tblLook w:firstColumn="1" w:firstRow="1" w:lastColumn="0" w:lastRow="0" w:noHBand="0" w:noVBand="1" w:val="04A0"/>
      </w:tblPr>
      <w:tblGrid>
        <w:gridCol w:w="8731"/>
      </w:tblGrid>
      <w:tr>
        <w:tc>
          <w:tcPr>
            <w:tcW w:type="dxa" w:w="8731"/>
            <w:vAlign w:val="center"/>
            <w:shd w:fill="EEF4FF"/>
          </w:tcPr>
          <w:p>
            <w:pPr>
              <w:jc w:val="center"/>
            </w:pPr>
            <w:r>
              <w:rPr>
                <w:b/>
                <w:color w:val="154A96"/>
                <w:sz w:val="24"/>
              </w:rPr>
              <w:t>Bring your runtime. openMiura governs it.</w:t>
            </w:r>
          </w:p>
        </w:tc>
      </w:tr>
    </w:tbl>
    <w:p/>
    <w:tbl>
      <w:tblPr>
        <w:tblW w:type="auto" w:w="0"/>
        <w:jc w:val="center"/>
        <w:tblLayout w:type="fixed"/>
        <w:tblLook w:firstColumn="1" w:firstRow="1" w:lastColumn="0" w:lastRow="0" w:noHBand="0" w:noVBand="1" w:val="04A0"/>
      </w:tblPr>
      <w:tblGrid>
        <w:gridCol w:w="2891"/>
        <w:gridCol w:w="2891"/>
        <w:gridCol w:w="2948"/>
      </w:tblGrid>
      <w:tr>
        <w:tc>
          <w:tcPr>
            <w:tcW w:type="dxa" w:w="2891"/>
            <w:vAlign w:val="top"/>
          </w:tcPr>
          <w:p>
            <w:r>
              <w:rPr>
                <w:b/>
                <w:color w:val="123769"/>
                <w:sz w:val="23"/>
              </w:rPr>
              <w:t>What openMiura is</w:t>
            </w:r>
          </w:p>
          <w:p>
            <w:pPr>
              <w:spacing w:before="80" w:line="259" w:lineRule="auto"/>
            </w:pPr>
            <w:r>
              <w:rPr>
                <w:sz w:val="20"/>
              </w:rPr>
              <w:t>A governed agent operations platform for organizations that want to use AI agents across email, terminal, Slack, browser, CRM, ERP, and internal systems with policy control, approvals, secrets isolation, auditability, and rollback.</w:t>
            </w:r>
          </w:p>
        </w:tc>
        <w:tc>
          <w:tcPr>
            <w:tcW w:type="dxa" w:w="2891"/>
            <w:vAlign w:val="top"/>
          </w:tcPr>
          <w:p>
            <w:r>
              <w:rPr>
                <w:b/>
                <w:color w:val="123769"/>
                <w:sz w:val="23"/>
              </w:rPr>
              <w:t>Why now</w:t>
            </w:r>
          </w:p>
          <w:p>
            <w:pPr>
              <w:spacing w:before="80" w:line="259" w:lineRule="auto"/>
            </w:pPr>
            <w:r>
              <w:rPr>
                <w:sz w:val="20"/>
              </w:rPr>
              <w:t>AI models and agent runtimes are improving fast, but enterprise adoption is blocked by trust, risk, and control. Companies need to know who can do what, with which data, under which policy, with which approval, and with what auditable proof afterward.</w:t>
            </w:r>
          </w:p>
        </w:tc>
        <w:tc>
          <w:tcPr>
            <w:tcW w:type="dxa" w:w="2948"/>
            <w:vAlign w:val="top"/>
          </w:tcPr>
          <w:p>
            <w:r>
              <w:rPr>
                <w:b/>
                <w:color w:val="123769"/>
                <w:sz w:val="23"/>
              </w:rPr>
              <w:t>Why us</w:t>
            </w:r>
          </w:p>
          <w:p>
            <w:pPr>
              <w:spacing w:before="80" w:line="259" w:lineRule="auto"/>
            </w:pPr>
            <w:r>
              <w:rPr>
                <w:sz w:val="20"/>
              </w:rPr>
              <w:t>openMiura is designed around the hard problems of enterprise deployment: multi-tenant isolation, fine-grained access control, declarative policy, human approvals, immutable audit trails, secret brokering, realtime operations visibility, and OpenClaw-compatible runtime governance.</w:t>
            </w:r>
          </w:p>
        </w:tc>
      </w:tr>
    </w:tbl>
    <w:p/>
    <w:tbl>
      <w:tblPr>
        <w:tblW w:type="auto" w:w="0"/>
        <w:jc w:val="center"/>
        <w:tblLayout w:type="fixed"/>
        <w:tblLook w:firstColumn="1" w:firstRow="1" w:lastColumn="0" w:lastRow="0" w:noHBand="0" w:noVBand="1" w:val="04A0"/>
      </w:tblPr>
      <w:tblGrid>
        <w:gridCol w:w="4309"/>
        <w:gridCol w:w="4422"/>
      </w:tblGrid>
      <w:tr>
        <w:tc>
          <w:tcPr>
            <w:tcW w:type="dxa" w:w="5100"/>
            <w:vAlign w:val="top"/>
          </w:tcPr>
          <w:p>
            <w:r>
              <w:rPr>
                <w:b/>
                <w:color w:val="123769"/>
                <w:sz w:val="22"/>
              </w:rPr>
              <w:t>Initial wedge</w:t>
            </w:r>
          </w:p>
          <w:p>
            <w:pPr>
              <w:pStyle w:val="ListBullet"/>
              <w:spacing w:before="0" w:after="0"/>
            </w:pPr>
            <w:r>
              <w:rPr>
                <w:sz w:val="19"/>
              </w:rPr>
              <w:t>IT / SecOps / Platform Operations</w:t>
            </w:r>
          </w:p>
          <w:p>
            <w:pPr>
              <w:pStyle w:val="ListBullet"/>
              <w:spacing w:before="0" w:after="0"/>
            </w:pPr>
            <w:r>
              <w:rPr>
                <w:sz w:val="19"/>
              </w:rPr>
              <w:t>Finance, procurement, and compliance-heavy back office</w:t>
            </w:r>
          </w:p>
          <w:p>
            <w:pPr>
              <w:pStyle w:val="ListBullet"/>
              <w:spacing w:before="0" w:after="0"/>
            </w:pPr>
            <w:r>
              <w:rPr>
                <w:sz w:val="19"/>
              </w:rPr>
              <w:t>Laboratories, pharma, and regulated operations</w:t>
            </w:r>
          </w:p>
        </w:tc>
        <w:tc>
          <w:tcPr>
            <w:tcW w:type="dxa" w:w="5100"/>
            <w:vAlign w:val="top"/>
          </w:tcPr>
          <w:p>
            <w:r>
              <w:rPr>
                <w:b/>
                <w:color w:val="123769"/>
                <w:sz w:val="22"/>
              </w:rPr>
              <w:t>Why this matters</w:t>
            </w:r>
          </w:p>
          <w:p>
            <w:pPr>
              <w:pStyle w:val="ListBullet"/>
              <w:spacing w:before="0" w:after="0"/>
            </w:pPr>
            <w:r>
              <w:rPr>
                <w:sz w:val="19"/>
              </w:rPr>
              <w:t>Turns agents from demos into deployable systems</w:t>
            </w:r>
          </w:p>
          <w:p>
            <w:pPr>
              <w:pStyle w:val="ListBullet"/>
              <w:spacing w:before="0" w:after="0"/>
            </w:pPr>
            <w:r>
              <w:rPr>
                <w:sz w:val="19"/>
              </w:rPr>
              <w:t>Creates trust with CIO, CISO, and operations leaders</w:t>
            </w:r>
          </w:p>
          <w:p>
            <w:pPr>
              <w:pStyle w:val="ListBullet"/>
              <w:spacing w:before="0" w:after="0"/>
            </w:pPr>
            <w:r>
              <w:rPr>
                <w:sz w:val="19"/>
              </w:rPr>
              <w:t>Builds moat through governance, integrations, and ecosystem</w:t>
            </w:r>
          </w:p>
        </w:tc>
      </w:tr>
    </w:tbl>
    <w:tbl>
      <w:tblPr>
        <w:tblW w:type="auto" w:w="0"/>
        <w:jc w:val="center"/>
        <w:tblLayout w:type="fixed"/>
        <w:tblLook w:firstColumn="1" w:firstRow="1" w:lastColumn="0" w:lastRow="0" w:noHBand="0" w:noVBand="1" w:val="04A0"/>
      </w:tblPr>
      <w:tblGrid>
        <w:gridCol w:w="8731"/>
      </w:tblGrid>
      <w:tr>
        <w:tc>
          <w:tcPr>
            <w:tcW w:type="dxa" w:w="8731"/>
            <w:vAlign w:val="center"/>
            <w:shd w:fill="FFF4E5"/>
          </w:tcPr>
          <w:p>
            <w:pPr>
              <w:jc w:val="center"/>
            </w:pPr>
            <w:r>
              <w:rPr>
                <w:b/>
                <w:color w:val="8A5611"/>
                <w:sz w:val="24"/>
              </w:rPr>
              <w:t>openMiura makes agents deployable in real organizations.</w:t>
            </w:r>
          </w:p>
        </w:tc>
      </w:tr>
    </w:tbl>
    <w:p>
      <w:pPr>
        <w:jc w:val="center"/>
      </w:pPr>
      <w:r>
        <w:rPr>
          <w:i/>
          <w:color w:val="646464"/>
          <w:sz w:val="18"/>
        </w:rPr>
        <w:t>Governed Agent Operations Platform</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