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Fonts w:ascii="Avenir" w:cs="Avenir" w:eastAsia="Avenir" w:hAnsi="Avenir"/>
          <w:b w:val="1"/>
          <w:vertAlign w:val="baseline"/>
          <w:rtl w:val="0"/>
        </w:rPr>
        <w:t xml:space="preserve">EXERCICE DE DESCRIPTION ET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RÉSUMÉ</w:t>
      </w: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vertAlign w:val="baseline"/>
          <w:rtl w:val="0"/>
        </w:rPr>
        <w:t xml:space="preserve"> DE FILMS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venir" w:cs="Avenir" w:eastAsia="Avenir" w:hAnsi="Avenir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CINÉMATHÈQUE</w:t>
      </w: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vertAlign w:val="baseline"/>
          <w:rtl w:val="0"/>
        </w:rPr>
        <w:t xml:space="preserve"> DE BRETAGNE</w:t>
      </w:r>
    </w:p>
    <w:p w:rsidR="00000000" w:rsidDel="00000000" w:rsidP="00000000" w:rsidRDefault="00000000" w:rsidRPr="00000000" w14:paraId="00000003">
      <w:pPr>
        <w:pageBreakBefore w:val="0"/>
        <w:jc w:val="both"/>
        <w:rPr>
          <w:rFonts w:ascii="Avenir" w:cs="Avenir" w:eastAsia="Avenir" w:hAnsi="Avenir"/>
          <w:color w:val="1155cc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Il vous revient de rechercher les films sur le site de la Cinémathèque de Bretagne : </w:t>
            </w:r>
            <w:hyperlink r:id="rId7">
              <w:r w:rsidDel="00000000" w:rsidR="00000000" w:rsidRPr="00000000">
                <w:rPr>
                  <w:rFonts w:ascii="Avenir" w:cs="Avenir" w:eastAsia="Avenir" w:hAnsi="Avenir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https://www.cinematheque-bretagne.bzh/Base-documentaire-426-0-0-0.html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A droite de l’écran, un thésaurus est à votre disposition dans l’outils « recherche par mot-clé » :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2374900</wp:posOffset>
                      </wp:positionH>
                      <wp:positionV relativeFrom="paragraph">
                        <wp:posOffset>279400</wp:posOffset>
                      </wp:positionV>
                      <wp:extent cx="1473200" cy="433705"/>
                      <wp:effectExtent b="0" l="0" r="0" t="0"/>
                      <wp:wrapNone/>
                      <wp:docPr id="2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633213" y="3586960"/>
                                <a:ext cx="1425575" cy="386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12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Cliquez sur l'icône pour ouvrir le thésaurus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2374900</wp:posOffset>
                      </wp:positionH>
                      <wp:positionV relativeFrom="paragraph">
                        <wp:posOffset>279400</wp:posOffset>
                      </wp:positionV>
                      <wp:extent cx="1473200" cy="433705"/>
                      <wp:effectExtent b="0" l="0" r="0" t="0"/>
                      <wp:wrapNone/>
                      <wp:docPr id="2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73200" cy="4337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52068</wp:posOffset>
                  </wp:positionV>
                  <wp:extent cx="1476375" cy="1090295"/>
                  <wp:effectExtent b="0" l="0" r="0" t="0"/>
                  <wp:wrapSquare wrapText="bothSides" distB="0" distT="0" distL="0" distR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90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1800225</wp:posOffset>
                  </wp:positionH>
                  <wp:positionV relativeFrom="paragraph">
                    <wp:posOffset>31750</wp:posOffset>
                  </wp:positionV>
                  <wp:extent cx="322580" cy="340360"/>
                  <wp:effectExtent b="0" l="0" r="0" t="0"/>
                  <wp:wrapSquare wrapText="bothSides" distB="0" distT="0" distL="0" distR="0"/>
                  <wp:docPr id="3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80" cy="340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-139699</wp:posOffset>
                      </wp:positionH>
                      <wp:positionV relativeFrom="paragraph">
                        <wp:posOffset>63500</wp:posOffset>
                      </wp:positionV>
                      <wp:extent cx="446405" cy="148590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146920" y="3729780"/>
                                <a:ext cx="398160" cy="100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3465A4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-139699</wp:posOffset>
                      </wp:positionH>
                      <wp:positionV relativeFrom="paragraph">
                        <wp:posOffset>63500</wp:posOffset>
                      </wp:positionV>
                      <wp:extent cx="446405" cy="148590"/>
                      <wp:effectExtent b="0" l="0" r="0" t="0"/>
                      <wp:wrapNone/>
                      <wp:docPr id="25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6405" cy="1485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0</wp:posOffset>
                      </wp:positionV>
                      <wp:extent cx="414020" cy="63500"/>
                      <wp:effectExtent b="0" l="0" r="0" t="0"/>
                      <wp:wrapNone/>
                      <wp:docPr id="2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158440" y="3780000"/>
                                <a:ext cx="3751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3465A4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0</wp:posOffset>
                      </wp:positionV>
                      <wp:extent cx="414020" cy="63500"/>
                      <wp:effectExtent b="0" l="0" r="0" t="0"/>
                      <wp:wrapNone/>
                      <wp:docPr id="28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4020" cy="63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1346200</wp:posOffset>
                      </wp:positionH>
                      <wp:positionV relativeFrom="paragraph">
                        <wp:posOffset>381000</wp:posOffset>
                      </wp:positionV>
                      <wp:extent cx="395605" cy="126365"/>
                      <wp:effectExtent b="0" l="0" r="0" t="0"/>
                      <wp:wrapNone/>
                      <wp:docPr id="2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172300" y="3740940"/>
                                <a:ext cx="347400" cy="78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9FCF"/>
                              </a:solidFill>
                              <a:ln cap="flat" cmpd="sng" w="9525">
                                <a:solidFill>
                                  <a:srgbClr val="3465A4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1346200</wp:posOffset>
                      </wp:positionH>
                      <wp:positionV relativeFrom="paragraph">
                        <wp:posOffset>381000</wp:posOffset>
                      </wp:positionV>
                      <wp:extent cx="395605" cy="126365"/>
                      <wp:effectExtent b="0" l="0" r="0" t="0"/>
                      <wp:wrapNone/>
                      <wp:docPr id="27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5605" cy="1263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N° : </w:t>
      </w:r>
    </w:p>
    <w:p w:rsidR="00000000" w:rsidDel="00000000" w:rsidP="00000000" w:rsidRDefault="00000000" w:rsidRPr="00000000" w14:paraId="0000000F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Titre : A</w:t>
      </w: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u collège Bon secours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Année : </w:t>
      </w:r>
    </w:p>
    <w:p w:rsidR="00000000" w:rsidDel="00000000" w:rsidP="00000000" w:rsidRDefault="00000000" w:rsidRPr="00000000" w14:paraId="00000011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Réalisation : </w:t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Fonds : </w:t>
      </w:r>
    </w:p>
    <w:p w:rsidR="00000000" w:rsidDel="00000000" w:rsidP="00000000" w:rsidRDefault="00000000" w:rsidRPr="00000000" w14:paraId="00000013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Coloration :</w:t>
      </w:r>
    </w:p>
    <w:p w:rsidR="00000000" w:rsidDel="00000000" w:rsidP="00000000" w:rsidRDefault="00000000" w:rsidRPr="00000000" w14:paraId="00000015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Son :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Format d’origine : </w:t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Durée : </w:t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Genre : </w:t>
      </w:r>
    </w:p>
    <w:p w:rsidR="00000000" w:rsidDel="00000000" w:rsidP="00000000" w:rsidRDefault="00000000" w:rsidRPr="00000000" w14:paraId="00000019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Contexte/thème : 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------------------------------------------------------------------------------------------------------------------</w:t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both"/>
        <w:rPr/>
      </w:pPr>
      <w:r w:rsidDel="00000000" w:rsidR="00000000" w:rsidRPr="00000000">
        <w:rPr>
          <w:rFonts w:ascii="Avenir" w:cs="Avenir" w:eastAsia="Avenir" w:hAnsi="Avenir"/>
          <w:sz w:val="22"/>
          <w:szCs w:val="22"/>
          <w:u w:val="single"/>
          <w:vertAlign w:val="baseline"/>
          <w:rtl w:val="0"/>
        </w:rPr>
        <w:t xml:space="preserve">Résumé-description</w:t>
      </w: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 (3 points)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both"/>
        <w:rPr/>
      </w:pPr>
      <w:r w:rsidDel="00000000" w:rsidR="00000000" w:rsidRPr="00000000">
        <w:rPr>
          <w:rFonts w:ascii="Avenir" w:cs="Avenir" w:eastAsia="Avenir" w:hAnsi="Avenir"/>
          <w:sz w:val="22"/>
          <w:szCs w:val="22"/>
          <w:u w:val="single"/>
          <w:vertAlign w:val="baseline"/>
          <w:rtl w:val="0"/>
        </w:rPr>
        <w:t xml:space="preserve">Résumé-diffusion culturelle</w:t>
      </w: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 (1 point)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both"/>
        <w:rPr/>
      </w:pPr>
      <w:r w:rsidDel="00000000" w:rsidR="00000000" w:rsidRPr="00000000">
        <w:rPr>
          <w:rFonts w:ascii="Avenir" w:cs="Avenir" w:eastAsia="Avenir" w:hAnsi="Avenir"/>
          <w:sz w:val="22"/>
          <w:szCs w:val="22"/>
          <w:u w:val="single"/>
          <w:vertAlign w:val="baseline"/>
          <w:rtl w:val="0"/>
        </w:rPr>
        <w:t xml:space="preserve">Descripteurs</w:t>
      </w: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 (</w:t>
      </w:r>
      <w:r w:rsidDel="00000000" w:rsidR="00000000" w:rsidRPr="00000000">
        <w:rPr>
          <w:rFonts w:ascii="Avenir" w:cs="Avenir" w:eastAsia="Avenir" w:hAnsi="Avenir"/>
          <w:i w:val="1"/>
          <w:sz w:val="22"/>
          <w:szCs w:val="22"/>
          <w:rtl w:val="0"/>
        </w:rPr>
        <w:t xml:space="preserve">3 à 4 termes issus du thésaurus par séquence) </w:t>
      </w: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(1 point) </w:t>
      </w:r>
      <w:r w:rsidDel="00000000" w:rsidR="00000000" w:rsidRPr="00000000">
        <w:rPr>
          <w:rFonts w:ascii="Avenir" w:cs="Avenir" w:eastAsia="Avenir" w:hAnsi="Avenir"/>
          <w:i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76" w:top="1050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inematheque-bretagne.bzh/Base-documentaire-426-0-0-0.html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P0wq3Prs/0eYotefCl2eCx0DCQ==">CgMxLjA4AHIhMUhzRFBrUnpTQUk1SVdLb2RselJXM3E1UmRSR1RqaXBp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