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8FB6" w14:textId="07433D74" w:rsidR="002F5CCB" w:rsidRDefault="00BA3A17" w:rsidP="00C33982">
      <w:pPr>
        <w:pStyle w:val="Titolo"/>
        <w:jc w:val="both"/>
        <w:rPr>
          <w:lang w:val="it-IT"/>
        </w:rPr>
      </w:pPr>
      <w:r>
        <w:rPr>
          <w:lang w:val="it-IT"/>
        </w:rPr>
        <w:t>SMASHBOX</w:t>
      </w:r>
    </w:p>
    <w:p w14:paraId="0AB43670" w14:textId="77777777" w:rsidR="002F5CCB" w:rsidRDefault="002F5CCB" w:rsidP="00C33982">
      <w:pPr>
        <w:rPr>
          <w:lang w:val="it-IT"/>
        </w:rPr>
      </w:pPr>
    </w:p>
    <w:p w14:paraId="7734A604" w14:textId="0A007EF7" w:rsidR="00A20659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C33982">
      <w:pPr>
        <w:rPr>
          <w:lang w:val="it-IT"/>
        </w:rPr>
      </w:pPr>
    </w:p>
    <w:p w14:paraId="5E78098A" w14:textId="1B99686A" w:rsidR="00BA3A17" w:rsidRDefault="00DD5E8D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LOCAL: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C33982">
      <w:pPr>
        <w:rPr>
          <w:lang w:val="it-IT"/>
        </w:rPr>
      </w:pPr>
    </w:p>
    <w:p w14:paraId="4C4870C0" w14:textId="31FEAC69" w:rsidR="00BA3A17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4AFA555C" w14:textId="77777777" w:rsidR="002D3F92" w:rsidRPr="002D3F92" w:rsidRDefault="002D3F92" w:rsidP="00C33982">
      <w:pPr>
        <w:rPr>
          <w:lang w:val="it-IT"/>
        </w:rPr>
      </w:pPr>
    </w:p>
    <w:p w14:paraId="6ED1B3F0" w14:textId="03DAD3ED" w:rsidR="00BA3A17" w:rsidRPr="00BA3A17" w:rsidRDefault="00BA3A17" w:rsidP="00C33982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C33982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 seguenti:</w:t>
      </w:r>
    </w:p>
    <w:p w14:paraId="3DA017A5" w14:textId="73C3B822" w:rsidR="00BA3A17" w:rsidRDefault="00BA3A17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</w:t>
      </w:r>
      <w:proofErr w:type="spellStart"/>
      <w:r>
        <w:rPr>
          <w:lang w:val="it-IT"/>
        </w:rPr>
        <w:t>eprotocollo</w:t>
      </w:r>
      <w:proofErr w:type="spellEnd"/>
      <w:r>
        <w:rPr>
          <w:lang w:val="it-IT"/>
        </w:rPr>
        <w:t xml:space="preserve">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</w:t>
      </w:r>
    </w:p>
    <w:p w14:paraId="7ACA7E42" w14:textId="0F3A5ED6" w:rsidR="00BA3A17" w:rsidRDefault="00BA3A17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Accelerometro: rilevazione di movimenti della cassetta tramite (TODO: inserire il codice, protocollo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</w:p>
    <w:p w14:paraId="0324FF55" w14:textId="5F4B6892" w:rsidR="00BA3A17" w:rsidRDefault="00BA3A17" w:rsidP="00C33982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C33982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23447888" w14:textId="7A7FFB39" w:rsidR="00331559" w:rsidRDefault="00331559" w:rsidP="00C33982">
      <w:pPr>
        <w:ind w:left="360"/>
        <w:rPr>
          <w:lang w:val="it-IT"/>
        </w:rPr>
      </w:pPr>
    </w:p>
    <w:p w14:paraId="05DB29B0" w14:textId="77777777" w:rsidR="00331559" w:rsidRDefault="00331559" w:rsidP="00C33982">
      <w:pPr>
        <w:ind w:left="360"/>
        <w:rPr>
          <w:lang w:val="it-IT"/>
        </w:rPr>
      </w:pPr>
    </w:p>
    <w:p w14:paraId="5F1B0474" w14:textId="77777777" w:rsidR="00331559" w:rsidRDefault="00331559" w:rsidP="00C33982">
      <w:pPr>
        <w:ind w:left="360"/>
        <w:rPr>
          <w:lang w:val="it-IT"/>
        </w:rPr>
      </w:pPr>
    </w:p>
    <w:p w14:paraId="0D2835B4" w14:textId="77777777" w:rsidR="00331559" w:rsidRDefault="00331559" w:rsidP="00C33982">
      <w:pPr>
        <w:ind w:left="360"/>
        <w:rPr>
          <w:lang w:val="it-IT"/>
        </w:rPr>
      </w:pPr>
    </w:p>
    <w:p w14:paraId="6A31368F" w14:textId="77777777" w:rsidR="00331559" w:rsidRDefault="00331559" w:rsidP="00C33982">
      <w:pPr>
        <w:ind w:left="360"/>
        <w:rPr>
          <w:lang w:val="it-IT"/>
        </w:rPr>
      </w:pPr>
    </w:p>
    <w:p w14:paraId="126FC596" w14:textId="77777777" w:rsidR="00331559" w:rsidRDefault="00331559" w:rsidP="00C33982">
      <w:pPr>
        <w:ind w:left="360"/>
        <w:rPr>
          <w:lang w:val="it-IT"/>
        </w:rPr>
      </w:pPr>
    </w:p>
    <w:p w14:paraId="6404E74D" w14:textId="2EF79CF5" w:rsidR="00925362" w:rsidRPr="00331559" w:rsidRDefault="00BA3A17" w:rsidP="00C33982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lastRenderedPageBreak/>
        <w:t>BRIDGE</w:t>
      </w:r>
      <w:r w:rsidR="00460E88" w:rsidRPr="00331559">
        <w:rPr>
          <w:b/>
          <w:bCs/>
          <w:i/>
          <w:iCs/>
          <w:lang w:val="it-IT"/>
        </w:rPr>
        <w:t xml:space="preserve"> </w:t>
      </w:r>
    </w:p>
    <w:p w14:paraId="15D57424" w14:textId="278C90C5" w:rsidR="009A2AFF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2E397BE5" w14:textId="1C387C02" w:rsidR="009A2AFF" w:rsidRPr="00331559" w:rsidRDefault="009A2AFF" w:rsidP="00C33982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t>CLOUD</w:t>
      </w:r>
      <w:r w:rsidR="00460E88" w:rsidRPr="00331559">
        <w:rPr>
          <w:b/>
          <w:bCs/>
          <w:i/>
          <w:iCs/>
          <w:lang w:val="it-IT"/>
        </w:rPr>
        <w:t xml:space="preserve"> (THINGS)</w:t>
      </w:r>
    </w:p>
    <w:p w14:paraId="0BB34D6A" w14:textId="7CD611CD" w:rsidR="009A2AFF" w:rsidRPr="0016268C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(al momento). Qui </w:t>
      </w:r>
      <w:r w:rsidR="0016268C">
        <w:rPr>
          <w:lang w:val="it-IT"/>
        </w:rPr>
        <w:t>avverrà</w:t>
      </w:r>
      <w:r>
        <w:rPr>
          <w:lang w:val="it-IT"/>
        </w:rPr>
        <w:t xml:space="preserve"> il monitoring dei dati nel corrispondente Digital Twin e la gestione dei trigger scaturiti sulla base dei dati che arrivano dal Bridge.</w:t>
      </w:r>
    </w:p>
    <w:p w14:paraId="32249030" w14:textId="71A76006" w:rsidR="0016268C" w:rsidRPr="00CF70EE" w:rsidRDefault="0016268C" w:rsidP="00C33982">
      <w:pPr>
        <w:ind w:left="360"/>
        <w:rPr>
          <w:b/>
          <w:bCs/>
          <w:i/>
          <w:iCs/>
          <w:lang w:val="it-IT"/>
        </w:rPr>
      </w:pPr>
      <w:r w:rsidRPr="00CF70EE">
        <w:rPr>
          <w:b/>
          <w:bCs/>
          <w:i/>
          <w:iCs/>
          <w:lang w:val="it-IT"/>
        </w:rPr>
        <w:t>MQTT SERVER(MQTT)</w:t>
      </w:r>
    </w:p>
    <w:p w14:paraId="697D3EA0" w14:textId="65B669EC" w:rsidR="0016268C" w:rsidRPr="0016268C" w:rsidRDefault="0016268C" w:rsidP="00C33982">
      <w:pPr>
        <w:ind w:left="360"/>
        <w:rPr>
          <w:lang w:val="it-IT"/>
        </w:rPr>
      </w:pPr>
      <w:r w:rsidRPr="0016268C">
        <w:rPr>
          <w:lang w:val="it-IT"/>
        </w:rPr>
        <w:t>C’è un ulteriore blocco</w:t>
      </w:r>
      <w:r>
        <w:rPr>
          <w:lang w:val="it-IT"/>
        </w:rPr>
        <w:t>, che sarà un broker MQTT sul server dove appoggiarsi per scambiare dati tra BRIDGE e THINGS. L’idea è che i trigger di allarme siano mandati su questo server (</w:t>
      </w:r>
      <w:r w:rsidRPr="0016268C">
        <w:rPr>
          <w:i/>
          <w:iCs/>
          <w:lang w:val="it-IT"/>
        </w:rPr>
        <w:t>test.mosquitto.org</w:t>
      </w:r>
      <w:r>
        <w:rPr>
          <w:lang w:val="it-IT"/>
        </w:rPr>
        <w:t xml:space="preserve">) e recuperati dal BRIDGE sullo stesso. Questo perché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non ha nella sua versione community un MQTT integrato da poter usare. </w:t>
      </w:r>
    </w:p>
    <w:p w14:paraId="19675EF3" w14:textId="3F66460E" w:rsidR="009A2AFF" w:rsidRPr="0016268C" w:rsidRDefault="00E40781" w:rsidP="00C33982">
      <w:pPr>
        <w:ind w:left="360"/>
        <w:rPr>
          <w:b/>
          <w:bCs/>
          <w:i/>
          <w:iCs/>
          <w:lang w:val="it-IT"/>
        </w:rPr>
      </w:pPr>
      <w:r w:rsidRPr="0016268C">
        <w:rPr>
          <w:b/>
          <w:bCs/>
          <w:i/>
          <w:iCs/>
          <w:lang w:val="it-IT"/>
        </w:rPr>
        <w:t xml:space="preserve">SERVER </w:t>
      </w:r>
      <w:r w:rsidR="00E16B2C" w:rsidRPr="0016268C">
        <w:rPr>
          <w:b/>
          <w:bCs/>
          <w:i/>
          <w:iCs/>
          <w:lang w:val="it-IT"/>
        </w:rPr>
        <w:t>CUSTOMERS</w:t>
      </w:r>
      <w:r w:rsidR="00E42C64" w:rsidRPr="0016268C">
        <w:rPr>
          <w:b/>
          <w:bCs/>
          <w:i/>
          <w:iCs/>
          <w:lang w:val="it-IT"/>
        </w:rPr>
        <w:t xml:space="preserve"> (</w:t>
      </w:r>
      <w:r w:rsidR="00CF70EE">
        <w:rPr>
          <w:b/>
          <w:bCs/>
          <w:i/>
          <w:iCs/>
          <w:lang w:val="it-IT"/>
        </w:rPr>
        <w:t>FIREBASE</w:t>
      </w:r>
      <w:r w:rsidR="00E42C64" w:rsidRPr="0016268C">
        <w:rPr>
          <w:b/>
          <w:bCs/>
          <w:i/>
          <w:iCs/>
          <w:lang w:val="it-IT"/>
        </w:rPr>
        <w:t>)</w:t>
      </w:r>
    </w:p>
    <w:p w14:paraId="72DDF30D" w14:textId="4299F402" w:rsidR="009A2AFF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CF70EE">
        <w:rPr>
          <w:lang w:val="it-IT"/>
        </w:rPr>
        <w:t xml:space="preserve"> Questo non solo può essere usato per il log, ma anche come backup dei clienti registrati sul </w:t>
      </w:r>
      <w:proofErr w:type="spellStart"/>
      <w:r w:rsidR="00CF70EE">
        <w:rPr>
          <w:lang w:val="it-IT"/>
        </w:rPr>
        <w:t>central</w:t>
      </w:r>
      <w:proofErr w:type="spellEnd"/>
      <w:r w:rsidR="00CF70EE">
        <w:rPr>
          <w:lang w:val="it-IT"/>
        </w:rPr>
        <w:t xml:space="preserve"> per accedere alle cassette.</w:t>
      </w:r>
      <w:r w:rsidR="00E42C64">
        <w:rPr>
          <w:lang w:val="it-IT"/>
        </w:rPr>
        <w:t xml:space="preserve"> </w:t>
      </w:r>
      <w:r w:rsidR="00CF70EE">
        <w:rPr>
          <w:lang w:val="it-IT"/>
        </w:rPr>
        <w:t xml:space="preserve">Tutto </w:t>
      </w:r>
      <w:r w:rsidR="00E42C64">
        <w:rPr>
          <w:lang w:val="it-IT"/>
        </w:rPr>
        <w:t xml:space="preserve">questo sarà gestito con </w:t>
      </w:r>
      <w:r w:rsidR="00CF70EE">
        <w:rPr>
          <w:lang w:val="it-IT"/>
        </w:rPr>
        <w:t xml:space="preserve">un Real Time Database di </w:t>
      </w:r>
      <w:proofErr w:type="spellStart"/>
      <w:r w:rsidR="00CF70EE">
        <w:rPr>
          <w:lang w:val="it-IT"/>
        </w:rPr>
        <w:t>Firebase</w:t>
      </w:r>
      <w:proofErr w:type="spellEnd"/>
      <w:r w:rsidR="00E42C64">
        <w:rPr>
          <w:lang w:val="it-IT"/>
        </w:rPr>
        <w:t>.</w:t>
      </w:r>
    </w:p>
    <w:p w14:paraId="2FFF6682" w14:textId="27BFD2A7" w:rsidR="00E42C64" w:rsidRDefault="00C00772" w:rsidP="00C3398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</w:t>
      </w:r>
      <w:proofErr w:type="spellStart"/>
      <w:r>
        <w:rPr>
          <w:lang w:val="it-IT"/>
        </w:rPr>
        <w:t>Blocks</w:t>
      </w:r>
      <w:proofErr w:type="spellEnd"/>
    </w:p>
    <w:p w14:paraId="4D9E68EA" w14:textId="790DD932" w:rsidR="00E42C64" w:rsidRDefault="00E42C64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62C622C0" w14:textId="5A059FDF" w:rsidR="00784F54" w:rsidRDefault="00E42C64" w:rsidP="00C33982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7A9D59C7" w14:textId="77777777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</w:t>
      </w:r>
    </w:p>
    <w:p w14:paraId="74834D27" w14:textId="09366035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3.1 VALID AUTH</w:t>
      </w:r>
    </w:p>
    <w:p w14:paraId="0897B2F6" w14:textId="2BBFB4AE" w:rsidR="00CF04E5" w:rsidRDefault="00784F54" w:rsidP="00C33982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</w:t>
      </w:r>
      <w:r w:rsidR="002A113C">
        <w:rPr>
          <w:lang w:val="it-IT"/>
        </w:rPr>
        <w:t xml:space="preserve"> che sarà composta da una coppia (ID_CLIENTE + NUMERO CASSETTA) </w:t>
      </w:r>
      <w:r>
        <w:rPr>
          <w:lang w:val="it-IT"/>
        </w:rPr>
        <w:t>e manda l’update al CENTRAL</w:t>
      </w:r>
      <w:r w:rsidR="002A113C">
        <w:rPr>
          <w:lang w:val="it-IT"/>
        </w:rPr>
        <w:t>. Se esiste il cliente, CENTRAL attende il fee</w:t>
      </w:r>
      <w:r w:rsidR="00C33982">
        <w:rPr>
          <w:lang w:val="it-IT"/>
        </w:rPr>
        <w:t>d</w:t>
      </w:r>
      <w:r w:rsidR="002A113C">
        <w:rPr>
          <w:lang w:val="it-IT"/>
        </w:rPr>
        <w:t xml:space="preserve">back della camera per verificare che effettivamente c’è corrispondenza tra cliente e numero. </w:t>
      </w:r>
      <w:r>
        <w:rPr>
          <w:lang w:val="it-IT"/>
        </w:rPr>
        <w:t xml:space="preserve">Lato ACQUISITION, </w:t>
      </w:r>
      <w:r>
        <w:rPr>
          <w:lang w:val="it-IT"/>
        </w:rPr>
        <w:lastRenderedPageBreak/>
        <w:t>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>. Lo sblocco può essere soltanto fatto dal BRIDGE, l’utente non può (altrimenti rientriamo in manomissione)</w:t>
      </w:r>
      <w:r w:rsidR="00460E88">
        <w:rPr>
          <w:lang w:val="it-IT"/>
        </w:rPr>
        <w:t xml:space="preserve">. Lato THINGS deve aggiornare lo stato del Digital Twin in maniera che sia notificato il fatto che </w:t>
      </w:r>
      <w:proofErr w:type="gramStart"/>
      <w:r w:rsidR="00460E88">
        <w:rPr>
          <w:lang w:val="it-IT"/>
        </w:rPr>
        <w:t>sia</w:t>
      </w:r>
      <w:proofErr w:type="gramEnd"/>
      <w:r w:rsidR="00460E88">
        <w:rPr>
          <w:lang w:val="it-IT"/>
        </w:rPr>
        <w:t xml:space="preserve"> aperta.</w:t>
      </w:r>
    </w:p>
    <w:p w14:paraId="27D44B5D" w14:textId="165C07BA" w:rsidR="00C33982" w:rsidRDefault="00784F54" w:rsidP="00C33982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 xml:space="preserve">ACQUISITON_X manda un </w:t>
      </w:r>
      <w:proofErr w:type="gramStart"/>
      <w:r w:rsidR="00460E88">
        <w:rPr>
          <w:lang w:val="it-IT"/>
        </w:rPr>
        <w:t>feedback</w:t>
      </w:r>
      <w:proofErr w:type="gramEnd"/>
      <w:r w:rsidR="00460E88">
        <w:rPr>
          <w:lang w:val="it-IT"/>
        </w:rPr>
        <w:t xml:space="preserve"> di avvenuta chiusura</w:t>
      </w:r>
      <w:r w:rsidR="00CF04E5">
        <w:rPr>
          <w:lang w:val="it-IT"/>
        </w:rPr>
        <w:t xml:space="preserve"> (tramite sensore di luce?)</w:t>
      </w:r>
      <w:r w:rsidR="00460E88">
        <w:rPr>
          <w:lang w:val="it-IT"/>
        </w:rPr>
        <w:t xml:space="preserve">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3A887BD0" w14:textId="3D053F42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</w:t>
      </w:r>
      <w:bookmarkStart w:id="0" w:name="_Hlk182730759"/>
      <w:r>
        <w:rPr>
          <w:lang w:val="it-IT"/>
        </w:rPr>
        <w:t>3.2 INVALID AUTH</w:t>
      </w:r>
      <w:bookmarkEnd w:id="0"/>
    </w:p>
    <w:p w14:paraId="1A6C4298" w14:textId="599B9938" w:rsidR="00C33982" w:rsidRDefault="00C00772" w:rsidP="00C33982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24E0A256" w14:textId="10E5C3F7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 3.3 SAFE MODE</w:t>
      </w:r>
    </w:p>
    <w:p w14:paraId="5DE1BC62" w14:textId="0F3B2B5E" w:rsidR="007E1CE7" w:rsidRDefault="00C00772" w:rsidP="00C33982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proofErr w:type="spellStart"/>
      <w:r w:rsidR="00507BF9" w:rsidRPr="00507BF9">
        <w:rPr>
          <w:i/>
          <w:iCs/>
          <w:lang w:val="it-IT"/>
        </w:rPr>
        <w:t>SafeMode</w:t>
      </w:r>
      <w:proofErr w:type="spellEnd"/>
      <w:r w:rsidR="00507BF9">
        <w:rPr>
          <w:lang w:val="it-IT"/>
        </w:rPr>
        <w:t>.</w:t>
      </w:r>
    </w:p>
    <w:p w14:paraId="5DFDFFDA" w14:textId="42AD58F9" w:rsidR="00D1336C" w:rsidRDefault="00507BF9" w:rsidP="00C33982">
      <w:pPr>
        <w:ind w:left="360"/>
        <w:rPr>
          <w:lang w:val="it-IT"/>
        </w:rPr>
      </w:pPr>
      <w:r>
        <w:rPr>
          <w:lang w:val="it-IT"/>
        </w:rPr>
        <w:t>Quando viene innescata,</w:t>
      </w:r>
      <w:r w:rsidR="007E1CE7">
        <w:rPr>
          <w:lang w:val="it-IT"/>
        </w:rPr>
        <w:t xml:space="preserve"> </w:t>
      </w:r>
      <w:r w:rsidR="00D02B54">
        <w:rPr>
          <w:lang w:val="it-IT"/>
        </w:rPr>
        <w:t xml:space="preserve">viene inviato un messaggio MQTT su un server esterno (MQTT) che viene prelevato dal bridge. </w:t>
      </w:r>
      <w:r w:rsidR="007E1CE7">
        <w:rPr>
          <w:lang w:val="it-IT"/>
        </w:rPr>
        <w:t>A questo punto,</w:t>
      </w:r>
      <w:r>
        <w:rPr>
          <w:lang w:val="it-IT"/>
        </w:rPr>
        <w:t xml:space="preserve"> le cassette devono </w:t>
      </w:r>
      <w:r w:rsidR="00D1336C">
        <w:rPr>
          <w:lang w:val="it-IT"/>
        </w:rPr>
        <w:t>entrare in lock</w:t>
      </w:r>
      <w:r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</w:t>
      </w:r>
      <w:r w:rsidR="007E1CE7">
        <w:rPr>
          <w:lang w:val="it-IT"/>
        </w:rPr>
        <w:t xml:space="preserve">provoca un </w:t>
      </w:r>
      <w:r w:rsidR="00D1336C">
        <w:rPr>
          <w:lang w:val="it-IT"/>
        </w:rPr>
        <w:t>inoltr</w:t>
      </w:r>
      <w:r w:rsidR="007E1CE7">
        <w:rPr>
          <w:lang w:val="it-IT"/>
        </w:rPr>
        <w:t xml:space="preserve">o del comando ricevuto da BRIDGE verso </w:t>
      </w:r>
      <w:r w:rsidR="00D1336C">
        <w:rPr>
          <w:lang w:val="it-IT"/>
        </w:rPr>
        <w:t>CENTRAL (in stato PROTECTION o BUSY</w:t>
      </w:r>
      <w:r w:rsidR="007E1CE7">
        <w:rPr>
          <w:lang w:val="it-IT"/>
        </w:rPr>
        <w:t xml:space="preserve"> in modo che non avvenga nessuna identificazione su FINGERPRINT</w:t>
      </w:r>
      <w:r w:rsidR="00D1336C">
        <w:rPr>
          <w:lang w:val="it-IT"/>
        </w:rPr>
        <w:t xml:space="preserve">) e </w:t>
      </w:r>
      <w:r w:rsidR="007E1CE7">
        <w:rPr>
          <w:lang w:val="it-IT"/>
        </w:rPr>
        <w:t>verso</w:t>
      </w:r>
      <w:r w:rsidR="00D1336C">
        <w:rPr>
          <w:lang w:val="it-IT"/>
        </w:rPr>
        <w:t xml:space="preserve"> </w:t>
      </w:r>
      <w:r w:rsidR="007E1CE7" w:rsidRPr="007E1CE7">
        <w:rPr>
          <w:u w:val="single"/>
          <w:lang w:val="it-IT"/>
        </w:rPr>
        <w:t>tutte</w:t>
      </w:r>
      <w:r w:rsidR="007E1CE7">
        <w:rPr>
          <w:lang w:val="it-IT"/>
        </w:rPr>
        <w:t xml:space="preserve"> </w:t>
      </w:r>
      <w:r w:rsidR="00D1336C">
        <w:rPr>
          <w:lang w:val="it-IT"/>
        </w:rPr>
        <w:t>le ACQUISITION</w:t>
      </w:r>
      <w:r w:rsidR="007E1CE7">
        <w:rPr>
          <w:lang w:val="it-IT"/>
        </w:rPr>
        <w:t xml:space="preserve">, che </w:t>
      </w:r>
      <w:r w:rsidR="00D1336C">
        <w:rPr>
          <w:lang w:val="it-IT"/>
        </w:rPr>
        <w:t xml:space="preserve">devono essere </w:t>
      </w:r>
      <w:proofErr w:type="spellStart"/>
      <w:r w:rsidR="00D1336C">
        <w:rPr>
          <w:lang w:val="it-IT"/>
        </w:rPr>
        <w:t>lockate</w:t>
      </w:r>
      <w:proofErr w:type="spellEnd"/>
      <w:r w:rsidR="00D1336C">
        <w:rPr>
          <w:lang w:val="it-IT"/>
        </w:rPr>
        <w:t xml:space="preserve">. </w:t>
      </w:r>
      <w:r>
        <w:rPr>
          <w:lang w:val="it-IT"/>
        </w:rPr>
        <w:t>Si esce da questa modalità solo un uno sblocco su CENTRAL 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</w:t>
      </w:r>
      <w:r w:rsidR="000535B3">
        <w:rPr>
          <w:lang w:val="it-IT"/>
        </w:rPr>
        <w:t xml:space="preserve"> la possibilità di essere aperte</w:t>
      </w:r>
      <w:r w:rsidR="001F5940">
        <w:rPr>
          <w:lang w:val="it-IT"/>
        </w:rPr>
        <w:t xml:space="preserve">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ACQUISITION.</w:t>
      </w:r>
      <w:r w:rsidR="00782C92">
        <w:rPr>
          <w:lang w:val="it-IT"/>
        </w:rPr>
        <w:t xml:space="preserve"> </w:t>
      </w:r>
      <w:r w:rsidR="007E1CE7">
        <w:rPr>
          <w:lang w:val="it-IT"/>
        </w:rPr>
        <w:t xml:space="preserve">Automaticamente, aggiornando lo stato delle </w:t>
      </w:r>
      <w:proofErr w:type="spellStart"/>
      <w:r w:rsidR="007E1CE7">
        <w:rPr>
          <w:lang w:val="it-IT"/>
        </w:rPr>
        <w:t>acquisition</w:t>
      </w:r>
      <w:proofErr w:type="spellEnd"/>
      <w:r w:rsidR="007E1CE7">
        <w:rPr>
          <w:lang w:val="it-IT"/>
        </w:rPr>
        <w:t xml:space="preserve">, </w:t>
      </w:r>
      <w:proofErr w:type="spellStart"/>
      <w:r w:rsidR="007E1CE7">
        <w:rPr>
          <w:lang w:val="it-IT"/>
        </w:rPr>
        <w:t>thingsboard</w:t>
      </w:r>
      <w:proofErr w:type="spellEnd"/>
      <w:r w:rsidR="007E1CE7">
        <w:rPr>
          <w:lang w:val="it-IT"/>
        </w:rPr>
        <w:t xml:space="preserve"> si aggiornerà in automatico.</w:t>
      </w:r>
    </w:p>
    <w:p w14:paraId="63402425" w14:textId="19DC073C" w:rsidR="00D1336C" w:rsidRDefault="00D1336C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PROTOCOLLO ACQUISITION</w:t>
      </w:r>
      <w:r w:rsidR="00E14FF5">
        <w:rPr>
          <w:rStyle w:val="Titolodellibro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C33982">
      <w:pPr>
        <w:rPr>
          <w:lang w:val="it-IT"/>
        </w:rPr>
      </w:pPr>
    </w:p>
    <w:p w14:paraId="31162B7C" w14:textId="554D7CCE" w:rsidR="001331D9" w:rsidRDefault="00D1336C" w:rsidP="00C33982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C33982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C33982">
            <w:pPr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C33982">
            <w:pPr>
              <w:rPr>
                <w:b/>
                <w:bCs/>
              </w:rPr>
            </w:pPr>
          </w:p>
          <w:p w14:paraId="15903647" w14:textId="587EF6FE" w:rsid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C33982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C33982">
            <w:pPr>
              <w:rPr>
                <w:b/>
                <w:bCs/>
              </w:rPr>
            </w:pPr>
          </w:p>
          <w:p w14:paraId="059D49F3" w14:textId="4FD80CD5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C33982">
            <w:pPr>
              <w:rPr>
                <w:b/>
                <w:bCs/>
              </w:rPr>
            </w:pPr>
          </w:p>
          <w:p w14:paraId="7E2AB3C2" w14:textId="44C0D6C4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C33982">
            <w:pPr>
              <w:rPr>
                <w:b/>
                <w:bCs/>
              </w:rPr>
            </w:pPr>
          </w:p>
          <w:p w14:paraId="473F1A6E" w14:textId="41D98BD0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C33982">
            <w:pPr>
              <w:rPr>
                <w:b/>
                <w:bCs/>
              </w:rPr>
            </w:pPr>
          </w:p>
          <w:p w14:paraId="5E3ED61B" w14:textId="08F74191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C33982"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C33982">
      <w:pPr>
        <w:rPr>
          <w:lang w:val="it-IT"/>
        </w:rPr>
      </w:pPr>
    </w:p>
    <w:p w14:paraId="039D3998" w14:textId="737B3EDA" w:rsidR="001331D9" w:rsidRDefault="00E14FF5" w:rsidP="00C33982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1C1D2F67" w14:textId="31014545" w:rsidR="000535B3" w:rsidRDefault="000535B3" w:rsidP="00C33982">
      <w:pPr>
        <w:ind w:left="360"/>
        <w:rPr>
          <w:lang w:val="it-IT"/>
        </w:rPr>
      </w:pPr>
    </w:p>
    <w:p w14:paraId="67DB9533" w14:textId="77777777" w:rsidR="00A13995" w:rsidRPr="00BA3A17" w:rsidRDefault="00A13995" w:rsidP="00C33982">
      <w:pPr>
        <w:ind w:left="360"/>
        <w:rPr>
          <w:lang w:val="it-IT"/>
        </w:rPr>
      </w:pPr>
    </w:p>
    <w:p w14:paraId="0F7B6239" w14:textId="4F48621A" w:rsidR="000535B3" w:rsidRDefault="000535B3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CLIENT</w:t>
      </w:r>
    </w:p>
    <w:p w14:paraId="5115612A" w14:textId="77777777" w:rsidR="00925362" w:rsidRDefault="00925362" w:rsidP="00C33982">
      <w:pPr>
        <w:rPr>
          <w:lang w:val="it-IT"/>
        </w:rPr>
      </w:pPr>
    </w:p>
    <w:p w14:paraId="14079D96" w14:textId="77777777" w:rsidR="00925362" w:rsidRPr="002F5CCB" w:rsidRDefault="00925362" w:rsidP="00C33982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52D93" w14:textId="77777777" w:rsidR="007155B7" w:rsidRDefault="007155B7" w:rsidP="002F5CCB">
      <w:pPr>
        <w:spacing w:after="0" w:line="240" w:lineRule="auto"/>
      </w:pPr>
      <w:r>
        <w:separator/>
      </w:r>
    </w:p>
  </w:endnote>
  <w:endnote w:type="continuationSeparator" w:id="0">
    <w:p w14:paraId="068500AD" w14:textId="77777777" w:rsidR="007155B7" w:rsidRDefault="007155B7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F8388" w14:textId="77777777" w:rsidR="007155B7" w:rsidRDefault="007155B7" w:rsidP="002F5CCB">
      <w:pPr>
        <w:spacing w:after="0" w:line="240" w:lineRule="auto"/>
      </w:pPr>
      <w:r>
        <w:separator/>
      </w:r>
    </w:p>
  </w:footnote>
  <w:footnote w:type="continuationSeparator" w:id="0">
    <w:p w14:paraId="149821C5" w14:textId="77777777" w:rsidR="007155B7" w:rsidRDefault="007155B7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535B3"/>
    <w:rsid w:val="000873C2"/>
    <w:rsid w:val="00096004"/>
    <w:rsid w:val="000C6B44"/>
    <w:rsid w:val="001331D9"/>
    <w:rsid w:val="0016268C"/>
    <w:rsid w:val="00192D36"/>
    <w:rsid w:val="001F5940"/>
    <w:rsid w:val="001F5CE1"/>
    <w:rsid w:val="00205712"/>
    <w:rsid w:val="002A113C"/>
    <w:rsid w:val="002D3F92"/>
    <w:rsid w:val="002E4726"/>
    <w:rsid w:val="002F5CCB"/>
    <w:rsid w:val="00331559"/>
    <w:rsid w:val="003866E3"/>
    <w:rsid w:val="00415BEB"/>
    <w:rsid w:val="00460E88"/>
    <w:rsid w:val="00507BF9"/>
    <w:rsid w:val="005550BD"/>
    <w:rsid w:val="00562D3F"/>
    <w:rsid w:val="0069013E"/>
    <w:rsid w:val="006F7582"/>
    <w:rsid w:val="007155B7"/>
    <w:rsid w:val="00741CD0"/>
    <w:rsid w:val="00782C92"/>
    <w:rsid w:val="00784F54"/>
    <w:rsid w:val="007B2D4C"/>
    <w:rsid w:val="007E1CE7"/>
    <w:rsid w:val="00811D00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A95C8D"/>
    <w:rsid w:val="00B056D7"/>
    <w:rsid w:val="00B9033C"/>
    <w:rsid w:val="00BA3A17"/>
    <w:rsid w:val="00BA7B06"/>
    <w:rsid w:val="00BC653D"/>
    <w:rsid w:val="00C00772"/>
    <w:rsid w:val="00C33982"/>
    <w:rsid w:val="00CB02B7"/>
    <w:rsid w:val="00CF04E5"/>
    <w:rsid w:val="00CF70EE"/>
    <w:rsid w:val="00D02B54"/>
    <w:rsid w:val="00D1336C"/>
    <w:rsid w:val="00D306EC"/>
    <w:rsid w:val="00D648B3"/>
    <w:rsid w:val="00DA0079"/>
    <w:rsid w:val="00DA54C4"/>
    <w:rsid w:val="00DD5E8D"/>
    <w:rsid w:val="00E14FF5"/>
    <w:rsid w:val="00E16B2C"/>
    <w:rsid w:val="00E40781"/>
    <w:rsid w:val="00E409B5"/>
    <w:rsid w:val="00E42A27"/>
    <w:rsid w:val="00E42C64"/>
    <w:rsid w:val="00ED10EF"/>
    <w:rsid w:val="00EF7389"/>
    <w:rsid w:val="00F07FB9"/>
    <w:rsid w:val="00F16A01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36</cp:revision>
  <dcterms:created xsi:type="dcterms:W3CDTF">2024-10-29T08:44:00Z</dcterms:created>
  <dcterms:modified xsi:type="dcterms:W3CDTF">2024-12-13T16:27:00Z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