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8FB6" w14:textId="2CBDE33D" w:rsidR="002F5CCB" w:rsidRDefault="00BA3A17" w:rsidP="00E40781">
      <w:pPr>
        <w:pStyle w:val="Title"/>
        <w:jc w:val="both"/>
        <w:rPr>
          <w:lang w:val="it-IT"/>
        </w:rPr>
      </w:pPr>
      <w:r>
        <w:rPr>
          <w:lang w:val="it-IT"/>
        </w:rPr>
        <w:t>SMASHBROX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27B2D658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LOCAL : parte di acquisizione dei dati di monitoring e spedizione verso il BRIDGE.</w:t>
      </w:r>
    </w:p>
    <w:p w14:paraId="53B65041" w14:textId="59C7D40D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ListParagraph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D8A7831" w14:textId="347DE44B" w:rsidR="00BA3A17" w:rsidRDefault="00BA3A17" w:rsidP="00E40781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 xml:space="preserve">DETTAGLIO COMPONENTI </w:t>
      </w:r>
    </w:p>
    <w:p w14:paraId="4C4870C0" w14:textId="7216C6A1" w:rsidR="00BA3A17" w:rsidRDefault="00BA3A17" w:rsidP="00E40781">
      <w:pPr>
        <w:ind w:left="360"/>
        <w:rPr>
          <w:lang w:val="it-IT"/>
        </w:rPr>
      </w:pPr>
    </w:p>
    <w:p w14:paraId="6ED1B3F0" w14:textId="03DAD3ED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ListParagraph"/>
        <w:numPr>
          <w:ilvl w:val="0"/>
          <w:numId w:val="28"/>
        </w:numPr>
        <w:rPr>
          <w:lang w:val="it-IT"/>
        </w:rPr>
      </w:pPr>
      <w:r w:rsidRPr="00A13995">
        <w:rPr>
          <w:lang w:val="it-IT"/>
        </w:rPr>
        <w:t xml:space="preserve">Acquisition: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ListParagraph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“Acquisition” sono i seguenti:</w:t>
      </w:r>
    </w:p>
    <w:p w14:paraId="3DA017A5" w14:textId="73C3B822" w:rsidR="00BA3A17" w:rsidRDefault="00BA3A17" w:rsidP="00E40781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eprotocollo di comunicazione etc). </w:t>
      </w:r>
    </w:p>
    <w:p w14:paraId="7ACA7E42" w14:textId="0F3A5ED6" w:rsidR="00BA3A17" w:rsidRDefault="00BA3A17" w:rsidP="00E40781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Accelerometro: rilevazione di movimenti della cassetta tramite (TODO: inserire il codice, protocollo di comunicazione etc)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6404E74D" w14:textId="2EF79CF5" w:rsidR="00925362" w:rsidRDefault="00BA3A17" w:rsidP="00E40781">
      <w:pPr>
        <w:ind w:left="360"/>
        <w:rPr>
          <w:i/>
          <w:iCs/>
          <w:lang w:val="it-IT"/>
        </w:rPr>
      </w:pPr>
      <w:r w:rsidRPr="00BA3A17">
        <w:rPr>
          <w:i/>
          <w:iCs/>
          <w:lang w:val="it-IT"/>
        </w:rPr>
        <w:t>BRIDGE</w:t>
      </w:r>
      <w:r w:rsidR="00460E88">
        <w:rPr>
          <w:i/>
          <w:iCs/>
          <w:lang w:val="it-IT"/>
        </w:rPr>
        <w:t xml:space="preserve"> </w:t>
      </w:r>
    </w:p>
    <w:p w14:paraId="4881A6F9" w14:textId="164AD558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0A2BDED8" w14:textId="77777777" w:rsidR="009A2AFF" w:rsidRDefault="009A2AFF" w:rsidP="00E40781">
      <w:pPr>
        <w:ind w:left="360"/>
        <w:rPr>
          <w:lang w:val="it-IT"/>
        </w:rPr>
      </w:pPr>
    </w:p>
    <w:p w14:paraId="15D57424" w14:textId="77777777" w:rsidR="009A2AFF" w:rsidRDefault="009A2AFF" w:rsidP="00E40781">
      <w:pPr>
        <w:ind w:left="360"/>
        <w:rPr>
          <w:lang w:val="it-IT"/>
        </w:rPr>
      </w:pPr>
    </w:p>
    <w:p w14:paraId="2E397BE5" w14:textId="1C387C02" w:rsidR="009A2AFF" w:rsidRDefault="009A2AFF" w:rsidP="00E40781">
      <w:pPr>
        <w:ind w:left="360"/>
        <w:rPr>
          <w:i/>
          <w:iCs/>
          <w:lang w:val="it-IT"/>
        </w:rPr>
      </w:pPr>
      <w:r w:rsidRPr="009A2AFF">
        <w:rPr>
          <w:i/>
          <w:iCs/>
          <w:lang w:val="it-IT"/>
        </w:rPr>
        <w:t>CLOUD</w:t>
      </w:r>
      <w:r w:rsidR="00460E88">
        <w:rPr>
          <w:i/>
          <w:iCs/>
          <w:lang w:val="it-IT"/>
        </w:rPr>
        <w:t xml:space="preserve"> (THINGS)</w:t>
      </w:r>
    </w:p>
    <w:p w14:paraId="0BB34D6A" w14:textId="615C59BB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Thingsboard (al momento). Qui avverà il monitoring dei dati nel corrispondente Digital Twin e la gestione dei trigger scaturiti sulla base dei dati che arrivano dal Bridge. </w:t>
      </w:r>
    </w:p>
    <w:p w14:paraId="19675EF3" w14:textId="0E3BA5AF" w:rsidR="009A2AFF" w:rsidRDefault="00E40781" w:rsidP="00E40781">
      <w:pPr>
        <w:ind w:left="360"/>
        <w:rPr>
          <w:i/>
          <w:iCs/>
          <w:lang w:val="it-IT"/>
        </w:rPr>
      </w:pPr>
      <w:r>
        <w:rPr>
          <w:i/>
          <w:iCs/>
          <w:lang w:val="it-IT"/>
        </w:rPr>
        <w:t xml:space="preserve">SERVER </w:t>
      </w:r>
      <w:r w:rsidR="00E16B2C">
        <w:rPr>
          <w:i/>
          <w:iCs/>
          <w:lang w:val="it-IT"/>
        </w:rPr>
        <w:t>CUSTOMERS</w:t>
      </w:r>
      <w:r w:rsidR="00E42C64">
        <w:rPr>
          <w:i/>
          <w:iCs/>
          <w:lang w:val="it-IT"/>
        </w:rPr>
        <w:t xml:space="preserve"> (FLASK)</w:t>
      </w:r>
    </w:p>
    <w:p w14:paraId="72DDF30D" w14:textId="582BDAF2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Flask.</w:t>
      </w:r>
    </w:p>
    <w:p w14:paraId="2FFF6682" w14:textId="27BFD2A7" w:rsidR="00E42C64" w:rsidRDefault="00C00772" w:rsidP="00C0077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\Doc\Blocks</w:t>
      </w:r>
    </w:p>
    <w:p w14:paraId="4D9E68EA" w14:textId="790DD932" w:rsidR="00E42C64" w:rsidRDefault="00E42C64" w:rsidP="00E42C64">
      <w:pPr>
        <w:pStyle w:val="Heading1"/>
        <w:numPr>
          <w:ilvl w:val="0"/>
          <w:numId w:val="25"/>
        </w:numPr>
        <w:rPr>
          <w:rStyle w:val="BookTitle"/>
          <w:sz w:val="32"/>
          <w:szCs w:val="32"/>
          <w:lang w:val="it-IT"/>
        </w:rPr>
      </w:pPr>
      <w:r>
        <w:rPr>
          <w:rStyle w:val="BookTitle"/>
          <w:sz w:val="32"/>
          <w:szCs w:val="32"/>
          <w:lang w:val="it-IT"/>
        </w:rPr>
        <w:t>FUNZIONAMENTO</w:t>
      </w:r>
      <w:r>
        <w:rPr>
          <w:rStyle w:val="BookTitle"/>
          <w:sz w:val="32"/>
          <w:szCs w:val="32"/>
          <w:lang w:val="it-IT"/>
        </w:rPr>
        <w:t xml:space="preserve"> </w:t>
      </w:r>
    </w:p>
    <w:p w14:paraId="62C622C0" w14:textId="16DA1DEA" w:rsidR="00784F54" w:rsidRDefault="00E42C64" w:rsidP="00784F54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 si mette in uno stato busy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784F54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784F54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021B1460" w14:textId="618527C6" w:rsidR="00784F54" w:rsidRDefault="00784F54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 e manda l’update al CENTRAL, che passa in stato OPEN nel momento in cui c’è una cassetta aperta. 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 xml:space="preserve">. Lato </w:t>
      </w:r>
      <w:r w:rsidR="00460E88">
        <w:rPr>
          <w:lang w:val="it-IT"/>
        </w:rPr>
        <w:t>THINGS</w:t>
      </w:r>
      <w:r w:rsidR="00460E88">
        <w:rPr>
          <w:lang w:val="it-IT"/>
        </w:rPr>
        <w:t xml:space="preserve"> deve aggiornare lo stato del Digital Twin in maniera che sia notificato il fatto che sia aperta.</w:t>
      </w:r>
    </w:p>
    <w:p w14:paraId="4D59EA62" w14:textId="48047307" w:rsidR="00784F54" w:rsidRDefault="00784F54" w:rsidP="00784F54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 xml:space="preserve">ACQUISITON_X manda un feedback di avvenuta chiusura,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186C930A" w14:textId="2E23D251" w:rsidR="00C00772" w:rsidRDefault="00C00772" w:rsidP="00784F54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72A3E04E" w14:textId="0697C801" w:rsidR="00C00772" w:rsidRPr="00784F54" w:rsidRDefault="00C00772" w:rsidP="00507BF9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r w:rsidR="00507BF9" w:rsidRPr="00507BF9">
        <w:rPr>
          <w:i/>
          <w:iCs/>
          <w:lang w:val="it-IT"/>
        </w:rPr>
        <w:t>SafeMode</w:t>
      </w:r>
      <w:r w:rsidR="00507BF9">
        <w:rPr>
          <w:lang w:val="it-IT"/>
        </w:rPr>
        <w:t>. Quando viene innescata, tutte le cassette devono chiudersi e non possono essere apert</w:t>
      </w:r>
      <w:r w:rsidR="001F5940">
        <w:rPr>
          <w:lang w:val="it-IT"/>
        </w:rPr>
        <w:t xml:space="preserve">e. </w:t>
      </w:r>
      <w:r w:rsidR="00507BF9">
        <w:rPr>
          <w:lang w:val="it-IT"/>
        </w:rPr>
        <w:t xml:space="preserve">Si esce da questa modalità solo un uno sblocco su CENTRAL (pulsante manuale ad esempio). L’innesco provoca un comando da parte di THINGS verso il </w:t>
      </w:r>
      <w:r w:rsidR="001F5940">
        <w:rPr>
          <w:lang w:val="it-IT"/>
        </w:rPr>
        <w:t>BRIDGE, che inoltra questo comando a CENTRAL (</w:t>
      </w:r>
      <w:r w:rsidR="001F5940">
        <w:rPr>
          <w:lang w:val="it-IT"/>
        </w:rPr>
        <w:t>in stato PROTECTION</w:t>
      </w:r>
      <w:r w:rsidR="001F5940">
        <w:rPr>
          <w:lang w:val="it-IT"/>
        </w:rPr>
        <w:t xml:space="preserve"> o BUSY</w:t>
      </w:r>
      <w:r w:rsidR="001F5940">
        <w:rPr>
          <w:lang w:val="it-IT"/>
        </w:rPr>
        <w:t>)</w:t>
      </w:r>
      <w:r w:rsidR="001F5940">
        <w:rPr>
          <w:lang w:val="it-IT"/>
        </w:rPr>
        <w:t xml:space="preserve"> e tutte le ACQUISITION devono essere lockate.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ASCQUISITION.</w:t>
      </w:r>
      <w:r w:rsidR="00782C92">
        <w:rPr>
          <w:lang w:val="it-IT"/>
        </w:rPr>
        <w:t xml:space="preserve"> Contestualmente si aggiorna anche THINGSBOARD.</w:t>
      </w:r>
    </w:p>
    <w:p w14:paraId="6C2AF7E8" w14:textId="7C86E4F8" w:rsidR="00E40781" w:rsidRDefault="00E40781" w:rsidP="00E40781">
      <w:pPr>
        <w:rPr>
          <w:lang w:val="it-IT"/>
        </w:rPr>
      </w:pPr>
    </w:p>
    <w:p w14:paraId="7F37A8AB" w14:textId="77777777" w:rsidR="00B056D7" w:rsidRPr="009A2AFF" w:rsidRDefault="00B056D7" w:rsidP="00E40781">
      <w:pPr>
        <w:ind w:left="360"/>
        <w:rPr>
          <w:lang w:val="it-IT"/>
        </w:rPr>
      </w:pPr>
    </w:p>
    <w:p w14:paraId="47B3F0C2" w14:textId="77777777" w:rsidR="00A13995" w:rsidRDefault="00A13995" w:rsidP="00E40781">
      <w:pPr>
        <w:ind w:left="360"/>
        <w:rPr>
          <w:lang w:val="it-IT"/>
        </w:rPr>
      </w:pPr>
    </w:p>
    <w:p w14:paraId="1BFB0416" w14:textId="77777777" w:rsidR="009A2AFF" w:rsidRDefault="009A2AFF" w:rsidP="00E40781">
      <w:pPr>
        <w:ind w:left="360"/>
        <w:rPr>
          <w:lang w:val="it-IT"/>
        </w:rPr>
      </w:pP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584F" w14:textId="77777777" w:rsidR="001F5CE1" w:rsidRDefault="001F5CE1" w:rsidP="002F5CCB">
      <w:pPr>
        <w:spacing w:after="0" w:line="240" w:lineRule="auto"/>
      </w:pPr>
      <w:r>
        <w:separator/>
      </w:r>
    </w:p>
  </w:endnote>
  <w:endnote w:type="continuationSeparator" w:id="0">
    <w:p w14:paraId="6936225B" w14:textId="77777777" w:rsidR="001F5CE1" w:rsidRDefault="001F5CE1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A92" w14:textId="5AFF054B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E48" w14:textId="3E6C20C0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6C4F" w14:textId="6E4D4A0E" w:rsidR="00741CD0" w:rsidRDefault="00741C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E059" w14:textId="77777777" w:rsidR="001F5CE1" w:rsidRDefault="001F5CE1" w:rsidP="002F5CCB">
      <w:pPr>
        <w:spacing w:after="0" w:line="240" w:lineRule="auto"/>
      </w:pPr>
      <w:r>
        <w:separator/>
      </w:r>
    </w:p>
  </w:footnote>
  <w:footnote w:type="continuationSeparator" w:id="0">
    <w:p w14:paraId="24D5DF13" w14:textId="77777777" w:rsidR="001F5CE1" w:rsidRDefault="001F5CE1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873C2"/>
    <w:rsid w:val="00096004"/>
    <w:rsid w:val="000C6B44"/>
    <w:rsid w:val="001F5940"/>
    <w:rsid w:val="001F5CE1"/>
    <w:rsid w:val="00205712"/>
    <w:rsid w:val="002E4726"/>
    <w:rsid w:val="002F5CCB"/>
    <w:rsid w:val="00460E88"/>
    <w:rsid w:val="00507BF9"/>
    <w:rsid w:val="005550BD"/>
    <w:rsid w:val="00562D3F"/>
    <w:rsid w:val="006F7582"/>
    <w:rsid w:val="00741CD0"/>
    <w:rsid w:val="00782C92"/>
    <w:rsid w:val="00784F54"/>
    <w:rsid w:val="0085475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A7B06"/>
    <w:rsid w:val="00BC653D"/>
    <w:rsid w:val="00C00772"/>
    <w:rsid w:val="00CB02B7"/>
    <w:rsid w:val="00D648B3"/>
    <w:rsid w:val="00E16B2C"/>
    <w:rsid w:val="00E40781"/>
    <w:rsid w:val="00E42C64"/>
    <w:rsid w:val="00F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CB"/>
  </w:style>
  <w:style w:type="paragraph" w:styleId="Heading1">
    <w:name w:val="heading 1"/>
    <w:basedOn w:val="Normal"/>
    <w:next w:val="Normal"/>
    <w:link w:val="Heading1Char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5C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F5CCB"/>
    <w:rPr>
      <w:i/>
      <w:iCs/>
      <w:color w:val="auto"/>
    </w:rPr>
  </w:style>
  <w:style w:type="paragraph" w:styleId="NoSpacing">
    <w:name w:val="No Spacing"/>
    <w:uiPriority w:val="1"/>
    <w:qFormat/>
    <w:rsid w:val="002F5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F5C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F5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5C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F5C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C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CB"/>
  </w:style>
  <w:style w:type="paragraph" w:styleId="Footer">
    <w:name w:val="footer"/>
    <w:basedOn w:val="Normal"/>
    <w:link w:val="FooterChar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CB"/>
  </w:style>
  <w:style w:type="paragraph" w:styleId="ListParagraph">
    <w:name w:val="List Paragraph"/>
    <w:basedOn w:val="Normal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Marzo, Francesco</cp:lastModifiedBy>
  <cp:revision>18</cp:revision>
  <dcterms:created xsi:type="dcterms:W3CDTF">2024-10-29T08:44:00Z</dcterms:created>
  <dcterms:modified xsi:type="dcterms:W3CDTF">2024-11-05T19:01:00Z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