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12233A"/>
          <w:sz w:val="56"/>
          <w:szCs w:val="56"/>
        </w:rPr>
        <w:t xml:space="preserve">MIPS Platform</w:t>
      </w:r>
    </w:p>
    <w:p>
      <w:pPr>
        <w:spacing w:after="400"/>
      </w:pPr>
      <w:r>
        <w:rPr>
          <w:color w:val="0F7C8C"/>
          <w:sz w:val="28"/>
          <w:szCs w:val="28"/>
        </w:rPr>
        <w:t xml:space="preserve">Récapitulatif des travaux — prototype, dossier BoM, specs pour my.mips.mu</w:t>
      </w:r>
    </w:p>
    <w:p>
      <w:pPr>
        <w:spacing w:after="120"/>
      </w:pPr>
      <w:r>
        <w:rPr>
          <w:color w:val="5A6B80"/>
        </w:rPr>
        <w:t xml:space="preserve">Période : 25 au 30 octobre 2026</w:t>
      </w:r>
    </w:p>
    <w:p>
      <w:pPr>
        <w:spacing w:after="120"/>
      </w:pPr>
      <w:r>
        <w:rPr>
          <w:color w:val="5A6B80"/>
        </w:rPr>
        <w:t xml:space="preserve">Prototype : dépôt fmassonmips/mips-platform, branche ccr-a3522d3b-pyyp68, PR #10 en brouillon, non fusionnée, jamais déployée.</w:t>
      </w:r>
    </w:p>
    <w:p>
      <w:pPr>
        <w:spacing w:after="120"/>
      </w:pPr>
      <w:r>
        <w:rPr>
          <w:color w:val="5A6B80"/>
        </w:rPr>
        <w:t xml:space="preserve">Version en ligne : https://claude.ai/artifact/FRhqZ8C9SEQ3NdftUkozt1</w:t>
      </w:r>
    </w:p>
    <w:p>
      <w:pPr>
        <w:spacing w:before="600"/>
      </w:pPr>
      <w:r>
        <w:rPr>
          <w:b/>
          <w:bCs/>
          <w:color w:val="12233A"/>
        </w:rPr>
        <w:t xml:space="preserve">9 modules · 36 écrans capturés · 6 specs développeur · 113 + 11 tests sur le portail</w:t>
      </w:r>
    </w:p>
    <w:p>
      <w:pPr>
        <w:spacing w:after="120" w:before="480"/>
      </w:pPr>
      <w:r>
        <w:rPr>
          <w:b/>
          <w:bCs/>
          <w:color w:val="0F7C8C"/>
        </w:rPr>
        <w:t xml:space="preserve">Sommaire</w:t>
      </w:r>
    </w:p>
    <w:p>
      <w:pPr>
        <w:spacing w:after="40"/>
      </w:pPr>
      <w:r>
        <w:t xml:space="preserve">1. La plateforme</w:t>
      </w:r>
    </w:p>
    <w:p>
      <w:pPr>
        <w:spacing w:after="40"/>
      </w:pPr>
      <w:r>
        <w:t xml:space="preserve">2. Parcours d'un marchand</w:t>
      </w:r>
    </w:p>
    <w:p>
      <w:pPr>
        <w:spacing w:after="40"/>
      </w:pPr>
      <w:r>
        <w:t xml:space="preserve">3. Flux de données</w:t>
      </w:r>
    </w:p>
    <w:p>
      <w:pPr>
        <w:spacing w:after="40"/>
      </w:pPr>
      <w:r>
        <w:t xml:space="preserve">4. Flux de fonds</w:t>
      </w:r>
    </w:p>
    <w:p>
      <w:pPr>
        <w:spacing w:after="40"/>
      </w:pPr>
      <w:r>
        <w:t xml:space="preserve">5. Dossier SPIN DIGITAL / BoM</w:t>
      </w:r>
    </w:p>
    <w:p>
      <w:pPr>
        <w:spacing w:after="40"/>
      </w:pPr>
      <w:r>
        <w:t xml:space="preserve">6. Specs pour le développeur de my.mips.mu</w:t>
      </w:r>
    </w:p>
    <w:p>
      <w:pPr>
        <w:spacing w:after="40"/>
      </w:pPr>
      <w:r>
        <w:t xml:space="preserve">7. Décisions et vérifications en attente</w:t>
      </w:r>
    </w:p>
    <w:p>
      <w:r>
        <w:br w:type="page"/>
      </w:r>
    </w:p>
    <w:p>
      <w:pPr>
        <w:pStyle w:val="Heading1"/>
      </w:pPr>
      <w:r>
        <w:t xml:space="preserve">1. La plateforme</w:t>
      </w:r>
    </w:p>
    <w:p>
      <w:pPr>
        <w:keepNext/>
        <w:spacing w:after="120"/>
      </w:pPr>
      <w:r>
        <w:t xml:space="preserve">Ce qui entre, ce qui est traité, ce qui sort. Bleu : personnel MIPS (admin, finance). Ocre : marchand ou prospect.</w:t>
      </w:r>
    </w:p>
    <w:p>
      <w:pPr>
        <w:spacing w:after="160"/>
        <w:jc w:val="center"/>
      </w:pPr>
      <w:r>
        <w:drawing>
          <wp:inline distT="0" distB="0" distL="0" distR="0">
            <wp:extent cx="609600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538"/>
      </w:tblGrid>
      <w:tr>
        <w:trPr>
          <w:tblHeader/>
        </w:trPr>
        <w:tc>
          <w:tcPr>
            <w:tcW w:type="dxa" w:w="26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Module</w:t>
            </w:r>
          </w:p>
        </w:tc>
        <w:tc>
          <w:tcPr>
            <w:tcW w:type="dxa" w:w="15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Accès</w:t>
            </w:r>
          </w:p>
        </w:tc>
        <w:tc>
          <w:tcPr>
            <w:tcW w:type="dxa" w:w="55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Reporting mensuel</w:t>
            </w:r>
          </w:p>
        </w:tc>
        <w:tc>
          <w:tcPr>
            <w:tcW w:type="dxa" w:w="15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admin, finance</w:t>
            </w:r>
          </w:p>
        </w:tc>
        <w:tc>
          <w:tcPr>
            <w:tcW w:type="dxa" w:w="55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Import Commission_Data aux règles figées (identique à analyze.py), tendances 12 mois, export Excel, lecture BigQuery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Facturation</w:t>
            </w:r>
          </w:p>
        </w:tc>
        <w:tc>
          <w:tcPr>
            <w:tcW w:type="dxa" w:w="15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admin, finance</w:t>
            </w:r>
          </w:p>
        </w:tc>
        <w:tc>
          <w:tcPr>
            <w:tcW w:type="dxa" w:w="55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Règles de commission, factures brouillon → émise → payée / annulée, numérotation sans trou, TVA 15 %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Rapprochement MCB ↔ MIPS</w:t>
            </w:r>
          </w:p>
        </w:tc>
        <w:tc>
          <w:tcPr>
            <w:tcW w:type="dxa" w:w="15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admin, finance</w:t>
            </w:r>
          </w:p>
        </w:tc>
        <w:tc>
          <w:tcPr>
            <w:tcW w:type="dxa" w:w="55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Contrôles de périmètre, remaps MID, écarts ventilés et bouclés à zéro, candidats à réclamer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Marchands</w:t>
            </w:r>
          </w:p>
        </w:tc>
        <w:tc>
          <w:tcPr>
            <w:tcW w:type="dxa" w:w="15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admin, finance</w:t>
            </w:r>
          </w:p>
        </w:tc>
        <w:tc>
          <w:tcPr>
            <w:tcW w:type="dxa" w:w="55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Fiche, contacts, identifiants MID / TUI, contrats et alertes de préavis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Onboarding KYC</w:t>
            </w:r>
          </w:p>
        </w:tc>
        <w:tc>
          <w:tcPr>
            <w:tcW w:type="dxa" w:w="15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admin, finance</w:t>
            </w:r>
          </w:p>
        </w:tc>
        <w:tc>
          <w:tcPr>
            <w:tcW w:type="dxa" w:w="55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Pièces, personnes, filtrage sanctions/PEP, 8 blocages, double regard, revues périodiques, relances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Portail marchand</w:t>
            </w:r>
          </w:p>
        </w:tc>
        <w:tc>
          <w:tcPr>
            <w:tcW w:type="dxa" w:w="15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marchand</w:t>
            </w:r>
          </w:p>
        </w:tc>
        <w:tc>
          <w:tcPr>
            <w:tcW w:type="dxa" w:w="55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Compte, double authentification, conditions versionnées, préqualification, pièces, suivi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Utilisateurs</w:t>
            </w:r>
          </w:p>
        </w:tc>
        <w:tc>
          <w:tcPr>
            <w:tcW w:type="dxa" w:w="15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55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Activation, rôles, réinitialisation de la double authentification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Journal d'audit</w:t>
            </w:r>
          </w:p>
        </w:tc>
        <w:tc>
          <w:tcPr>
            <w:tcW w:type="dxa" w:w="15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55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Ajout seul, filtres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Conditions du portail</w:t>
            </w:r>
          </w:p>
        </w:tc>
        <w:tc>
          <w:tcPr>
            <w:tcW w:type="dxa" w:w="15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  <w:tc>
          <w:tcPr>
            <w:tcW w:type="dxa" w:w="55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Publication des versions, nombre d'acceptations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Socle commun : </w:t>
      </w:r>
      <w:r>
        <w:t xml:space="preserve">connexion avec double authentification TOTP, réinitialisation de mot de passe, protection CSRF, CSP stricte, sessions séparées personnel / marchand, pièces stockées hors racine web avec empreinte sha256.</w:t>
      </w:r>
    </w:p>
    <w:p>
      <w:pPr>
        <w:pStyle w:val="Heading1"/>
      </w:pPr>
      <w:r>
        <w:t xml:space="preserve">2. Parcours d'un marchand</w:t>
      </w:r>
    </w:p>
    <w:p>
      <w:pPr>
        <w:keepNext/>
        <w:spacing w:after="120"/>
      </w:pPr>
      <w:r>
        <w:t xml:space="preserve">Du compte au marchand approuvé. Les cases teintées sont des gardes : rien ne passe tant qu'elles ne sont pas franchies. « Envoyé à MIPS » n'est jamais présenté comme « approuvé ».</w:t>
      </w:r>
    </w:p>
    <w:p>
      <w:pPr>
        <w:spacing w:after="160"/>
        <w:jc w:val="center"/>
      </w:pPr>
      <w:r>
        <w:drawing>
          <wp:inline distT="0" distB="0" distL="0" distR="0">
            <wp:extent cx="6096000" cy="140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700"/>
        <w:gridCol w:w="5238"/>
      </w:tblGrid>
      <w:tr>
        <w:trPr>
          <w:tblHeader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Étape</w:t>
            </w:r>
          </w:p>
        </w:tc>
        <w:tc>
          <w:tcPr>
            <w:tcW w:type="dxa" w:w="1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Par</w:t>
            </w:r>
          </w:p>
        </w:tc>
        <w:tc>
          <w:tcPr>
            <w:tcW w:type="dxa" w:w="5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 Création de compte</w:t>
            </w:r>
          </w:p>
        </w:tc>
        <w:tc>
          <w:tcPr>
            <w:tcW w:type="dxa" w:w="1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Marchand</w:t>
            </w:r>
          </w:p>
        </w:tc>
        <w:tc>
          <w:tcPr>
            <w:tcW w:type="dxa" w:w="5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Email confirmé par lien ; même réponse si l'adresse existe déjà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 Double authentification</w:t>
            </w:r>
          </w:p>
        </w:tc>
        <w:tc>
          <w:tcPr>
            <w:tcW w:type="dxa" w:w="1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Marchand</w:t>
            </w:r>
          </w:p>
        </w:tc>
        <w:tc>
          <w:tcPr>
            <w:tcW w:type="dxa" w:w="5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Obligatoire, 10 codes de secours, non désactivable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3. Conditions d'utilisation</w:t>
            </w:r>
          </w:p>
        </w:tc>
        <w:tc>
          <w:tcPr>
            <w:tcW w:type="dxa" w:w="1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Marchand</w:t>
            </w:r>
          </w:p>
        </w:tc>
        <w:tc>
          <w:tcPr>
            <w:tcW w:type="dxa" w:w="5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Version courante acceptée, empreinte du texte, IP et date enregistrées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4. Préqualification</w:t>
            </w:r>
          </w:p>
        </w:tc>
        <w:tc>
          <w:tcPr>
            <w:tcW w:type="dxa" w:w="1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Marchand</w:t>
            </w:r>
          </w:p>
        </w:tc>
        <w:tc>
          <w:tcPr>
            <w:tcW w:type="dxa" w:w="5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Société, activité, volumes, paiements ; une seule par compte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5. Acceptation</w:t>
            </w:r>
          </w:p>
        </w:tc>
        <w:tc>
          <w:tcPr>
            <w:tcW w:type="dxa" w:w="1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Analyste MIPS</w:t>
            </w:r>
          </w:p>
        </w:tc>
        <w:tc>
          <w:tcPr>
            <w:tcW w:type="dxa" w:w="5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Crée le marchand, ouvre le dossier KYC ; refus avec note interne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6. Personnes et pièces</w:t>
            </w:r>
          </w:p>
        </w:tc>
        <w:tc>
          <w:tcPr>
            <w:tcW w:type="dxa" w:w="1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Marchand</w:t>
            </w:r>
          </w:p>
        </w:tc>
        <w:tc>
          <w:tcPr>
            <w:tcW w:type="dxa" w:w="5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Dirigeants, bénéficiaires effectifs, signataires ; PEP déclarable, jamais retirable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7. Vérification des pièces</w:t>
            </w:r>
          </w:p>
        </w:tc>
        <w:tc>
          <w:tcPr>
            <w:tcW w:type="dxa" w:w="1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MIPS</w:t>
            </w:r>
          </w:p>
        </w:tc>
        <w:tc>
          <w:tcPr>
            <w:tcW w:type="dxa" w:w="5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 une autre personne que le déposant ; motif de refus visible du marchand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8. Dossier envoyé</w:t>
            </w:r>
          </w:p>
        </w:tc>
        <w:tc>
          <w:tcPr>
            <w:tcW w:type="dxa" w:w="1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Marchand</w:t>
            </w:r>
          </w:p>
        </w:tc>
        <w:tc>
          <w:tcPr>
            <w:tcW w:type="dxa" w:w="5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Seulement quand rien ne manque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9. Approbation</w:t>
            </w:r>
          </w:p>
        </w:tc>
        <w:tc>
          <w:tcPr>
            <w:tcW w:type="dxa" w:w="1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Approbateur MIPS</w:t>
            </w:r>
          </w:p>
        </w:tc>
        <w:tc>
          <w:tcPr>
            <w:tcW w:type="dxa" w:w="5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Différent de l'analyste, aucun blocage restant, note de décision</w:t>
            </w:r>
          </w:p>
        </w:tc>
      </w:tr>
    </w:tbl>
    <w:p>
      <w:pPr>
        <w:pStyle w:val="Heading1"/>
      </w:pPr>
      <w:r>
        <w:t xml:space="preserve">3. Flux de données</w:t>
      </w:r>
    </w:p>
    <w:p>
      <w:pPr>
        <w:pStyle w:val="Heading2"/>
      </w:pPr>
      <w:r>
        <w:t xml:space="preserve">Reporting et facturation</w:t>
      </w:r>
    </w:p>
    <w:p>
      <w:pPr>
        <w:spacing w:after="120"/>
      </w:pPr>
      <w:r>
        <w:t xml:space="preserve">Commission_Data ou BigQuery → import (SUCCESS seul, tests exclus, remboursements comptés à part) → rapport, tendances, Excel → factures de commission.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mois qui a des factures émises ne peut plus être réimporté.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Unité de somme_totale supposée en MUR, non confirmée.</w:t>
      </w:r>
    </w:p>
    <w:p>
      <w:pPr>
        <w:pStyle w:val="Heading2"/>
      </w:pPr>
      <w:r>
        <w:t xml:space="preserve">Rapprochement MCB ↔ MIPS</w:t>
      </w:r>
    </w:p>
    <w:p>
      <w:pPr>
        <w:spacing w:after="120"/>
      </w:pPr>
      <w:r>
        <w:t xml:space="preserve">Fichier MCB + extraction MIPS → contrôles de périmètre et remaps MID → écart ventilé, reste inexpliqué égal à zéro.</w:t>
      </w:r>
    </w:p>
    <w:p>
      <w:pPr>
        <w:spacing w:after="120"/>
      </w:pPr>
      <w:r>
        <w:t xml:space="preserve">Catégories : vérifications de carte, décalage de clearing, MID surveillés, présent seulement côté MIPS, présent seulement côté MCB, écart réel.</w:t>
      </w:r>
    </w:p>
    <w:p>
      <w:pPr>
        <w:spacing w:after="120"/>
      </w:pPr>
      <w:r>
        <w:rPr>
          <w:b/>
          <w:bCs/>
        </w:rPr>
        <w:t xml:space="preserve">Limite : </w:t>
      </w:r>
      <w:r>
        <w:t xml:space="preserve">il compare des volumes, pas des fonds. Ce n'est pas une réconciliation du trust.</w:t>
      </w:r>
    </w:p>
    <w:p>
      <w:pPr>
        <w:pStyle w:val="Heading1"/>
      </w:pPr>
      <w:r>
        <w:t xml:space="preserve">4. Flux de fonds</w:t>
      </w:r>
    </w:p>
    <w:p>
      <w:pPr>
        <w:keepNext/>
        <w:spacing w:after="120"/>
      </w:pPr>
      <w:r>
        <w:t xml:space="preserve">Où va l'argent aujourd'hui, et l'option du dossier SPIN. La réconciliation trust n'a de sens que dans le modèle B ; le choix du modèle se fait avant tout développement.</w:t>
      </w:r>
    </w:p>
    <w:p>
      <w:pPr>
        <w:spacing w:after="160"/>
        <w:jc w:val="center"/>
      </w:pPr>
      <w:r>
        <w:drawing>
          <wp:inline distT="0" distB="0" distL="0" distR="0">
            <wp:extent cx="60960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19"/>
        <w:gridCol w:w="3819"/>
      </w:tblGrid>
      <w:tr>
        <w:trPr>
          <w:tblHeader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/>
            </w:r>
          </w:p>
        </w:tc>
        <w:tc>
          <w:tcPr>
            <w:tcW w:type="dxa" w:w="3819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A — Passerelle (actuel probable)</w:t>
            </w:r>
          </w:p>
        </w:tc>
        <w:tc>
          <w:tcPr>
            <w:tcW w:type="dxa" w:w="3819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B — Encaissement pour compte (option SPIN)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Contrat acquéreur</w:t>
            </w:r>
          </w:p>
        </w:tc>
        <w:tc>
          <w:tcPr>
            <w:tcW w:type="dxa" w:w="3819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par marchand (Outlet propre)</w:t>
            </w:r>
          </w:p>
        </w:tc>
        <w:tc>
          <w:tcPr>
            <w:tcW w:type="dxa" w:w="3819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 nom de SPIN/MIPS, marchands en sous-marchands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Qui reçoit l'argent</w:t>
            </w:r>
          </w:p>
        </w:tc>
        <w:tc>
          <w:tcPr>
            <w:tcW w:type="dxa" w:w="3819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 marchand, directement</w:t>
            </w:r>
          </w:p>
        </w:tc>
        <w:tc>
          <w:tcPr>
            <w:tcW w:type="dxa" w:w="3819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 compte trust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Commission MIPS</w:t>
            </w:r>
          </w:p>
        </w:tc>
        <w:tc>
          <w:tcPr>
            <w:tcW w:type="dxa" w:w="3819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Facturée chaque mois</w:t>
            </w:r>
          </w:p>
        </w:tc>
        <w:tc>
          <w:tcPr>
            <w:tcW w:type="dxa" w:w="3819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Retenue au reversement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Réconciliation trust</w:t>
            </w:r>
          </w:p>
        </w:tc>
        <w:tc>
          <w:tcPr>
            <w:tcW w:type="dxa" w:w="3819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Sans objet</w:t>
            </w:r>
          </w:p>
        </w:tc>
        <w:tc>
          <w:tcPr>
            <w:tcW w:type="dxa" w:w="3819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Obligatoire chaque jour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Prérequis</w:t>
            </w:r>
          </w:p>
        </w:tc>
        <w:tc>
          <w:tcPr>
            <w:tcW w:type="dxa" w:w="3819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Aucun</w:t>
            </w:r>
          </w:p>
        </w:tc>
        <w:tc>
          <w:tcPr>
            <w:tcW w:type="dxa" w:w="3819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Renégocier les contrats acquéreurs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Indices du modèle actuel : </w:t>
      </w:r>
      <w:r>
        <w:t xml:space="preserve">fiches commerciales MIPS (« pas de compte intermédiaire »), commission facturée, rapprochement MCB par Outlet de chaque marchand, banque de règlement par moyen de paiement dans l'export d'octobre (MCB pour 6 couples sur 9).</w:t>
      </w:r>
    </w:p>
    <w:p>
      <w:pPr>
        <w:spacing w:after="120"/>
      </w:pPr>
      <w:r>
        <w:rPr>
          <w:b/>
          <w:bCs/>
        </w:rPr>
        <w:t xml:space="preserve">Schéma proposé pour B : </w:t>
      </w:r>
      <w:r>
        <w:t xml:space="preserve">un trust en MUR chez MCB ; règlements acquéreurs bruts à J+1 ; reversements quotidiens nets de commission ; commission sortie le jour même ; réserve chargeback par marchand ; aucun frais bancaire sur le trust ; autres devises hors périmètre au départ.</w:t>
      </w:r>
    </w:p>
    <w:p>
      <w:pPr>
        <w:spacing w:after="120"/>
      </w:pPr>
      <w:r>
        <w:rPr>
          <w:b/>
          <w:bCs/>
        </w:rPr>
        <w:t xml:space="preserve">Réglementation : </w:t>
      </w:r>
      <w:r>
        <w:t xml:space="preserve">les textes de la Banque de Maurice (formulaire de licence PSP, National Payment Systems Act 2018) n'ont pas pu être lus à la source (site indisponible le 30 octobre). À vérifier avant d'agir.</w:t>
      </w:r>
    </w:p>
    <w:p>
      <w:pPr>
        <w:pStyle w:val="Heading1"/>
      </w:pPr>
      <w:r>
        <w:t xml:space="preserve">5. Dossier SPIN DIGITAL / BoM</w:t>
      </w:r>
    </w:p>
    <w:p>
      <w:pPr>
        <w:spacing w:after="120"/>
      </w:pPr>
      <w:r>
        <w:t xml:space="preserve">Toutes les captures viennent d'un prototype non déployé, sur des données fictives, avec le bandeau DEMO. B01 et G01 n'ont pas été modifiés.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1300"/>
        <w:gridCol w:w="4238"/>
      </w:tblGrid>
      <w:tr>
        <w:trPr>
          <w:tblHeader/>
        </w:trPr>
        <w:tc>
          <w:tcPr>
            <w:tcW w:type="dxa" w:w="2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Vue</w:t>
            </w:r>
          </w:p>
        </w:tc>
        <w:tc>
          <w:tcPr>
            <w:tcW w:type="dxa" w:w="12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Statut</w:t>
            </w:r>
          </w:p>
        </w:tc>
        <w:tc>
          <w:tcPr>
            <w:tcW w:type="dxa" w:w="13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Captures</w:t>
            </w:r>
          </w:p>
        </w:tc>
        <w:tc>
          <w:tcPr>
            <w:tcW w:type="dxa" w:w="4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Limite principale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S01 Connexion + conditions</w:t>
            </w:r>
          </w:p>
        </w:tc>
        <w:tc>
          <w:tcPr>
            <w:tcW w:type="dxa" w:w="12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3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Présent</w:t>
            </w:r>
          </w:p>
        </w:tc>
        <w:tc>
          <w:tcPr>
            <w:tcW w:type="dxa" w:w="13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S01a–f</w:t>
            </w:r>
          </w:p>
        </w:tc>
        <w:tc>
          <w:tcPr>
            <w:tcW w:type="dxa" w:w="4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Texte des conditions = texte de remplissage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S02 Parcours d'onboarding</w:t>
            </w:r>
          </w:p>
        </w:tc>
        <w:tc>
          <w:tcPr>
            <w:tcW w:type="dxa" w:w="12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3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Présent</w:t>
            </w:r>
          </w:p>
        </w:tc>
        <w:tc>
          <w:tcPr>
            <w:tcW w:type="dxa" w:w="13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S02a–d</w:t>
            </w:r>
          </w:p>
        </w:tc>
        <w:tc>
          <w:tcPr>
            <w:tcW w:type="dxa" w:w="4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Décision finale non montrée côté marchand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S03 Préqualification</w:t>
            </w:r>
          </w:p>
        </w:tc>
        <w:tc>
          <w:tcPr>
            <w:tcW w:type="dxa" w:w="12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3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Présent</w:t>
            </w:r>
          </w:p>
        </w:tc>
        <w:tc>
          <w:tcPr>
            <w:tcW w:type="dxa" w:w="13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S03a–b</w:t>
            </w:r>
          </w:p>
        </w:tc>
        <w:tc>
          <w:tcPr>
            <w:tcW w:type="dxa" w:w="4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Signaux à valider par la conformité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S04 Pièces KYB</w:t>
            </w:r>
          </w:p>
        </w:tc>
        <w:tc>
          <w:tcPr>
            <w:tcW w:type="dxa" w:w="12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3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Présent</w:t>
            </w:r>
          </w:p>
        </w:tc>
        <w:tc>
          <w:tcPr>
            <w:tcW w:type="dxa" w:w="13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S04a–d</w:t>
            </w:r>
          </w:p>
        </w:tc>
        <w:tc>
          <w:tcPr>
            <w:tcW w:type="dxa" w:w="4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 d'antivirus installé : pièces « not scanned »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S05 Portail général</w:t>
            </w:r>
          </w:p>
        </w:tc>
        <w:tc>
          <w:tcPr>
            <w:tcW w:type="dxa" w:w="12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FBF1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Partiel</w:t>
            </w:r>
          </w:p>
        </w:tc>
        <w:tc>
          <w:tcPr>
            <w:tcW w:type="dxa" w:w="13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S05, S05b</w:t>
            </w:r>
          </w:p>
        </w:tc>
        <w:tc>
          <w:tcPr>
            <w:tcW w:type="dxa" w:w="4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Onboarding seulement, pas d'espace marchand actif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S06 Dashboard marchand</w:t>
            </w:r>
          </w:p>
        </w:tc>
        <w:tc>
          <w:tcPr>
            <w:tcW w:type="dxa" w:w="12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FBF1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Substitut</w:t>
            </w:r>
          </w:p>
        </w:tc>
        <w:tc>
          <w:tcPr>
            <w:tcW w:type="dxa" w:w="13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S06</w:t>
            </w:r>
          </w:p>
        </w:tc>
        <w:tc>
          <w:tcPr>
            <w:tcW w:type="dxa" w:w="4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Rapport interne de volumes, pas de fonds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S07 Règlement</w:t>
            </w:r>
          </w:p>
        </w:tc>
        <w:tc>
          <w:tcPr>
            <w:tcW w:type="dxa" w:w="12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FBF1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Partiel</w:t>
            </w:r>
          </w:p>
        </w:tc>
        <w:tc>
          <w:tcPr>
            <w:tcW w:type="dxa" w:w="13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S07</w:t>
            </w:r>
          </w:p>
        </w:tc>
        <w:tc>
          <w:tcPr>
            <w:tcW w:type="dxa" w:w="4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Rapprochement acquéreur, pas de trust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Contrôles (rôles, audit, double regard, conditions)</w:t>
            </w:r>
          </w:p>
        </w:tc>
        <w:tc>
          <w:tcPr>
            <w:tcW w:type="dxa" w:w="12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3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Présent</w:t>
            </w:r>
          </w:p>
        </w:tc>
        <w:tc>
          <w:tcPr>
            <w:tcW w:type="dxa" w:w="13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C01–C05</w:t>
            </w:r>
          </w:p>
        </w:tc>
        <w:tc>
          <w:tcPr>
            <w:tcW w:type="dxa" w:w="4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Rôles grossiers ; audit protégé par les droits de la base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Trust, surveillance des transactions, litiges, réclamations</w:t>
            </w:r>
          </w:p>
        </w:tc>
        <w:tc>
          <w:tcPr>
            <w:tcW w:type="dxa" w:w="12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FBE7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Absent</w:t>
            </w:r>
          </w:p>
        </w:tc>
        <w:tc>
          <w:tcPr>
            <w:tcW w:type="dxa" w:w="13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2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Non construit ; dépend du modèle A ou B</w:t>
            </w:r>
          </w:p>
        </w:tc>
      </w:tr>
    </w:tbl>
    <w:p>
      <w:pPr>
        <w:pStyle w:val="Heading1"/>
      </w:pPr>
      <w:r>
        <w:t xml:space="preserve">6. Specs pour le développeur de my.mips.mu</w:t>
      </w:r>
    </w:p>
    <w:p>
      <w:pPr>
        <w:spacing w:after="120"/>
      </w:pPr>
      <w:r>
        <w:t xml:space="preserve">Dans outputs/dev-handover/ du dépôt.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900"/>
        <w:gridCol w:w="3038"/>
      </w:tblGrid>
      <w:tr>
        <w:trPr>
          <w:tblHeader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Spec</w:t>
            </w:r>
          </w:p>
        </w:tc>
        <w:tc>
          <w:tcPr>
            <w:tcW w:type="dxa" w:w="3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Fichier</w:t>
            </w:r>
          </w:p>
        </w:tc>
        <w:tc>
          <w:tcPr>
            <w:tcW w:type="dxa" w:w="30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État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Export Excel du rapport mensuel</w:t>
            </w:r>
          </w:p>
        </w:tc>
        <w:tc>
          <w:tcPr>
            <w:tcW w:type="dxa" w:w="3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my-mips-monthly-report-excel-export.md</w:t>
            </w:r>
          </w:p>
        </w:tc>
        <w:tc>
          <w:tcPr>
            <w:tcW w:type="dxa" w:w="30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Code de référence et tests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Lecture BigQuery</w:t>
            </w:r>
          </w:p>
        </w:tc>
        <w:tc>
          <w:tcPr>
            <w:tcW w:type="dxa" w:w="3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my-mips-bigquery-commission-data.md</w:t>
            </w:r>
          </w:p>
        </w:tc>
        <w:tc>
          <w:tcPr>
            <w:tcW w:type="dxa" w:w="30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Testé sur émulateur, pas sur la vraie table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Rapprochement MCB</w:t>
            </w:r>
          </w:p>
        </w:tc>
        <w:tc>
          <w:tcPr>
            <w:tcW w:type="dxa" w:w="3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my-mips-mcb-reconciliation.md</w:t>
            </w:r>
          </w:p>
        </w:tc>
        <w:tc>
          <w:tcPr>
            <w:tcW w:type="dxa" w:w="30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Testé sur fichiers synthétiques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Onboarding KYC</w:t>
            </w:r>
          </w:p>
        </w:tc>
        <w:tc>
          <w:tcPr>
            <w:tcW w:type="dxa" w:w="3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my-mips-onboarding-kyc.md</w:t>
            </w:r>
          </w:p>
        </w:tc>
        <w:tc>
          <w:tcPr>
            <w:tcW w:type="dxa" w:w="30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 tests de recette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Portail marchand</w:t>
            </w:r>
          </w:p>
        </w:tc>
        <w:tc>
          <w:tcPr>
            <w:tcW w:type="dxa" w:w="3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my-mips-merchant-portal.md</w:t>
            </w:r>
          </w:p>
        </w:tc>
        <w:tc>
          <w:tcPr>
            <w:tcW w:type="dxa" w:w="30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29 tests de recette, 113 vérifications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Réconciliation trust</w:t>
            </w:r>
          </w:p>
        </w:tc>
        <w:tc>
          <w:tcPr>
            <w:tcW w:type="dxa" w:w="39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my-mips-trust-reconciliation.md</w:t>
            </w:r>
          </w:p>
        </w:tc>
        <w:tc>
          <w:tcPr>
            <w:tcW w:type="dxa" w:w="30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Sans code : à lancer seulement en modèle B</w:t>
            </w:r>
          </w:p>
        </w:tc>
      </w:tr>
    </w:tbl>
    <w:p>
      <w:pPr>
        <w:pStyle w:val="Heading1"/>
      </w:pPr>
      <w:r>
        <w:t xml:space="preserve">7. Décisions et vérifications en attente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638"/>
      </w:tblGrid>
      <w:tr>
        <w:trPr>
          <w:tblHeader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Qui</w:t>
            </w:r>
          </w:p>
        </w:tc>
        <w:tc>
          <w:tcPr>
            <w:tcW w:type="dxa" w:w="3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Sujet</w:t>
            </w:r>
          </w:p>
        </w:tc>
        <w:tc>
          <w:tcPr>
            <w:tcW w:type="dxa" w:w="46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shd w:fill="E2F2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2233A"/>
                <w:sz w:val="18"/>
                <w:szCs w:val="18"/>
              </w:rPr>
              <w:t xml:space="preserve">Pourquoi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CEO (bloquant)</w:t>
            </w:r>
          </w:p>
        </w:tc>
        <w:tc>
          <w:tcPr>
            <w:tcW w:type="dxa" w:w="3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Modèle A ou B pour SPIN</w:t>
            </w:r>
          </w:p>
        </w:tc>
        <w:tc>
          <w:tcPr>
            <w:tcW w:type="dxa" w:w="46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Conditionne la réconciliation trust et ce qui est promis à la BoM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Conformité (bloquant)</w:t>
            </w:r>
          </w:p>
        </w:tc>
        <w:tc>
          <w:tcPr>
            <w:tcW w:type="dxa" w:w="3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Textes BoM sur le cantonnement</w:t>
            </w:r>
          </w:p>
        </w:tc>
        <w:tc>
          <w:tcPr>
            <w:tcW w:type="dxa" w:w="46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Formulaire de licence et loi de 2018 non lus à la source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Conformité</w:t>
            </w:r>
          </w:p>
        </w:tc>
        <w:tc>
          <w:tcPr>
            <w:tcW w:type="dxa" w:w="3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Checklist KYC et seuils</w:t>
            </w:r>
          </w:p>
        </w:tc>
        <w:tc>
          <w:tcPr>
            <w:tcW w:type="dxa" w:w="46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Pièces, 25 % bénéficiaire effectif, revues 1/2/3 ans, règle PEP, conservation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Juridique</w:t>
            </w:r>
          </w:p>
        </w:tc>
        <w:tc>
          <w:tcPr>
            <w:tcW w:type="dxa" w:w="3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Texte des conditions du portail</w:t>
            </w:r>
          </w:p>
        </w:tc>
        <w:tc>
          <w:tcPr>
            <w:tcW w:type="dxa" w:w="46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 portail reste fermé tant qu'aucune version n'est publiée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Finance</w:t>
            </w:r>
          </w:p>
        </w:tc>
        <w:tc>
          <w:tcPr>
            <w:tcW w:type="dxa" w:w="3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Points ouverts du reporting</w:t>
            </w:r>
          </w:p>
        </w:tc>
        <w:tc>
          <w:tcPr>
            <w:tcW w:type="dxa" w:w="46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Unité de somme_totale, remboursements, TVA sur commissions, coordonnées de l'émetteur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Finance</w:t>
            </w:r>
          </w:p>
        </w:tc>
        <w:tc>
          <w:tcPr>
            <w:tcW w:type="dxa" w:w="3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Flux des wallets et virements</w:t>
            </w:r>
          </w:p>
        </w:tc>
        <w:tc>
          <w:tcPr>
            <w:tcW w:type="dxa" w:w="46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MyT Money, Juice, BankXfer passent-ils par un compte MIPS ?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IT</w:t>
            </w:r>
          </w:p>
        </w:tc>
        <w:tc>
          <w:tcPr>
            <w:tcW w:type="dxa" w:w="3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Antivirus des pièces</w:t>
            </w:r>
          </w:p>
        </w:tc>
        <w:tc>
          <w:tcPr>
            <w:tcW w:type="dxa" w:w="46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À installer et rendre obligatoire avant mise en service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CEO</w:t>
            </w:r>
          </w:p>
        </w:tc>
        <w:tc>
          <w:tcPr>
            <w:tcW w:type="dxa" w:w="3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Références MIPS INTERNATIONAL / FSC</w:t>
            </w:r>
          </w:p>
        </w:tc>
        <w:tc>
          <w:tcPr>
            <w:tcW w:type="dxa" w:w="46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À vérifier dans B01 et G01 avant dépôt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IT</w:t>
            </w:r>
          </w:p>
        </w:tc>
        <w:tc>
          <w:tcPr>
            <w:tcW w:type="dxa" w:w="3000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Validation sur données réelles</w:t>
            </w:r>
          </w:p>
        </w:tc>
        <w:tc>
          <w:tcPr>
            <w:tcW w:type="dxa" w:w="4638"/>
            <w:tcBorders>
              <w:top w:val="single" w:color="D5DDE7" w:sz="4"/>
              <w:left w:val="single" w:color="D5DDE7" w:sz="4"/>
              <w:bottom w:val="single" w:color="D5DDE7" w:sz="4"/>
              <w:right w:val="single" w:color="D5DDE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Rapprochement MCB sur un mois déjà réconcilié ; BigQuery sur la vraie table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color w:val="5A6B80"/>
        </w:rPr>
        <w:t xml:space="preserve">Rien n'est en production. Les chiffres des captures sont fictifs.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A6B80"/>
        <w:sz w:val="16"/>
        <w:szCs w:val="16"/>
      </w:rPr>
      <w:t xml:space="preserve">MIPS Platform — récapitulatif · page </w:t>
    </w:r>
    <w:r>
      <w:rPr>
        <w:color w:val="5A6B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F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60"/>
      <w:outlineLvl w:val="0"/>
    </w:pPr>
    <w:rPr>
      <w:b/>
      <w:bCs/>
      <w:color w:val="12233A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40"/>
      <w:outlineLvl w:val="1"/>
    </w:pPr>
    <w:rPr>
      <w:b/>
      <w:bCs/>
      <w:color w:val="0F7C8C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676354700b073f6a4dc2f0a812880eb313427a6.png"/><Relationship Id="rId9" Type="http://schemas.openxmlformats.org/officeDocument/2006/relationships/image" Target="media/9e58f30510260549166b0b694a90c01850eba566.png"/><Relationship Id="rId10" Type="http://schemas.openxmlformats.org/officeDocument/2006/relationships/image" Target="media/aab0c4715b11977caa2552092e8cd55bbbeb823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MIPS Platform — récapitulatif</dc:title>
  <dc:creator>MIPS</dc:creator>
  <cp:lastModifiedBy>Un-named</cp:lastModifiedBy>
  <cp:revision>1</cp:revision>
  <dcterms:created xsi:type="dcterms:W3CDTF">2026-10-30T07:23:53.915Z</dcterms:created>
  <dcterms:modified xsi:type="dcterms:W3CDTF">2026-10-30T07:23:53.915Z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