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8D838" w14:textId="77777777" w:rsidR="003D5A43" w:rsidRPr="004E1113" w:rsidRDefault="008455E0" w:rsidP="004E1113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11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Irregular </w:t>
      </w:r>
      <w:proofErr w:type="gramStart"/>
      <w:r w:rsidRPr="004E11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first person</w:t>
      </w:r>
      <w:proofErr w:type="gramEnd"/>
      <w:r w:rsidRPr="004E11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inflections in Cariban</w:t>
      </w:r>
      <w:r w:rsidR="004E1113" w:rsidRPr="004E111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E11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converging factors for morphological (dis-)similarity</w:t>
      </w:r>
    </w:p>
    <w:p w14:paraId="41EBAD7E" w14:textId="77777777" w:rsidR="003D5A43" w:rsidRPr="004E1113" w:rsidRDefault="008455E0" w:rsidP="004E1113">
      <w:pPr>
        <w:pStyle w:val="Standard"/>
        <w:spacing w:before="63"/>
        <w:jc w:val="center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>Florian Matter</w:t>
      </w:r>
    </w:p>
    <w:p w14:paraId="096B89C0" w14:textId="18BB9889" w:rsidR="003D5A43" w:rsidRPr="004E1113" w:rsidRDefault="008455E0" w:rsidP="004E1113">
      <w:pPr>
        <w:pStyle w:val="Standard"/>
        <w:spacing w:before="6"/>
        <w:jc w:val="center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>(University of Bern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D904F75" w14:textId="77777777" w:rsidR="003D5A43" w:rsidRPr="004E1113" w:rsidRDefault="008455E0" w:rsidP="004E1113">
      <w:pPr>
        <w:pStyle w:val="Standard"/>
        <w:spacing w:before="205"/>
        <w:ind w:left="18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>Keywords: Cariban, Morphology, Irregular inflection, Morphological change, Network model</w:t>
      </w:r>
    </w:p>
    <w:p w14:paraId="24452B00" w14:textId="6FD76CB9" w:rsidR="003D5A43" w:rsidRPr="004E1113" w:rsidRDefault="008455E0" w:rsidP="004E1113">
      <w:pPr>
        <w:pStyle w:val="Standard"/>
        <w:spacing w:before="233"/>
        <w:ind w:left="20" w:right="386" w:hanging="2"/>
        <w:jc w:val="both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>Proto-Cariban is reconstructed as having an untypical split-S system, where the division between S</w:t>
      </w:r>
      <w:r w:rsidRPr="004E111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and S</w:t>
      </w:r>
      <w:r w:rsidRPr="004E111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P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is not based on any known semantic criteria (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Meira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2000b). Rather, verbs derived via the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detran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sitivizer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ə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(e)-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e-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Meira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et al. 2010) end up in th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e S</w:t>
      </w:r>
      <w:r w:rsidRPr="004E111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A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category, while almost all other intransitive verbs are S</w:t>
      </w:r>
      <w:r w:rsidRPr="004E111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P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Meira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2000b). The category of verbs is primarily identified via the person marking prefixes they take (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Table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1).</w:t>
      </w:r>
    </w:p>
    <w:p w14:paraId="0C8F5D45" w14:textId="261274D3" w:rsidR="003D5A43" w:rsidRDefault="008455E0" w:rsidP="004E1113">
      <w:pPr>
        <w:pStyle w:val="Standard"/>
        <w:spacing w:before="239"/>
        <w:ind w:left="2305"/>
        <w:rPr>
          <w:rFonts w:ascii="Times New Roman" w:hAnsi="Times New Roman" w:cs="Times New Roman"/>
          <w:color w:val="000000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>Table 1: Proto-Cariban split-S person marking</w:t>
      </w:r>
    </w:p>
    <w:tbl>
      <w:tblPr>
        <w:tblStyle w:val="TableGrid"/>
        <w:tblW w:w="0" w:type="auto"/>
        <w:tblInd w:w="3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"/>
        <w:gridCol w:w="656"/>
        <w:gridCol w:w="603"/>
      </w:tblGrid>
      <w:tr w:rsidR="004E1113" w14:paraId="12547834" w14:textId="77777777" w:rsidTr="00742506">
        <w:trPr>
          <w:trHeight w:val="65"/>
        </w:trPr>
        <w:tc>
          <w:tcPr>
            <w:tcW w:w="0" w:type="auto"/>
          </w:tcPr>
          <w:p w14:paraId="455A79CA" w14:textId="77777777" w:rsidR="004E1113" w:rsidRDefault="004E1113" w:rsidP="004E1113">
            <w:pPr>
              <w:pStyle w:val="Standard"/>
              <w:spacing w:before="23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FF06CF" w14:textId="2F64A102" w:rsidR="004E1113" w:rsidRDefault="004E1113" w:rsidP="004E1113">
            <w:pPr>
              <w:pStyle w:val="Standard"/>
              <w:spacing w:before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4E11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4E111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</w:tcPr>
          <w:p w14:paraId="64B51787" w14:textId="021508B8" w:rsidR="004E1113" w:rsidRDefault="004E1113" w:rsidP="004E1113">
            <w:pPr>
              <w:pStyle w:val="Standard"/>
              <w:spacing w:before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4E11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4E1113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P</w:t>
            </w:r>
          </w:p>
        </w:tc>
      </w:tr>
      <w:tr w:rsidR="004E1113" w14:paraId="0D44F62B" w14:textId="77777777" w:rsidTr="00742506">
        <w:tc>
          <w:tcPr>
            <w:tcW w:w="0" w:type="auto"/>
          </w:tcPr>
          <w:p w14:paraId="4D94146B" w14:textId="7BFC3C07" w:rsidR="004E1113" w:rsidRDefault="004E1113" w:rsidP="004E1113">
            <w:pPr>
              <w:pStyle w:val="Standard"/>
              <w:spacing w:before="2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4E0292F" w14:textId="16B32D1C" w:rsidR="004E1113" w:rsidRDefault="004E1113" w:rsidP="004E1113">
            <w:pPr>
              <w:pStyle w:val="Standard"/>
              <w:spacing w:before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4E11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  <w:r w:rsidRPr="004E111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w-</w:t>
            </w:r>
          </w:p>
        </w:tc>
        <w:tc>
          <w:tcPr>
            <w:tcW w:w="0" w:type="auto"/>
          </w:tcPr>
          <w:p w14:paraId="6698C185" w14:textId="530193C2" w:rsidR="004E1113" w:rsidRDefault="004E1113" w:rsidP="004E1113">
            <w:pPr>
              <w:pStyle w:val="Standard"/>
              <w:spacing w:before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4E11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  <w:proofErr w:type="spellStart"/>
            <w:r w:rsidRPr="004E111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uj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-</w:t>
            </w:r>
          </w:p>
        </w:tc>
      </w:tr>
      <w:tr w:rsidR="004E1113" w14:paraId="0765751F" w14:textId="77777777" w:rsidTr="00742506">
        <w:tc>
          <w:tcPr>
            <w:tcW w:w="0" w:type="auto"/>
          </w:tcPr>
          <w:p w14:paraId="29A483D9" w14:textId="1697D9CD" w:rsidR="004E1113" w:rsidRDefault="004E1113" w:rsidP="004E1113">
            <w:pPr>
              <w:pStyle w:val="Standard"/>
              <w:spacing w:before="2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762E676" w14:textId="23315FCB" w:rsidR="004E1113" w:rsidRDefault="004E1113" w:rsidP="004E1113">
            <w:pPr>
              <w:pStyle w:val="Standard"/>
              <w:spacing w:before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4E11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  <w:r w:rsidRPr="004E111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m-</w:t>
            </w:r>
          </w:p>
        </w:tc>
        <w:tc>
          <w:tcPr>
            <w:tcW w:w="0" w:type="auto"/>
          </w:tcPr>
          <w:p w14:paraId="1830136A" w14:textId="19DD2D36" w:rsidR="004E1113" w:rsidRDefault="004E1113" w:rsidP="004E1113">
            <w:pPr>
              <w:pStyle w:val="Standard"/>
              <w:spacing w:before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4E11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  <w:proofErr w:type="spellStart"/>
            <w:r w:rsidRPr="004E111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əj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-</w:t>
            </w:r>
          </w:p>
        </w:tc>
      </w:tr>
      <w:tr w:rsidR="004E1113" w14:paraId="050066B2" w14:textId="77777777" w:rsidTr="00742506">
        <w:tc>
          <w:tcPr>
            <w:tcW w:w="0" w:type="auto"/>
          </w:tcPr>
          <w:p w14:paraId="5A4ACECC" w14:textId="6E840E9A" w:rsidR="004E1113" w:rsidRDefault="004E1113" w:rsidP="004E1113">
            <w:pPr>
              <w:pStyle w:val="Standard"/>
              <w:spacing w:before="2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1+2</w:t>
            </w:r>
          </w:p>
        </w:tc>
        <w:tc>
          <w:tcPr>
            <w:tcW w:w="0" w:type="auto"/>
          </w:tcPr>
          <w:p w14:paraId="02EC4C38" w14:textId="011EEECB" w:rsidR="004E1113" w:rsidRDefault="004E1113" w:rsidP="004E1113">
            <w:pPr>
              <w:pStyle w:val="Standard"/>
              <w:spacing w:before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4E11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  <w:proofErr w:type="spellStart"/>
            <w:r w:rsidRPr="004E111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kɨt</w:t>
            </w:r>
            <w:proofErr w:type="spellEnd"/>
            <w:r w:rsidRPr="004E111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3E34A73B" w14:textId="5D354914" w:rsidR="004E1113" w:rsidRPr="004E1113" w:rsidRDefault="004E1113" w:rsidP="004E1113">
            <w:pPr>
              <w:pStyle w:val="Standard"/>
              <w:spacing w:before="239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E111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*k-</w:t>
            </w:r>
          </w:p>
        </w:tc>
      </w:tr>
      <w:tr w:rsidR="004E1113" w14:paraId="245BCC42" w14:textId="77777777" w:rsidTr="00742506">
        <w:tc>
          <w:tcPr>
            <w:tcW w:w="0" w:type="auto"/>
          </w:tcPr>
          <w:p w14:paraId="7B706020" w14:textId="5B31110C" w:rsidR="004E1113" w:rsidRDefault="004E1113" w:rsidP="004E1113">
            <w:pPr>
              <w:pStyle w:val="Standard"/>
              <w:spacing w:before="2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124A4F0" w14:textId="1AE3C2EF" w:rsidR="004E1113" w:rsidRDefault="004E1113" w:rsidP="004E1113">
            <w:pPr>
              <w:pStyle w:val="Standard"/>
              <w:spacing w:before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4E11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  <w:r w:rsidRPr="004E111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n-</w:t>
            </w:r>
          </w:p>
        </w:tc>
        <w:tc>
          <w:tcPr>
            <w:tcW w:w="0" w:type="auto"/>
          </w:tcPr>
          <w:p w14:paraId="15D841AA" w14:textId="1238E84E" w:rsidR="004E1113" w:rsidRDefault="004E1113" w:rsidP="004E1113">
            <w:pPr>
              <w:pStyle w:val="Standard"/>
              <w:spacing w:before="239"/>
              <w:rPr>
                <w:rFonts w:ascii="Times New Roman" w:hAnsi="Times New Roman" w:cs="Times New Roman"/>
                <w:sz w:val="24"/>
                <w:szCs w:val="24"/>
              </w:rPr>
            </w:pPr>
            <w:r w:rsidRPr="004E11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</w:t>
            </w:r>
            <w:proofErr w:type="spellStart"/>
            <w:r w:rsidRPr="004E111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ni</w:t>
            </w:r>
            <w:proofErr w:type="spellEnd"/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-</w:t>
            </w:r>
          </w:p>
        </w:tc>
      </w:tr>
    </w:tbl>
    <w:p w14:paraId="1776067F" w14:textId="5D8D4F60" w:rsidR="003D5A43" w:rsidRPr="004E1113" w:rsidRDefault="008455E0" w:rsidP="004E1113">
      <w:pPr>
        <w:pStyle w:val="Standard"/>
        <w:spacing w:before="326"/>
        <w:ind w:right="385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Many Cariban languages have modified this system, introducing new person markers (Gildea 1998: 80–84, 90–92). These innovations most likely happened via lexical diffusion, as suggested by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Meira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(2000a) for the switch of 1&gt;3 *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t-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and 1S</w:t>
      </w:r>
      <w:r w:rsidRPr="004E111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A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w-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Tiriyó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Akuriyó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, and as evidenced by the 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t͡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ʃ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-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~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k-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‘1+2S</w:t>
      </w:r>
      <w:r w:rsidRPr="004E111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P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’ variation attested in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Werikyana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(Spike Gildea, p.c.). Of interest are new prefixes which did not spread completely, leaving over a small group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of verbs with synchronically irregular inflection patterns, </w:t>
      </w:r>
      <w:r w:rsidR="001B29C0">
        <w:rPr>
          <w:rFonts w:ascii="Times New Roman" w:hAnsi="Times New Roman" w:cs="Times New Roman"/>
          <w:color w:val="000000"/>
          <w:sz w:val="24"/>
          <w:szCs w:val="24"/>
        </w:rPr>
        <w:t>the</w:t>
      </w:r>
      <w:bookmarkStart w:id="0" w:name="_GoBack"/>
      <w:bookmarkEnd w:id="0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old S</w:t>
      </w:r>
      <w:r w:rsidRPr="004E111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A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markers. This is illustrated in (1–4), where (a–b) show verbs with regular marking, and (c) shows verbs with irregular marking – reflexes of Proto-Cariban *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w-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‘1S</w:t>
      </w:r>
      <w:r w:rsidRPr="004E111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’.</w:t>
      </w:r>
    </w:p>
    <w:p w14:paraId="25E403FD" w14:textId="77777777" w:rsidR="00000000" w:rsidRPr="004E1113" w:rsidRDefault="008455E0" w:rsidP="004E1113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000000" w:rsidRPr="004E1113">
          <w:pgSz w:w="11906" w:h="16820"/>
          <w:pgMar w:top="1094" w:right="1389" w:bottom="1422" w:left="1770" w:header="720" w:footer="720" w:gutter="0"/>
          <w:pgNumType w:start="1"/>
          <w:cols w:space="720"/>
        </w:sectPr>
      </w:pPr>
    </w:p>
    <w:p w14:paraId="3779D02F" w14:textId="5FFC7DB0" w:rsidR="003D5A43" w:rsidRPr="004E1113" w:rsidRDefault="008455E0" w:rsidP="004E1113">
      <w:pPr>
        <w:pStyle w:val="Standard"/>
        <w:spacing w:before="228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(1)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Hixkaryána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(Derbyshire 1985: 188, 209)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k-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ratano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‘I wept’</w:t>
      </w:r>
    </w:p>
    <w:p w14:paraId="57347BA8" w14:textId="77777777" w:rsidR="003D5A43" w:rsidRPr="004E1113" w:rsidRDefault="008455E0" w:rsidP="004E1113">
      <w:pPr>
        <w:pStyle w:val="Standard"/>
        <w:spacing w:before="21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-k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tano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‘I rushed’</w:t>
      </w:r>
    </w:p>
    <w:p w14:paraId="1378BB0B" w14:textId="77777777" w:rsidR="003D5A43" w:rsidRPr="004E1113" w:rsidRDefault="008455E0" w:rsidP="004E1113">
      <w:pPr>
        <w:pStyle w:val="Standard"/>
        <w:spacing w:before="96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-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tono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‘I went’</w:t>
      </w:r>
    </w:p>
    <w:p w14:paraId="19AC54C3" w14:textId="77777777" w:rsidR="003D5A43" w:rsidRPr="004E1113" w:rsidRDefault="008455E0" w:rsidP="004E1113">
      <w:pPr>
        <w:pStyle w:val="Standard"/>
        <w:spacing w:before="434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(2)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Arara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(Alves 2017: 153)</w:t>
      </w:r>
    </w:p>
    <w:p w14:paraId="033C866C" w14:textId="77777777" w:rsidR="003D5A43" w:rsidRPr="004E1113" w:rsidRDefault="008455E0" w:rsidP="004E1113">
      <w:pPr>
        <w:pStyle w:val="Standard"/>
        <w:spacing w:before="96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k-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omom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‘I entered’</w:t>
      </w:r>
    </w:p>
    <w:p w14:paraId="43FD9EF2" w14:textId="77777777" w:rsidR="003D5A43" w:rsidRPr="004E1113" w:rsidRDefault="008455E0" w:rsidP="004E1113">
      <w:pPr>
        <w:pStyle w:val="Standard"/>
        <w:spacing w:before="96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k-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onkul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‘I ascended’</w:t>
      </w:r>
    </w:p>
    <w:p w14:paraId="74F55788" w14:textId="5A27C6A3" w:rsidR="009160D6" w:rsidRDefault="008455E0" w:rsidP="00BA3838">
      <w:pPr>
        <w:pStyle w:val="Standard"/>
        <w:spacing w:before="96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w-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eb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‘I came’</w:t>
      </w:r>
    </w:p>
    <w:p w14:paraId="7CB114B9" w14:textId="77777777" w:rsidR="00BA3838" w:rsidRDefault="00BA3838" w:rsidP="00BA3838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B82C8" w14:textId="77777777" w:rsidR="00A96BC7" w:rsidRDefault="008455E0" w:rsidP="00BA3838">
      <w:pPr>
        <w:pStyle w:val="Standard"/>
        <w:rPr>
          <w:rFonts w:ascii="Times New Roman" w:hAnsi="Times New Roman" w:cs="Times New Roman"/>
          <w:color w:val="000000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(3)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Tiriyó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Meira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1999: 293–294)</w:t>
      </w:r>
    </w:p>
    <w:p w14:paraId="49CE3800" w14:textId="61B7D537" w:rsidR="003D5A43" w:rsidRPr="004E1113" w:rsidRDefault="008455E0" w:rsidP="00BA3838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t-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ə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turu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‘I t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alked’</w:t>
      </w:r>
    </w:p>
    <w:p w14:paraId="07473E22" w14:textId="77777777" w:rsidR="003D5A43" w:rsidRPr="004E1113" w:rsidRDefault="008455E0" w:rsidP="00BA3838">
      <w:pPr>
        <w:pStyle w:val="Standard"/>
        <w:spacing w:before="21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t-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əə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k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‘I slept’</w:t>
      </w:r>
    </w:p>
    <w:p w14:paraId="53274191" w14:textId="77777777" w:rsidR="003D5A43" w:rsidRPr="004E1113" w:rsidRDefault="008455E0" w:rsidP="00BA3838">
      <w:pPr>
        <w:pStyle w:val="Standard"/>
        <w:spacing w:before="93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w-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ə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ep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‘I came’</w:t>
      </w:r>
    </w:p>
    <w:p w14:paraId="240B3FC1" w14:textId="77777777" w:rsidR="003D5A43" w:rsidRPr="004E1113" w:rsidRDefault="008455E0" w:rsidP="00BA3838">
      <w:pPr>
        <w:pStyle w:val="Standard"/>
        <w:spacing w:before="452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(4)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Yukpa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Meira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2003)</w:t>
      </w:r>
    </w:p>
    <w:p w14:paraId="5E998E0D" w14:textId="77777777" w:rsidR="003D5A43" w:rsidRPr="004E1113" w:rsidRDefault="008455E0" w:rsidP="00BA3838">
      <w:pPr>
        <w:pStyle w:val="Standard"/>
        <w:spacing w:before="93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j-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ot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‘I stayed’</w:t>
      </w:r>
    </w:p>
    <w:p w14:paraId="43EB78BE" w14:textId="77777777" w:rsidR="003D5A43" w:rsidRPr="004E1113" w:rsidRDefault="008455E0" w:rsidP="00BA3838">
      <w:pPr>
        <w:pStyle w:val="Standard"/>
        <w:spacing w:before="93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j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-nke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‘I slept’</w:t>
      </w:r>
    </w:p>
    <w:p w14:paraId="3B83D9B4" w14:textId="77777777" w:rsidR="003D5A43" w:rsidRPr="004E1113" w:rsidRDefault="008455E0" w:rsidP="00BA3838">
      <w:pPr>
        <w:pStyle w:val="Standard"/>
        <w:spacing w:before="93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>c. Ø-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to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‘I went’</w:t>
      </w:r>
    </w:p>
    <w:p w14:paraId="4C43AF92" w14:textId="77777777" w:rsidR="00000000" w:rsidRPr="004E1113" w:rsidRDefault="008455E0" w:rsidP="004E1113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000000" w:rsidRPr="004E1113">
          <w:type w:val="continuous"/>
          <w:pgSz w:w="11906" w:h="16820"/>
          <w:pgMar w:top="1094" w:right="1389" w:bottom="1422" w:left="1770" w:header="720" w:footer="720" w:gutter="0"/>
          <w:pgNumType w:start="1"/>
          <w:cols w:num="2" w:space="720" w:equalWidth="0">
            <w:col w:w="4374" w:space="0"/>
            <w:col w:w="4373" w:space="0"/>
          </w:cols>
        </w:sectPr>
      </w:pPr>
    </w:p>
    <w:p w14:paraId="5BB3646E" w14:textId="77E8AF2B" w:rsidR="003D5A43" w:rsidRPr="00D35C50" w:rsidRDefault="008455E0" w:rsidP="002E63E9">
      <w:pPr>
        <w:pStyle w:val="Standard"/>
        <w:spacing w:before="476"/>
        <w:ind w:left="433" w:right="2377" w:hanging="408"/>
        <w:rPr>
          <w:rFonts w:ascii="Times New Roman" w:hAnsi="Times New Roman" w:cs="Times New Roman"/>
          <w:color w:val="000000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(5)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Carijona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(Koch-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Grünberg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1908: 79; Guerrero-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Beltrán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2016b:</w:t>
      </w:r>
      <w:r w:rsidR="00E74B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70, 2016a: 5)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5C5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j-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eh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h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ə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hjai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‘I fight’</w:t>
      </w:r>
    </w:p>
    <w:p w14:paraId="0C20BB7D" w14:textId="77777777" w:rsidR="003D5A43" w:rsidRPr="004E1113" w:rsidRDefault="008455E0" w:rsidP="004E1113">
      <w:pPr>
        <w:pStyle w:val="Standard"/>
        <w:spacing w:before="20"/>
        <w:ind w:left="426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j-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ejae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‘I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come’</w:t>
      </w:r>
    </w:p>
    <w:p w14:paraId="5EC5509F" w14:textId="77777777" w:rsidR="003D5A43" w:rsidRPr="004E1113" w:rsidRDefault="008455E0" w:rsidP="004E1113">
      <w:pPr>
        <w:pStyle w:val="Standard"/>
        <w:spacing w:before="92"/>
        <w:ind w:left="433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w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-t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ə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‘I go’</w:t>
      </w:r>
    </w:p>
    <w:p w14:paraId="52B2D607" w14:textId="38BFDF02" w:rsidR="003D5A43" w:rsidRPr="004E1113" w:rsidRDefault="008455E0" w:rsidP="004E1113">
      <w:pPr>
        <w:pStyle w:val="Standard"/>
        <w:spacing w:before="213"/>
        <w:ind w:right="386" w:firstLine="317"/>
        <w:jc w:val="both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>Interestingly, of 18 investigated person marker extensions affecting intransitive verbs, the 6 exten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sions leaving such irregular verbs all introduced 1S</w:t>
      </w:r>
      <w:r w:rsidRPr="004E111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(A)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markers. Three of these innovative markers are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reconstructible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to intermed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iate proto-languages: Proto-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Parukotoan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k-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, Proto-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Waiwaian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k-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, and Proto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Tiriyoan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t-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. The other three are found in single extant languages: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Akuriyó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k-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Carijona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j-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Yukpa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j(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)-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. Besides some language-specific irregular verbs, the six innovations show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considerable overlap in what verbs they did not affect (6).</w:t>
      </w:r>
    </w:p>
    <w:p w14:paraId="3507C13D" w14:textId="77777777" w:rsidR="001F02EC" w:rsidRDefault="001F02EC" w:rsidP="004E1113">
      <w:pPr>
        <w:pStyle w:val="Standard"/>
        <w:ind w:left="24"/>
        <w:rPr>
          <w:rFonts w:ascii="Times New Roman" w:hAnsi="Times New Roman" w:cs="Times New Roman"/>
          <w:color w:val="000000"/>
          <w:sz w:val="24"/>
          <w:szCs w:val="24"/>
        </w:rPr>
      </w:pPr>
    </w:p>
    <w:p w14:paraId="1FB6F525" w14:textId="43628150" w:rsidR="003D5A43" w:rsidRPr="004E1113" w:rsidRDefault="001F02EC" w:rsidP="004E1113">
      <w:pPr>
        <w:pStyle w:val="Standard"/>
        <w:ind w:left="24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55E0" w:rsidRPr="004E1113">
        <w:rPr>
          <w:rFonts w:ascii="Times New Roman" w:hAnsi="Times New Roman" w:cs="Times New Roman"/>
          <w:color w:val="000000"/>
          <w:sz w:val="24"/>
          <w:szCs w:val="24"/>
        </w:rPr>
        <w:t>(6) Proto-Cariban verbs with multiple irregularly inflected reflexes</w:t>
      </w:r>
    </w:p>
    <w:p w14:paraId="48E761B6" w14:textId="77777777" w:rsidR="003D5A43" w:rsidRPr="004E1113" w:rsidRDefault="008455E0" w:rsidP="004E1113">
      <w:pPr>
        <w:pStyle w:val="Standard"/>
        <w:spacing w:before="92"/>
        <w:ind w:left="433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>a. *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a(p)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eti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‘to be’</w:t>
      </w:r>
    </w:p>
    <w:p w14:paraId="6F9C51B7" w14:textId="77777777" w:rsidR="003D5A43" w:rsidRPr="004E1113" w:rsidRDefault="008455E0" w:rsidP="004E1113">
      <w:pPr>
        <w:pStyle w:val="Standard"/>
        <w:spacing w:before="92"/>
        <w:ind w:left="426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>b. *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ka(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ti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‘to say’</w:t>
      </w:r>
    </w:p>
    <w:p w14:paraId="5AF7C813" w14:textId="77777777" w:rsidR="003D5A43" w:rsidRPr="004E1113" w:rsidRDefault="008455E0" w:rsidP="004E1113">
      <w:pPr>
        <w:pStyle w:val="Standard"/>
        <w:spacing w:before="92"/>
        <w:ind w:left="433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>c. *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ə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‘to go’</w:t>
      </w:r>
    </w:p>
    <w:p w14:paraId="6EC35EA3" w14:textId="77777777" w:rsidR="003D5A43" w:rsidRPr="004E1113" w:rsidRDefault="008455E0" w:rsidP="004E1113">
      <w:pPr>
        <w:pStyle w:val="Standard"/>
        <w:spacing w:before="92"/>
        <w:ind w:left="433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>d. *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ə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-)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j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ə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‘to come’</w:t>
      </w:r>
    </w:p>
    <w:p w14:paraId="581275F8" w14:textId="77777777" w:rsidR="003D5A43" w:rsidRPr="004E1113" w:rsidRDefault="008455E0" w:rsidP="004E1113">
      <w:pPr>
        <w:pStyle w:val="Standard"/>
        <w:spacing w:before="92"/>
        <w:ind w:left="433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>e. *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ɨ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ə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‘to go down’</w:t>
      </w:r>
    </w:p>
    <w:p w14:paraId="57449484" w14:textId="41127409" w:rsidR="003D5A43" w:rsidRPr="004E1113" w:rsidRDefault="008455E0" w:rsidP="004E1113">
      <w:pPr>
        <w:pStyle w:val="Standard"/>
        <w:spacing w:before="213"/>
        <w:ind w:left="16" w:right="385" w:firstLine="299"/>
        <w:jc w:val="both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Using Bybee’s (1985) network model of morphology, I show that some cases of incomplete extension can be argued to be due to lexical connections based on morphology (presence vs absence of the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de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transitivizing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prefix), while the distribution of others reve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als phonological connections between verbs with innovative markers (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- and/or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ə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-initial vs others). While no semantic connections have emerged as relevant, many of the resistant verbs are high frequency verbs, a factor predicting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conservativism in Bybee’s model. In fact, most cases of resistant verbs are predicted simultaneously by three factors: mor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phological connections, phonological connections, and frequency. Thus, while the network model offers attractive explanations for the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(non-)spread of innovative 1S</w:t>
      </w:r>
      <w:r w:rsidRPr="004E111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A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markers, these predicting factors strongly overlap in many of the investigated cases of extension. This in turn is largely due to the fact that the most high-frequency S</w:t>
      </w:r>
      <w:r w:rsidRPr="004E111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A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verbs were different from normal S</w:t>
      </w:r>
      <w:r w:rsidRPr="004E111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A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verbs already at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the level of Proto-Cariban, since they did not contain the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detransitivizing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prefix *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ə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(e)-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e-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, and were therefore morphologically and phonologically distinct from normal S</w:t>
      </w:r>
      <w:r w:rsidRPr="004E111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A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verbs.</w:t>
      </w:r>
    </w:p>
    <w:p w14:paraId="7D027B98" w14:textId="77777777" w:rsidR="003D5A43" w:rsidRPr="008C2E6E" w:rsidRDefault="008455E0" w:rsidP="004E1113">
      <w:pPr>
        <w:pStyle w:val="Standard"/>
        <w:spacing w:before="280"/>
        <w:ind w:left="19"/>
        <w:rPr>
          <w:rFonts w:ascii="Times New Roman" w:hAnsi="Times New Roman" w:cs="Times New Roman"/>
          <w:b/>
          <w:bCs/>
          <w:sz w:val="24"/>
          <w:szCs w:val="24"/>
        </w:rPr>
      </w:pPr>
      <w:r w:rsidRPr="008C2E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References</w:t>
      </w:r>
    </w:p>
    <w:p w14:paraId="634C68C8" w14:textId="77777777" w:rsidR="003D5A43" w:rsidRPr="004E1113" w:rsidRDefault="008455E0" w:rsidP="004E1113">
      <w:pPr>
        <w:pStyle w:val="Standard"/>
        <w:spacing w:before="203"/>
        <w:ind w:left="318" w:right="386" w:hanging="302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>Alves, Ana Carolina Ferreira (2017). “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Morfofonologia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morfossin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taxe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e o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sistema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de tempo,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aspecto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e modo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Arara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Karib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)”. Ph.D. dissertation.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Universidade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de São Paulo.</w:t>
      </w:r>
    </w:p>
    <w:p w14:paraId="055CB686" w14:textId="77777777" w:rsidR="003D5A43" w:rsidRPr="004E1113" w:rsidRDefault="008455E0" w:rsidP="004E1113">
      <w:pPr>
        <w:pStyle w:val="Standard"/>
        <w:spacing w:before="6"/>
        <w:ind w:left="300" w:right="-5" w:hanging="282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Bybee, Joan L. (1985).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Morphology: A study of the relation between meaning and form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. Amsterdam/Philadelphia: John Benjamins.</w:t>
      </w:r>
    </w:p>
    <w:p w14:paraId="50D2DB71" w14:textId="7BFA4306" w:rsidR="003D5A43" w:rsidRPr="004E1113" w:rsidRDefault="008455E0" w:rsidP="00E472B2">
      <w:pPr>
        <w:pStyle w:val="Standard"/>
        <w:spacing w:before="6"/>
        <w:ind w:left="426" w:right="397" w:hanging="408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lastRenderedPageBreak/>
        <w:t>Derbyshire, Desmond C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. (1985). 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Hixkaryana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and Linguistic Typology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. Dallas: Summer Institute of Lin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guistics.</w:t>
      </w:r>
    </w:p>
    <w:p w14:paraId="443950B2" w14:textId="77777777" w:rsidR="003D5A43" w:rsidRPr="004E1113" w:rsidRDefault="008455E0" w:rsidP="00E472B2">
      <w:pPr>
        <w:pStyle w:val="Standard"/>
        <w:spacing w:before="6"/>
        <w:ind w:left="426" w:right="389" w:hanging="408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Gildea, Spike (1998).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On reconstructing grammar: Comparative Cariban morphosyntax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. Oxford: Oxford University Press.</w:t>
      </w:r>
    </w:p>
    <w:p w14:paraId="65D9A3EA" w14:textId="77777777" w:rsidR="003D5A43" w:rsidRPr="004E1113" w:rsidRDefault="008455E0" w:rsidP="00E472B2">
      <w:pPr>
        <w:pStyle w:val="Standard"/>
        <w:spacing w:before="6"/>
        <w:ind w:left="426" w:right="386" w:hanging="408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>Guerrero-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Beltrán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>, David Felipe (2016a). “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Estructur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de la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oración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simple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en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Karijona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Lengua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Caribe de la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Amazonía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Colombiana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>”. BA thesis. Universidad Nacional de Colombia.</w:t>
      </w:r>
    </w:p>
    <w:p w14:paraId="7E54988B" w14:textId="77777777" w:rsidR="00D277DC" w:rsidRDefault="008455E0" w:rsidP="00E472B2">
      <w:pPr>
        <w:pStyle w:val="Standard"/>
        <w:spacing w:before="6"/>
        <w:ind w:left="426" w:right="386" w:hanging="408"/>
        <w:rPr>
          <w:rFonts w:ascii="Times New Roman" w:hAnsi="Times New Roman" w:cs="Times New Roman"/>
          <w:color w:val="000000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— (2016b). “The alignment and person-marking system in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Karijona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(Cariban, Northwest Amazonia)”. Paper presented at the Language and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Culture Research Centre, James Cook University.</w:t>
      </w:r>
    </w:p>
    <w:p w14:paraId="7323AF31" w14:textId="77777777" w:rsidR="00D277DC" w:rsidRDefault="008455E0" w:rsidP="00E472B2">
      <w:pPr>
        <w:pStyle w:val="Standard"/>
        <w:spacing w:before="6"/>
        <w:ind w:left="426" w:right="386" w:hanging="408"/>
        <w:rPr>
          <w:rFonts w:ascii="Times New Roman" w:hAnsi="Times New Roman" w:cs="Times New Roman"/>
          <w:color w:val="000000"/>
          <w:sz w:val="24"/>
          <w:szCs w:val="24"/>
          <w:lang w:val="de-CH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  <w:lang w:val="de-CH"/>
        </w:rPr>
        <w:t xml:space="preserve">Koch-Grünberg, Theodor (1908). “Die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  <w:lang w:val="de-CH"/>
        </w:rPr>
        <w:t>Hianákoto-Umáua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  <w:lang w:val="de-CH"/>
        </w:rPr>
        <w:t xml:space="preserve">”. In: </w:t>
      </w:r>
      <w:proofErr w:type="spellStart"/>
      <w:r w:rsidRPr="004E1113">
        <w:rPr>
          <w:rFonts w:ascii="Times New Roman" w:hAnsi="Times New Roman" w:cs="Times New Roman"/>
          <w:i/>
          <w:color w:val="000000"/>
          <w:sz w:val="24"/>
          <w:szCs w:val="24"/>
          <w:lang w:val="de-CH"/>
        </w:rPr>
        <w:t>Anthropos</w:t>
      </w:r>
      <w:proofErr w:type="spellEnd"/>
      <w:r w:rsidRPr="004E1113">
        <w:rPr>
          <w:rFonts w:ascii="Times New Roman" w:hAnsi="Times New Roman" w:cs="Times New Roman"/>
          <w:i/>
          <w:color w:val="000000"/>
          <w:sz w:val="24"/>
          <w:szCs w:val="24"/>
          <w:lang w:val="de-CH"/>
        </w:rPr>
        <w:t xml:space="preserve"> </w:t>
      </w:r>
      <w:r w:rsidRPr="004E1113">
        <w:rPr>
          <w:rFonts w:ascii="Times New Roman" w:hAnsi="Times New Roman" w:cs="Times New Roman"/>
          <w:color w:val="000000"/>
          <w:sz w:val="24"/>
          <w:szCs w:val="24"/>
          <w:lang w:val="de-CH"/>
        </w:rPr>
        <w:t>3: 83–124, 297–335, 952–982.</w:t>
      </w:r>
    </w:p>
    <w:p w14:paraId="69722D62" w14:textId="08A9BF7C" w:rsidR="003D5A43" w:rsidRPr="004E1113" w:rsidRDefault="008455E0" w:rsidP="00E472B2">
      <w:pPr>
        <w:pStyle w:val="Standard"/>
        <w:spacing w:before="6"/>
        <w:ind w:left="426" w:right="386" w:hanging="408"/>
        <w:rPr>
          <w:rFonts w:ascii="Times New Roman" w:hAnsi="Times New Roman" w:cs="Times New Roman"/>
          <w:sz w:val="24"/>
          <w:szCs w:val="24"/>
        </w:rPr>
      </w:pP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  <w:lang w:val="de-CH"/>
        </w:rPr>
        <w:t>Meira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  <w:lang w:val="de-CH"/>
        </w:rPr>
        <w:t xml:space="preserve">,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  <w:lang w:val="de-CH"/>
        </w:rPr>
        <w:t>Sérgio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  <w:lang w:val="de-CH"/>
        </w:rPr>
        <w:t xml:space="preserve"> (1999).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“A Grammar of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Tiriyó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>”. Ph.D. dissertation. Rice University.</w:t>
      </w:r>
    </w:p>
    <w:p w14:paraId="44EC6BCD" w14:textId="352893F1" w:rsidR="00D277DC" w:rsidRDefault="008455E0" w:rsidP="00E472B2">
      <w:pPr>
        <w:pStyle w:val="Standard"/>
        <w:spacing w:before="6"/>
        <w:ind w:left="426" w:right="385" w:hanging="408"/>
        <w:rPr>
          <w:rFonts w:ascii="Times New Roman" w:hAnsi="Times New Roman" w:cs="Times New Roman"/>
          <w:color w:val="000000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— (2000a). </w:t>
      </w:r>
      <w:r w:rsidRPr="003104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A reconstruction</w:t>
      </w:r>
      <w:r w:rsidRPr="0031042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of Proto-</w:t>
      </w:r>
      <w:proofErr w:type="spellStart"/>
      <w:r w:rsidRPr="003104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Taranoan</w:t>
      </w:r>
      <w:proofErr w:type="spellEnd"/>
      <w:r w:rsidRPr="0031042E">
        <w:rPr>
          <w:rFonts w:ascii="Times New Roman" w:hAnsi="Times New Roman" w:cs="Times New Roman"/>
          <w:i/>
          <w:iCs/>
          <w:color w:val="000000"/>
          <w:sz w:val="24"/>
          <w:szCs w:val="24"/>
        </w:rPr>
        <w:t>: phonology and morphology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104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D72A8">
        <w:rPr>
          <w:rFonts w:ascii="Times New Roman" w:hAnsi="Times New Roman" w:cs="Times New Roman"/>
          <w:color w:val="000000"/>
          <w:sz w:val="24"/>
          <w:szCs w:val="24"/>
        </w:rPr>
        <w:t xml:space="preserve">München: </w:t>
      </w:r>
      <w:proofErr w:type="spellStart"/>
      <w:r w:rsidR="008D72A8">
        <w:rPr>
          <w:rFonts w:ascii="Times New Roman" w:hAnsi="Times New Roman" w:cs="Times New Roman"/>
          <w:color w:val="000000"/>
          <w:sz w:val="24"/>
          <w:szCs w:val="24"/>
        </w:rPr>
        <w:t>Lincom</w:t>
      </w:r>
      <w:proofErr w:type="spellEnd"/>
      <w:r w:rsidR="008D72A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C43FF96" w14:textId="59C6F5E0" w:rsidR="003D5A43" w:rsidRPr="004E1113" w:rsidRDefault="008455E0" w:rsidP="00E472B2">
      <w:pPr>
        <w:pStyle w:val="Standard"/>
        <w:spacing w:before="6"/>
        <w:ind w:left="426" w:right="385" w:hanging="408"/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>— (2000b). “The accidental intransitive split in the Cariban family”. In:</w:t>
      </w:r>
      <w:r w:rsidR="008542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Reconstructing Grammar: Com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>parative Linguistics and Grammaticalization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. Spike Gildea (ed.). Vol. 43. Typological Studies in Lan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gu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age. Amsterdam: John Benjamins: 201–230.</w:t>
      </w:r>
    </w:p>
    <w:p w14:paraId="37CD08DE" w14:textId="77777777" w:rsidR="00854249" w:rsidRDefault="008455E0" w:rsidP="00E472B2">
      <w:pPr>
        <w:pStyle w:val="Standard"/>
        <w:spacing w:before="6"/>
        <w:ind w:left="426" w:right="386" w:hanging="408"/>
        <w:rPr>
          <w:rFonts w:ascii="Times New Roman" w:hAnsi="Times New Roman" w:cs="Times New Roman"/>
          <w:color w:val="000000"/>
          <w:sz w:val="24"/>
          <w:szCs w:val="24"/>
        </w:rPr>
      </w:pPr>
      <w:r w:rsidRPr="004E1113">
        <w:rPr>
          <w:rFonts w:ascii="Times New Roman" w:hAnsi="Times New Roman" w:cs="Times New Roman"/>
          <w:color w:val="000000"/>
          <w:sz w:val="24"/>
          <w:szCs w:val="24"/>
        </w:rPr>
        <w:t>— (2003). “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Primeras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observaciones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sobre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lengua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1113">
        <w:rPr>
          <w:rFonts w:ascii="Times New Roman" w:hAnsi="Times New Roman" w:cs="Times New Roman"/>
          <w:color w:val="000000"/>
          <w:sz w:val="24"/>
          <w:szCs w:val="24"/>
        </w:rPr>
        <w:t>yukpa</w:t>
      </w:r>
      <w:proofErr w:type="spellEnd"/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”. In: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Lingua Americana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7.12.</w:t>
      </w:r>
    </w:p>
    <w:p w14:paraId="1D9CAC11" w14:textId="4494AB9D" w:rsidR="003D5A43" w:rsidRPr="004E1113" w:rsidRDefault="008455E0" w:rsidP="00BA5138">
      <w:pPr>
        <w:pStyle w:val="Standard"/>
        <w:spacing w:before="6"/>
        <w:ind w:left="426" w:right="386" w:hanging="408"/>
        <w:rPr>
          <w:rFonts w:ascii="Times New Roman" w:hAnsi="Times New Roman" w:cs="Times New Roman"/>
          <w:sz w:val="24"/>
          <w:szCs w:val="24"/>
        </w:rPr>
      </w:pPr>
      <w:proofErr w:type="spellStart"/>
      <w:r w:rsidRPr="00854249">
        <w:rPr>
          <w:rFonts w:ascii="Times New Roman" w:hAnsi="Times New Roman" w:cs="Times New Roman"/>
          <w:color w:val="000000"/>
          <w:sz w:val="24"/>
          <w:szCs w:val="24"/>
          <w:lang w:val="de-CH"/>
        </w:rPr>
        <w:t>Meira</w:t>
      </w:r>
      <w:proofErr w:type="spellEnd"/>
      <w:r w:rsidRPr="00854249">
        <w:rPr>
          <w:rFonts w:ascii="Times New Roman" w:hAnsi="Times New Roman" w:cs="Times New Roman"/>
          <w:color w:val="000000"/>
          <w:sz w:val="24"/>
          <w:szCs w:val="24"/>
          <w:lang w:val="de-CH"/>
        </w:rPr>
        <w:t xml:space="preserve">, </w:t>
      </w:r>
      <w:proofErr w:type="spellStart"/>
      <w:r w:rsidRPr="00854249">
        <w:rPr>
          <w:rFonts w:ascii="Times New Roman" w:hAnsi="Times New Roman" w:cs="Times New Roman"/>
          <w:color w:val="000000"/>
          <w:sz w:val="24"/>
          <w:szCs w:val="24"/>
          <w:lang w:val="de-CH"/>
        </w:rPr>
        <w:t>Sérgio</w:t>
      </w:r>
      <w:proofErr w:type="spellEnd"/>
      <w:r w:rsidRPr="00854249">
        <w:rPr>
          <w:rFonts w:ascii="Times New Roman" w:hAnsi="Times New Roman" w:cs="Times New Roman"/>
          <w:color w:val="000000"/>
          <w:sz w:val="24"/>
          <w:szCs w:val="24"/>
          <w:lang w:val="de-CH"/>
        </w:rPr>
        <w:t xml:space="preserve">, Spike </w:t>
      </w:r>
      <w:proofErr w:type="spellStart"/>
      <w:r w:rsidRPr="00854249">
        <w:rPr>
          <w:rFonts w:ascii="Times New Roman" w:hAnsi="Times New Roman" w:cs="Times New Roman"/>
          <w:color w:val="000000"/>
          <w:sz w:val="24"/>
          <w:szCs w:val="24"/>
          <w:lang w:val="de-CH"/>
        </w:rPr>
        <w:t>Gildea</w:t>
      </w:r>
      <w:proofErr w:type="spellEnd"/>
      <w:r w:rsidRPr="00854249">
        <w:rPr>
          <w:rFonts w:ascii="Times New Roman" w:hAnsi="Times New Roman" w:cs="Times New Roman"/>
          <w:color w:val="000000"/>
          <w:sz w:val="24"/>
          <w:szCs w:val="24"/>
          <w:lang w:val="de-CH"/>
        </w:rPr>
        <w:t xml:space="preserve"> &amp; Berend J. Hoff (2010).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 xml:space="preserve">“On the Origin of Ablaut in the Cariban Family”. In: </w:t>
      </w:r>
      <w:r w:rsidRPr="004E111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International Journal of American Linguistics </w:t>
      </w:r>
      <w:r w:rsidRPr="004E1113">
        <w:rPr>
          <w:rFonts w:ascii="Times New Roman" w:hAnsi="Times New Roman" w:cs="Times New Roman"/>
          <w:color w:val="000000"/>
          <w:sz w:val="24"/>
          <w:szCs w:val="24"/>
        </w:rPr>
        <w:t>76.4: 477–515.</w:t>
      </w:r>
    </w:p>
    <w:sectPr w:rsidR="003D5A43" w:rsidRPr="004E1113">
      <w:type w:val="continuous"/>
      <w:pgSz w:w="11906" w:h="16820"/>
      <w:pgMar w:top="1094" w:right="1389" w:bottom="1422" w:left="1770" w:header="720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3B27D" w14:textId="77777777" w:rsidR="008455E0" w:rsidRDefault="008455E0">
      <w:r>
        <w:separator/>
      </w:r>
    </w:p>
  </w:endnote>
  <w:endnote w:type="continuationSeparator" w:id="0">
    <w:p w14:paraId="6EEFE851" w14:textId="77777777" w:rsidR="008455E0" w:rsidRDefault="00845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Linux Libertine G">
    <w:panose1 w:val="02000503000000000000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42FF2" w14:textId="77777777" w:rsidR="008455E0" w:rsidRDefault="008455E0">
      <w:r>
        <w:rPr>
          <w:color w:val="000000"/>
        </w:rPr>
        <w:separator/>
      </w:r>
    </w:p>
  </w:footnote>
  <w:footnote w:type="continuationSeparator" w:id="0">
    <w:p w14:paraId="16C31B1C" w14:textId="77777777" w:rsidR="008455E0" w:rsidRDefault="00845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D5A43"/>
    <w:rsid w:val="001B29C0"/>
    <w:rsid w:val="001F02EC"/>
    <w:rsid w:val="002E63E9"/>
    <w:rsid w:val="0031042E"/>
    <w:rsid w:val="003D5A43"/>
    <w:rsid w:val="004E1113"/>
    <w:rsid w:val="00671E39"/>
    <w:rsid w:val="00742506"/>
    <w:rsid w:val="008455E0"/>
    <w:rsid w:val="00854249"/>
    <w:rsid w:val="008C2E6E"/>
    <w:rsid w:val="008D72A8"/>
    <w:rsid w:val="009160D6"/>
    <w:rsid w:val="00A96BC7"/>
    <w:rsid w:val="00BA3838"/>
    <w:rsid w:val="00BA5138"/>
    <w:rsid w:val="00C21E63"/>
    <w:rsid w:val="00D277DC"/>
    <w:rsid w:val="00D35C50"/>
    <w:rsid w:val="00D66407"/>
    <w:rsid w:val="00E472B2"/>
    <w:rsid w:val="00E7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FD667"/>
  <w15:docId w15:val="{7E6E3806-340E-3144-9A49-262C7608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E1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20</cp:revision>
  <dcterms:created xsi:type="dcterms:W3CDTF">2021-06-01T20:44:00Z</dcterms:created>
  <dcterms:modified xsi:type="dcterms:W3CDTF">2021-06-01T20:55:00Z</dcterms:modified>
</cp:coreProperties>
</file>