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pecificación-de-requerimientos"/>
    <w:p>
      <w:pPr>
        <w:pStyle w:val="Heading1"/>
      </w:pPr>
      <w:r>
        <w:t xml:space="preserve">Especificación de requerimientos</w:t>
      </w:r>
    </w:p>
    <w:bookmarkStart w:id="20" w:name="X6caaf8ecf1477f6aea901e300668b48e7bbf7f7"/>
    <w:p>
      <w:pPr>
        <w:pStyle w:val="Heading2"/>
      </w:pPr>
      <w:r>
        <w:t xml:space="preserve">Plataforma de descubrimiento y evaluación de captura de datos personales en sitios y aplicaciones web</w:t>
      </w:r>
    </w:p>
    <w:p>
      <w:pPr>
        <w:pStyle w:val="FirstParagraph"/>
      </w:pPr>
      <w:r>
        <w:rPr>
          <w:b/>
          <w:bCs/>
        </w:rPr>
        <w:t xml:space="preserve">Nombre provisional:</w:t>
      </w:r>
      <w:r>
        <w:t xml:space="preserve"> </w:t>
      </w:r>
      <w:r>
        <w:t xml:space="preserve">Web Data Discovery &amp; Consent Inspector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Marco principal:</w:t>
      </w:r>
      <w:r>
        <w:t xml:space="preserve"> </w:t>
      </w:r>
      <w:r>
        <w:t xml:space="preserve">Ley chilena N.º 21.719</w:t>
      </w:r>
      <w:r>
        <w:br/>
      </w:r>
      <w:r>
        <w:rPr>
          <w:b/>
          <w:bCs/>
        </w:rPr>
        <w:t xml:space="preserve">Ámbito:</w:t>
      </w:r>
      <w:r>
        <w:t xml:space="preserve"> </w:t>
      </w:r>
      <w:r>
        <w:t xml:space="preserve">Sitios públicos, portales privados, extranets, intranets, aplicaciones web y APIs asociadas.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ntecedentes"/>
    <w:p>
      <w:pPr>
        <w:pStyle w:val="Heading1"/>
      </w:pPr>
      <w:r>
        <w:t xml:space="preserve">1. Antecedentes</w:t>
      </w:r>
    </w:p>
    <w:p>
      <w:pPr>
        <w:pStyle w:val="FirstParagraph"/>
      </w:pPr>
      <w:r>
        <w:t xml:space="preserve">La Ley N.º 21.719 considera dato personal cualquier información vinculada o referida a una persona natural identificada o identificable. Asimismo, entiende por tratamiento cualquier operación que permita recolectar, procesar, almacenar, comunicar, transmitir o utilizar datos personales.</w:t>
      </w:r>
    </w:p>
    <w:p>
      <w:pPr>
        <w:pStyle w:val="BodyText"/>
      </w:pPr>
      <w:r>
        <w:t xml:space="preserve">Desde la perspectiva de una aplicación web, la captura de datos puede producirse mediante:</w:t>
      </w:r>
    </w:p>
    <w:p>
      <w:pPr>
        <w:pStyle w:val="Compact"/>
        <w:numPr>
          <w:ilvl w:val="0"/>
          <w:numId w:val="1001"/>
        </w:numPr>
      </w:pPr>
      <w:r>
        <w:t xml:space="preserve">Formularios visibles.</w:t>
      </w:r>
    </w:p>
    <w:p>
      <w:pPr>
        <w:pStyle w:val="Compact"/>
        <w:numPr>
          <w:ilvl w:val="0"/>
          <w:numId w:val="1001"/>
        </w:numPr>
      </w:pPr>
      <w:r>
        <w:t xml:space="preserve">Campos ocultos.</w:t>
      </w:r>
    </w:p>
    <w:p>
      <w:pPr>
        <w:pStyle w:val="Compact"/>
        <w:numPr>
          <w:ilvl w:val="0"/>
          <w:numId w:val="1001"/>
        </w:numPr>
      </w:pPr>
      <w:r>
        <w:t xml:space="preserve">Parámetros en URL.</w:t>
      </w:r>
    </w:p>
    <w:p>
      <w:pPr>
        <w:pStyle w:val="Compact"/>
        <w:numPr>
          <w:ilvl w:val="0"/>
          <w:numId w:val="1001"/>
        </w:numPr>
      </w:pPr>
      <w:r>
        <w:t xml:space="preserve">Cookies.</w:t>
      </w:r>
    </w:p>
    <w:p>
      <w:pPr>
        <w:pStyle w:val="Compact"/>
        <w:numPr>
          <w:ilvl w:val="0"/>
          <w:numId w:val="1001"/>
        </w:numPr>
      </w:pPr>
      <w:r>
        <w:t xml:space="preserve">Identificadores de sesión.</w:t>
      </w:r>
    </w:p>
    <w:p>
      <w:pPr>
        <w:pStyle w:val="Compact"/>
        <w:numPr>
          <w:ilvl w:val="0"/>
          <w:numId w:val="1001"/>
        </w:numPr>
      </w:pPr>
      <w:r>
        <w:t xml:space="preserve">Datos del navegador o dispositivo.</w:t>
      </w:r>
    </w:p>
    <w:p>
      <w:pPr>
        <w:pStyle w:val="Compact"/>
        <w:numPr>
          <w:ilvl w:val="0"/>
          <w:numId w:val="1001"/>
        </w:numPr>
      </w:pPr>
      <w:r>
        <w:t xml:space="preserve">Dirección IP.</w:t>
      </w:r>
    </w:p>
    <w:p>
      <w:pPr>
        <w:pStyle w:val="Compact"/>
        <w:numPr>
          <w:ilvl w:val="0"/>
          <w:numId w:val="1001"/>
        </w:numPr>
      </w:pPr>
      <w:r>
        <w:t xml:space="preserve">Geolocalización.</w:t>
      </w:r>
    </w:p>
    <w:p>
      <w:pPr>
        <w:pStyle w:val="Compact"/>
        <w:numPr>
          <w:ilvl w:val="0"/>
          <w:numId w:val="1001"/>
        </w:numPr>
      </w:pPr>
      <w:r>
        <w:t xml:space="preserve">Scripts de analítica o publicidad.</w:t>
      </w:r>
    </w:p>
    <w:p>
      <w:pPr>
        <w:pStyle w:val="Compact"/>
        <w:numPr>
          <w:ilvl w:val="0"/>
          <w:numId w:val="1001"/>
        </w:numPr>
      </w:pPr>
      <w:r>
        <w:t xml:space="preserve">Chatbots.</w:t>
      </w:r>
    </w:p>
    <w:p>
      <w:pPr>
        <w:pStyle w:val="Compact"/>
        <w:numPr>
          <w:ilvl w:val="0"/>
          <w:numId w:val="1001"/>
        </w:numPr>
      </w:pPr>
      <w:r>
        <w:t xml:space="preserve">Carga de archivos.</w:t>
      </w:r>
    </w:p>
    <w:p>
      <w:pPr>
        <w:pStyle w:val="Compact"/>
        <w:numPr>
          <w:ilvl w:val="0"/>
          <w:numId w:val="1001"/>
        </w:numPr>
      </w:pPr>
      <w:r>
        <w:t xml:space="preserve">APIs.</w:t>
      </w:r>
    </w:p>
    <w:p>
      <w:pPr>
        <w:pStyle w:val="Compact"/>
        <w:numPr>
          <w:ilvl w:val="0"/>
          <w:numId w:val="1001"/>
        </w:numPr>
      </w:pPr>
      <w:r>
        <w:t xml:space="preserve">Eventos de interacción.</w:t>
      </w:r>
    </w:p>
    <w:p>
      <w:pPr>
        <w:pStyle w:val="Compact"/>
        <w:numPr>
          <w:ilvl w:val="0"/>
          <w:numId w:val="1001"/>
        </w:numPr>
      </w:pPr>
      <w:r>
        <w:t xml:space="preserve">Logs técnicos.</w:t>
      </w:r>
    </w:p>
    <w:p>
      <w:pPr>
        <w:pStyle w:val="Compact"/>
        <w:numPr>
          <w:ilvl w:val="0"/>
          <w:numId w:val="1001"/>
        </w:numPr>
      </w:pPr>
      <w:r>
        <w:t xml:space="preserve">Integraciones con terceros.</w:t>
      </w:r>
    </w:p>
    <w:p>
      <w:pPr>
        <w:pStyle w:val="Compact"/>
        <w:numPr>
          <w:ilvl w:val="0"/>
          <w:numId w:val="1001"/>
        </w:numPr>
      </w:pPr>
      <w:r>
        <w:t xml:space="preserve">Datos inferidos o perfiles generados a partir de la conducta del usuario.</w:t>
      </w:r>
    </w:p>
    <w:p>
      <w:pPr>
        <w:pStyle w:val="FirstParagraph"/>
      </w:pPr>
      <w:r>
        <w:t xml:space="preserve">La ley exige que los datos se recolecten con fines específicos, explícitos y lícitos; que se limiten a aquellos necesarios, adecuados y pertinentes; y que el responsable pueda acreditar la licitud del tratamiento. También exige transparencia respecto de los datos tratados, sus finalidades, bases de licitud, destinatarios, conservación, transferencias y decisiones automatizadas.</w:t>
      </w:r>
    </w:p>
    <w:p>
      <w:pPr>
        <w:pStyle w:val="BodyText"/>
      </w:pPr>
      <w:r>
        <w:t xml:space="preserve">Cuando se utilice el consentimiento como fundamento, este debe ser libre, informado, específico, previo e inequívoco, expresado mediante una acción afirmativa. El responsable debe ser capaz de acreditar que obtuvo dicho consentimiento.</w:t>
      </w:r>
    </w:p>
    <w:p>
      <w:r>
        <w:pict>
          <v:rect style="width:0;height:1.5pt" o:hralign="center" o:hrstd="t" o:hr="t"/>
        </w:pict>
      </w:r>
    </w:p>
    <w:bookmarkEnd w:id="22"/>
    <w:bookmarkStart w:id="23" w:name="propósito-del-sistema"/>
    <w:p>
      <w:pPr>
        <w:pStyle w:val="Heading1"/>
      </w:pPr>
      <w:r>
        <w:t xml:space="preserve">2. Propósito del sistema</w:t>
      </w:r>
    </w:p>
    <w:p>
      <w:pPr>
        <w:pStyle w:val="FirstParagraph"/>
      </w:pPr>
      <w:r>
        <w:t xml:space="preserve">El sistema tendrá como propósito:</w:t>
      </w:r>
    </w:p>
    <w:p>
      <w:pPr>
        <w:pStyle w:val="BlockText"/>
      </w:pPr>
      <w:r>
        <w:t xml:space="preserve">Descubrir, clasificar, documentar y correlacionar los datos personales que una aplicación web solicita, genera, almacena o transmite, junto con la evidencia observable de información, consentimiento o autorización presentada al usuario.</w:t>
      </w:r>
    </w:p>
    <w:p>
      <w:pPr>
        <w:pStyle w:val="FirstParagraph"/>
      </w:pPr>
      <w:r>
        <w:t xml:space="preserve">La plataforma deberá funcionar en distintos niveles de profundidad, desde una evaluación externa no autenticada hasta una revisión interna autorizada de código fuente, APIs, bases de datos, configuraciones e infraestructura.</w:t>
      </w:r>
    </w:p>
    <w:p>
      <w:r>
        <w:pict>
          <v:rect style="width:0;height:1.5pt" o:hralign="center" o:hrstd="t" o:hr="t"/>
        </w:pict>
      </w:r>
    </w:p>
    <w:bookmarkEnd w:id="23"/>
    <w:bookmarkStart w:id="27" w:name="principio-fundamental-de-la-solución"/>
    <w:p>
      <w:pPr>
        <w:pStyle w:val="Heading1"/>
      </w:pPr>
      <w:r>
        <w:t xml:space="preserve">3. Principio fundamental de la solución</w:t>
      </w:r>
    </w:p>
    <w:p>
      <w:pPr>
        <w:pStyle w:val="FirstParagraph"/>
      </w:pPr>
      <w:r>
        <w:t xml:space="preserve">El software deberá distinguir claramente entre:</w:t>
      </w:r>
    </w:p>
    <w:bookmarkStart w:id="24" w:name="hechos-técnicamente-observados"/>
    <w:p>
      <w:pPr>
        <w:pStyle w:val="Heading2"/>
      </w:pPr>
      <w:r>
        <w:t xml:space="preserve">3.1 Hechos técnicamente observados</w:t>
      </w:r>
    </w:p>
    <w:p>
      <w:pPr>
        <w:pStyle w:val="FirstParagraph"/>
      </w:pPr>
      <w:r>
        <w:t xml:space="preserve">Por ejemplo:</w:t>
      </w:r>
    </w:p>
    <w:p>
      <w:pPr>
        <w:pStyle w:val="Compact"/>
        <w:numPr>
          <w:ilvl w:val="0"/>
          <w:numId w:val="1002"/>
        </w:numPr>
      </w:pPr>
      <w:r>
        <w:t xml:space="preserve">El formulario solicita un RUT.</w:t>
      </w:r>
    </w:p>
    <w:p>
      <w:pPr>
        <w:pStyle w:val="Compact"/>
        <w:numPr>
          <w:ilvl w:val="0"/>
          <w:numId w:val="1002"/>
        </w:numPr>
      </w:pPr>
      <w:r>
        <w:t xml:space="preserve">La página registra una cookie.</w:t>
      </w:r>
    </w:p>
    <w:p>
      <w:pPr>
        <w:pStyle w:val="Compact"/>
        <w:numPr>
          <w:ilvl w:val="0"/>
          <w:numId w:val="1002"/>
        </w:numPr>
      </w:pPr>
      <w:r>
        <w:t xml:space="preserve">El navegador transmite una dirección de correo a una API.</w:t>
      </w:r>
    </w:p>
    <w:p>
      <w:pPr>
        <w:pStyle w:val="Compact"/>
        <w:numPr>
          <w:ilvl w:val="0"/>
          <w:numId w:val="1002"/>
        </w:numPr>
      </w:pPr>
      <w:r>
        <w:t xml:space="preserve">Un píxel de terceros se ejecuta antes de aceptar cookies.</w:t>
      </w:r>
    </w:p>
    <w:p>
      <w:pPr>
        <w:pStyle w:val="Compact"/>
        <w:numPr>
          <w:ilvl w:val="0"/>
          <w:numId w:val="1002"/>
        </w:numPr>
      </w:pPr>
      <w:r>
        <w:t xml:space="preserve">Una librería almacena un identificador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 endpoint recibe nombre, correo y teléfono.</w:t>
      </w:r>
    </w:p>
    <w:p>
      <w:pPr>
        <w:pStyle w:val="Compact"/>
        <w:numPr>
          <w:ilvl w:val="0"/>
          <w:numId w:val="1002"/>
        </w:numPr>
      </w:pPr>
      <w:r>
        <w:t xml:space="preserve">El backend guarda esos datos en una tabla.</w:t>
      </w:r>
    </w:p>
    <w:p>
      <w:pPr>
        <w:pStyle w:val="Compact"/>
        <w:numPr>
          <w:ilvl w:val="0"/>
          <w:numId w:val="1002"/>
        </w:numPr>
      </w:pPr>
      <w:r>
        <w:t xml:space="preserve">El código envía información a una plataforma externa.</w:t>
      </w:r>
    </w:p>
    <w:bookmarkEnd w:id="24"/>
    <w:bookmarkStart w:id="25" w:name="X75ea636883e7e6f9ed1fa08fa931193ced26095"/>
    <w:p>
      <w:pPr>
        <w:pStyle w:val="Heading2"/>
      </w:pPr>
      <w:r>
        <w:t xml:space="preserve">3.2 Evidencia de información o consentimiento</w:t>
      </w:r>
    </w:p>
    <w:p>
      <w:pPr>
        <w:pStyle w:val="FirstParagraph"/>
      </w:pPr>
      <w:r>
        <w:t xml:space="preserve">Por ejemplo:</w:t>
      </w:r>
    </w:p>
    <w:p>
      <w:pPr>
        <w:pStyle w:val="Compact"/>
        <w:numPr>
          <w:ilvl w:val="0"/>
          <w:numId w:val="1003"/>
        </w:numPr>
      </w:pPr>
      <w:r>
        <w:t xml:space="preserve">Existe una casilla de consentimiento.</w:t>
      </w:r>
    </w:p>
    <w:p>
      <w:pPr>
        <w:pStyle w:val="Compact"/>
        <w:numPr>
          <w:ilvl w:val="0"/>
          <w:numId w:val="1003"/>
        </w:numPr>
      </w:pPr>
      <w:r>
        <w:t xml:space="preserve">La casilla se encuentra premarcada.</w:t>
      </w:r>
    </w:p>
    <w:p>
      <w:pPr>
        <w:pStyle w:val="Compact"/>
        <w:numPr>
          <w:ilvl w:val="0"/>
          <w:numId w:val="1003"/>
        </w:numPr>
      </w:pPr>
      <w:r>
        <w:t xml:space="preserve">El sitio muestra una política de privacidad.</w:t>
      </w:r>
    </w:p>
    <w:p>
      <w:pPr>
        <w:pStyle w:val="Compact"/>
        <w:numPr>
          <w:ilvl w:val="0"/>
          <w:numId w:val="1003"/>
        </w:numPr>
      </w:pPr>
      <w:r>
        <w:t xml:space="preserve">El texto menciona la finalidad.</w:t>
      </w:r>
    </w:p>
    <w:p>
      <w:pPr>
        <w:pStyle w:val="Compact"/>
        <w:numPr>
          <w:ilvl w:val="0"/>
          <w:numId w:val="1003"/>
        </w:numPr>
      </w:pPr>
      <w:r>
        <w:t xml:space="preserve">El consentimiento es general o específico.</w:t>
      </w:r>
    </w:p>
    <w:p>
      <w:pPr>
        <w:pStyle w:val="Compact"/>
        <w:numPr>
          <w:ilvl w:val="0"/>
          <w:numId w:val="1003"/>
        </w:numPr>
      </w:pPr>
      <w:r>
        <w:t xml:space="preserve">El usuario puede rechazar cookies.</w:t>
      </w:r>
    </w:p>
    <w:p>
      <w:pPr>
        <w:pStyle w:val="Compact"/>
        <w:numPr>
          <w:ilvl w:val="0"/>
          <w:numId w:val="1003"/>
        </w:numPr>
      </w:pPr>
      <w:r>
        <w:t xml:space="preserve">Las etiquetas de analítica se ejecutan antes o después de la elección.</w:t>
      </w:r>
    </w:p>
    <w:p>
      <w:pPr>
        <w:pStyle w:val="Compact"/>
        <w:numPr>
          <w:ilvl w:val="0"/>
          <w:numId w:val="1003"/>
        </w:numPr>
      </w:pPr>
      <w:r>
        <w:t xml:space="preserve">Existe una función para retirar el consentimiento.</w:t>
      </w:r>
    </w:p>
    <w:p>
      <w:pPr>
        <w:pStyle w:val="Compact"/>
        <w:numPr>
          <w:ilvl w:val="0"/>
          <w:numId w:val="1003"/>
        </w:numPr>
      </w:pPr>
      <w:r>
        <w:t xml:space="preserve">Se registra la versión del texto aceptado.</w:t>
      </w:r>
    </w:p>
    <w:bookmarkEnd w:id="25"/>
    <w:bookmarkStart w:id="26" w:name="conclusión-jurídica"/>
    <w:p>
      <w:pPr>
        <w:pStyle w:val="Heading2"/>
      </w:pPr>
      <w:r>
        <w:t xml:space="preserve">3.3 Conclusión jurídica</w:t>
      </w:r>
    </w:p>
    <w:p>
      <w:pPr>
        <w:pStyle w:val="FirstParagraph"/>
      </w:pPr>
      <w:r>
        <w:t xml:space="preserve">La plataforma</w:t>
      </w:r>
      <w:r>
        <w:t xml:space="preserve"> </w:t>
      </w:r>
      <w:r>
        <w:rPr>
          <w:b/>
          <w:bCs/>
        </w:rPr>
        <w:t xml:space="preserve">no deberá afirmar automáticamente</w:t>
      </w:r>
      <w:r>
        <w:t xml:space="preserve"> </w:t>
      </w:r>
      <w:r>
        <w:t xml:space="preserve">que un tratamiento es legal o ilegal.</w:t>
      </w:r>
    </w:p>
    <w:p>
      <w:pPr>
        <w:pStyle w:val="BodyText"/>
      </w:pPr>
      <w:r>
        <w:t xml:space="preserve">Deberá emitir conclusiones limitadas, tales como:</w:t>
      </w:r>
    </w:p>
    <w:p>
      <w:pPr>
        <w:pStyle w:val="Compact"/>
        <w:numPr>
          <w:ilvl w:val="0"/>
          <w:numId w:val="1004"/>
        </w:numPr>
      </w:pPr>
      <w:r>
        <w:t xml:space="preserve">“No se observó evidencia de información previa”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“El dato fue transmitido antes de que el usuario realizara una acción afirmativa”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“Se detectó una solicitud de consentimiento”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“La finalidad no fue encontrada en el texto analizado”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“Existe una posible discrepancia entre el comportamiento técnico y la política publicada”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“La base de licitud no puede determinarse mediante observación externa”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“Se requiere validación jurídica y operacional”</w:t>
      </w:r>
      <w:r>
        <w:t xml:space="preserve">.</w:t>
      </w:r>
    </w:p>
    <w:p>
      <w:pPr>
        <w:pStyle w:val="FirstParagraph"/>
      </w:pPr>
      <w:r>
        <w:t xml:space="preserve">La licitud puede fundarse en consentimiento, ejecución contractual, obligación legal, interés legítimo u otra fuente reconocida por la ley. Por eso, la ausencia de una casilla de consentimiento no implica necesariamente que el tratamiento sea ilícito.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bjetivos-específicos"/>
    <w:p>
      <w:pPr>
        <w:pStyle w:val="Heading1"/>
      </w:pPr>
      <w:r>
        <w:t xml:space="preserve">4. Objetivos específicos</w:t>
      </w:r>
    </w:p>
    <w:p>
      <w:pPr>
        <w:pStyle w:val="FirstParagraph"/>
      </w:pPr>
      <w:r>
        <w:t xml:space="preserve">El sistema deberá permitir:</w:t>
      </w:r>
    </w:p>
    <w:p>
      <w:pPr>
        <w:pStyle w:val="Compact"/>
        <w:numPr>
          <w:ilvl w:val="0"/>
          <w:numId w:val="1005"/>
        </w:numPr>
      </w:pPr>
      <w:r>
        <w:t xml:space="preserve">Identificar los puntos de captura de datos de una aplicación web.</w:t>
      </w:r>
    </w:p>
    <w:p>
      <w:pPr>
        <w:pStyle w:val="Compact"/>
        <w:numPr>
          <w:ilvl w:val="0"/>
          <w:numId w:val="1005"/>
        </w:numPr>
      </w:pPr>
      <w:r>
        <w:t xml:space="preserve">Clasificar los datos encontrados conforme a una taxonomía legal y técnica.</w:t>
      </w:r>
    </w:p>
    <w:p>
      <w:pPr>
        <w:pStyle w:val="Compact"/>
        <w:numPr>
          <w:ilvl w:val="0"/>
          <w:numId w:val="1005"/>
        </w:numPr>
      </w:pPr>
      <w:r>
        <w:t xml:space="preserve">Observar datos capturados automáticamente por el navegador.</w:t>
      </w:r>
    </w:p>
    <w:p>
      <w:pPr>
        <w:pStyle w:val="Compact"/>
        <w:numPr>
          <w:ilvl w:val="0"/>
          <w:numId w:val="1005"/>
        </w:numPr>
      </w:pPr>
      <w:r>
        <w:t xml:space="preserve">detectar transmisiones hacia APIs propias y de terceros.</w:t>
      </w:r>
    </w:p>
    <w:p>
      <w:pPr>
        <w:pStyle w:val="Compact"/>
        <w:numPr>
          <w:ilvl w:val="0"/>
          <w:numId w:val="1005"/>
        </w:numPr>
      </w:pPr>
      <w:r>
        <w:t xml:space="preserve">Analizar cookies, almacenamiento local, sesiones e IndexedDB.</w:t>
      </w:r>
    </w:p>
    <w:p>
      <w:pPr>
        <w:pStyle w:val="Compact"/>
        <w:numPr>
          <w:ilvl w:val="0"/>
          <w:numId w:val="1005"/>
        </w:numPr>
      </w:pPr>
      <w:r>
        <w:t xml:space="preserve">Detectar formularios, campos visibles y campos ocultos.</w:t>
      </w:r>
    </w:p>
    <w:p>
      <w:pPr>
        <w:pStyle w:val="Compact"/>
        <w:numPr>
          <w:ilvl w:val="0"/>
          <w:numId w:val="1005"/>
        </w:numPr>
      </w:pPr>
      <w:r>
        <w:t xml:space="preserve">Detectar elementos de información y consentimiento.</w:t>
      </w:r>
    </w:p>
    <w:p>
      <w:pPr>
        <w:pStyle w:val="Compact"/>
        <w:numPr>
          <w:ilvl w:val="0"/>
          <w:numId w:val="1005"/>
        </w:numPr>
      </w:pPr>
      <w:r>
        <w:t xml:space="preserve">Comparar el comportamiento antes y después de aceptar o rechazar.</w:t>
      </w:r>
    </w:p>
    <w:p>
      <w:pPr>
        <w:pStyle w:val="Compact"/>
        <w:numPr>
          <w:ilvl w:val="0"/>
          <w:numId w:val="1005"/>
        </w:numPr>
      </w:pPr>
      <w:r>
        <w:t xml:space="preserve">Identificar discrepancias entre políticas declaradas y comportamiento observado.</w:t>
      </w:r>
    </w:p>
    <w:p>
      <w:pPr>
        <w:pStyle w:val="Compact"/>
        <w:numPr>
          <w:ilvl w:val="0"/>
          <w:numId w:val="1005"/>
        </w:numPr>
      </w:pPr>
      <w:r>
        <w:t xml:space="preserve">Analizar código fuente frontend y backend cuando exista autorización.</w:t>
      </w:r>
    </w:p>
    <w:p>
      <w:pPr>
        <w:pStyle w:val="Compact"/>
        <w:numPr>
          <w:ilvl w:val="0"/>
          <w:numId w:val="1005"/>
        </w:numPr>
      </w:pPr>
      <w:r>
        <w:t xml:space="preserve">Construir trazabilidad desde la interfaz hasta el almacenamiento o destinatario.</w:t>
      </w:r>
    </w:p>
    <w:p>
      <w:pPr>
        <w:pStyle w:val="Compact"/>
        <w:numPr>
          <w:ilvl w:val="0"/>
          <w:numId w:val="1005"/>
        </w:numPr>
      </w:pPr>
      <w:r>
        <w:t xml:space="preserve">Mantener evidencia reproducible y auditable.</w:t>
      </w:r>
    </w:p>
    <w:p>
      <w:pPr>
        <w:pStyle w:val="Compact"/>
        <w:numPr>
          <w:ilvl w:val="0"/>
          <w:numId w:val="1005"/>
        </w:numPr>
      </w:pPr>
      <w:r>
        <w:t xml:space="preserve">Facilitar la revisión humana legal, funcional y técnica.</w:t>
      </w:r>
    </w:p>
    <w:p>
      <w:pPr>
        <w:pStyle w:val="Compact"/>
        <w:numPr>
          <w:ilvl w:val="0"/>
          <w:numId w:val="1005"/>
        </w:numPr>
      </w:pPr>
      <w:r>
        <w:t xml:space="preserve">Generar planes de remediación y seguimiento.</w:t>
      </w:r>
    </w:p>
    <w:p>
      <w:pPr>
        <w:pStyle w:val="Compact"/>
        <w:numPr>
          <w:ilvl w:val="0"/>
          <w:numId w:val="1005"/>
        </w:numPr>
      </w:pPr>
      <w:r>
        <w:t xml:space="preserve">Repetir evaluaciones para detectar cambios.</w:t>
      </w:r>
    </w:p>
    <w:p>
      <w:r>
        <w:pict>
          <v:rect style="width:0;height:1.5pt" o:hralign="center" o:hrstd="t" o:hr="t"/>
        </w:pict>
      </w:r>
    </w:p>
    <w:bookmarkEnd w:id="28"/>
    <w:bookmarkStart w:id="59" w:name="alcance-funcional-por-fases"/>
    <w:p>
      <w:pPr>
        <w:pStyle w:val="Heading1"/>
      </w:pPr>
      <w:r>
        <w:t xml:space="preserve">5. Alcance funcional por fases</w:t>
      </w:r>
    </w:p>
    <w:bookmarkStart w:id="30" w:name="Xcb3ec8d8a51f02f2b51d68ef9d6bd2abeb89075"/>
    <w:p>
      <w:pPr>
        <w:pStyle w:val="Heading2"/>
      </w:pPr>
      <w:r>
        <w:t xml:space="preserve">Fase 0 — Autorización, delimitación y salvaguardas</w:t>
      </w:r>
    </w:p>
    <w:p>
      <w:pPr>
        <w:pStyle w:val="FirstParagraph"/>
      </w:pPr>
      <w:r>
        <w:t xml:space="preserve">Antes de ejecutar una evaluación, el sistema deberá registrar:</w:t>
      </w:r>
    </w:p>
    <w:p>
      <w:pPr>
        <w:pStyle w:val="Compact"/>
        <w:numPr>
          <w:ilvl w:val="0"/>
          <w:numId w:val="1006"/>
        </w:numPr>
      </w:pPr>
      <w:r>
        <w:t xml:space="preserve">Titular o responsable del sitio.</w:t>
      </w:r>
    </w:p>
    <w:p>
      <w:pPr>
        <w:pStyle w:val="Compact"/>
        <w:numPr>
          <w:ilvl w:val="0"/>
          <w:numId w:val="1006"/>
        </w:numPr>
      </w:pPr>
      <w:r>
        <w:t xml:space="preserve">Solicitante de la evaluación.</w:t>
      </w:r>
    </w:p>
    <w:p>
      <w:pPr>
        <w:pStyle w:val="Compact"/>
        <w:numPr>
          <w:ilvl w:val="0"/>
          <w:numId w:val="1006"/>
        </w:numPr>
      </w:pPr>
      <w:r>
        <w:t xml:space="preserve">Dominios y subdominios autorizados.</w:t>
      </w:r>
    </w:p>
    <w:p>
      <w:pPr>
        <w:pStyle w:val="Compact"/>
        <w:numPr>
          <w:ilvl w:val="0"/>
          <w:numId w:val="1006"/>
        </w:numPr>
      </w:pPr>
      <w:r>
        <w:t xml:space="preserve">Direcciones IP autorizadas, si corresponde.</w:t>
      </w:r>
    </w:p>
    <w:p>
      <w:pPr>
        <w:pStyle w:val="Compact"/>
        <w:numPr>
          <w:ilvl w:val="0"/>
          <w:numId w:val="1006"/>
        </w:numPr>
      </w:pPr>
      <w:r>
        <w:t xml:space="preserve">Ambientes autorizados.</w:t>
      </w:r>
    </w:p>
    <w:p>
      <w:pPr>
        <w:pStyle w:val="Compact"/>
        <w:numPr>
          <w:ilvl w:val="0"/>
          <w:numId w:val="1006"/>
        </w:numPr>
      </w:pPr>
      <w:r>
        <w:t xml:space="preserve">URLs excluidas.</w:t>
      </w:r>
    </w:p>
    <w:p>
      <w:pPr>
        <w:pStyle w:val="Compact"/>
        <w:numPr>
          <w:ilvl w:val="0"/>
          <w:numId w:val="1006"/>
        </w:numPr>
      </w:pPr>
      <w:r>
        <w:t xml:space="preserve">Fecha de inicio y término de la autorización.</w:t>
      </w:r>
    </w:p>
    <w:p>
      <w:pPr>
        <w:pStyle w:val="Compact"/>
        <w:numPr>
          <w:ilvl w:val="0"/>
          <w:numId w:val="1006"/>
        </w:numPr>
      </w:pPr>
      <w:r>
        <w:t xml:space="preserve">Tipo de evaluación permitida.</w:t>
      </w:r>
    </w:p>
    <w:p>
      <w:pPr>
        <w:pStyle w:val="Compact"/>
        <w:numPr>
          <w:ilvl w:val="0"/>
          <w:numId w:val="1006"/>
        </w:numPr>
      </w:pPr>
      <w:r>
        <w:t xml:space="preserve">Uso o no de credenciales.</w:t>
      </w:r>
    </w:p>
    <w:p>
      <w:pPr>
        <w:pStyle w:val="Compact"/>
        <w:numPr>
          <w:ilvl w:val="0"/>
          <w:numId w:val="1006"/>
        </w:numPr>
      </w:pPr>
      <w:r>
        <w:t xml:space="preserve">Uso o no de formularios.</w:t>
      </w:r>
    </w:p>
    <w:p>
      <w:pPr>
        <w:pStyle w:val="Compact"/>
        <w:numPr>
          <w:ilvl w:val="0"/>
          <w:numId w:val="1006"/>
        </w:numPr>
      </w:pPr>
      <w:r>
        <w:t xml:space="preserve">Operaciones HTTP autorizadas.</w:t>
      </w:r>
    </w:p>
    <w:p>
      <w:pPr>
        <w:pStyle w:val="Compact"/>
        <w:numPr>
          <w:ilvl w:val="0"/>
          <w:numId w:val="1006"/>
        </w:numPr>
      </w:pPr>
      <w:r>
        <w:t xml:space="preserve">Límites de concurrencia.</w:t>
      </w:r>
    </w:p>
    <w:p>
      <w:pPr>
        <w:pStyle w:val="Compact"/>
        <w:numPr>
          <w:ilvl w:val="0"/>
          <w:numId w:val="1006"/>
        </w:numPr>
      </w:pPr>
      <w:r>
        <w:t xml:space="preserve">Ventanas horarias.</w:t>
      </w:r>
    </w:p>
    <w:p>
      <w:pPr>
        <w:pStyle w:val="Compact"/>
        <w:numPr>
          <w:ilvl w:val="0"/>
          <w:numId w:val="1006"/>
        </w:numPr>
      </w:pPr>
      <w:r>
        <w:t xml:space="preserve">Datos sintéticos permitidos.</w:t>
      </w:r>
    </w:p>
    <w:p>
      <w:pPr>
        <w:pStyle w:val="Compact"/>
        <w:numPr>
          <w:ilvl w:val="0"/>
          <w:numId w:val="1006"/>
        </w:numPr>
      </w:pPr>
      <w:r>
        <w:t xml:space="preserve">Contacto técnico de emergencia.</w:t>
      </w:r>
    </w:p>
    <w:p>
      <w:pPr>
        <w:pStyle w:val="Compact"/>
        <w:numPr>
          <w:ilvl w:val="0"/>
          <w:numId w:val="1006"/>
        </w:numPr>
      </w:pPr>
      <w:r>
        <w:t xml:space="preserve">Responsable de detener la prueba.</w:t>
      </w:r>
    </w:p>
    <w:p>
      <w:pPr>
        <w:pStyle w:val="Compact"/>
        <w:numPr>
          <w:ilvl w:val="0"/>
          <w:numId w:val="1006"/>
        </w:numPr>
      </w:pPr>
      <w:r>
        <w:t xml:space="preserve">Evidencia documental de autorización.</w:t>
      </w:r>
    </w:p>
    <w:p>
      <w:pPr>
        <w:pStyle w:val="FirstParagraph"/>
      </w:pPr>
      <w:r>
        <w:t xml:space="preserve">El sistema no deberá iniciar una exploración activa sin un alcance aprobado.</w:t>
      </w:r>
    </w:p>
    <w:bookmarkStart w:id="29" w:name="controles-obligatorios"/>
    <w:p>
      <w:pPr>
        <w:pStyle w:val="Heading3"/>
      </w:pPr>
      <w:r>
        <w:t xml:space="preserve">Controles obligatorios</w:t>
      </w:r>
    </w:p>
    <w:p>
      <w:pPr>
        <w:pStyle w:val="Compact"/>
        <w:numPr>
          <w:ilvl w:val="0"/>
          <w:numId w:val="1007"/>
        </w:numPr>
      </w:pPr>
      <w:r>
        <w:t xml:space="preserve">Lista blanca de dominios.</w:t>
      </w:r>
    </w:p>
    <w:p>
      <w:pPr>
        <w:pStyle w:val="Compact"/>
        <w:numPr>
          <w:ilvl w:val="0"/>
          <w:numId w:val="1007"/>
        </w:numPr>
      </w:pPr>
      <w:r>
        <w:t xml:space="preserve">Lista de rutas prohibidas.</w:t>
      </w:r>
    </w:p>
    <w:p>
      <w:pPr>
        <w:pStyle w:val="Compact"/>
        <w:numPr>
          <w:ilvl w:val="0"/>
          <w:numId w:val="1007"/>
        </w:numPr>
      </w:pPr>
      <w:r>
        <w:t xml:space="preserve">Límite de profundidad de navegación.</w:t>
      </w:r>
    </w:p>
    <w:p>
      <w:pPr>
        <w:pStyle w:val="Compact"/>
        <w:numPr>
          <w:ilvl w:val="0"/>
          <w:numId w:val="1007"/>
        </w:numPr>
      </w:pPr>
      <w:r>
        <w:t xml:space="preserve">Límite de peticiones por segundo.</w:t>
      </w:r>
    </w:p>
    <w:p>
      <w:pPr>
        <w:pStyle w:val="Compact"/>
        <w:numPr>
          <w:ilvl w:val="0"/>
          <w:numId w:val="1007"/>
        </w:numPr>
      </w:pPr>
      <w:r>
        <w:t xml:space="preserve">Límite de concurrencia.</w:t>
      </w:r>
    </w:p>
    <w:p>
      <w:pPr>
        <w:pStyle w:val="Compact"/>
        <w:numPr>
          <w:ilvl w:val="0"/>
          <w:numId w:val="1007"/>
        </w:numPr>
      </w:pPr>
      <w:r>
        <w:t xml:space="preserve">Botón de detención inmediata.</w:t>
      </w:r>
    </w:p>
    <w:p>
      <w:pPr>
        <w:pStyle w:val="Compact"/>
        <w:numPr>
          <w:ilvl w:val="0"/>
          <w:numId w:val="1007"/>
        </w:numPr>
      </w:pPr>
      <w:r>
        <w:t xml:space="preserve">Tiempo máximo por evaluación.</w:t>
      </w:r>
    </w:p>
    <w:p>
      <w:pPr>
        <w:pStyle w:val="Compact"/>
        <w:numPr>
          <w:ilvl w:val="0"/>
          <w:numId w:val="1007"/>
        </w:numPr>
      </w:pPr>
      <w:r>
        <w:t xml:space="preserve">Registro completo de las actividades ejecutadas.</w:t>
      </w:r>
    </w:p>
    <w:p>
      <w:pPr>
        <w:pStyle w:val="Compact"/>
        <w:numPr>
          <w:ilvl w:val="0"/>
          <w:numId w:val="1007"/>
        </w:numPr>
      </w:pPr>
      <w:r>
        <w:t xml:space="preserve">Identificación configurable del agente mediante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Opción de utilizar una dirección IP previamente informada al cliente.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fase-1-exploración-externa-pasiva"/>
    <w:p>
      <w:pPr>
        <w:pStyle w:val="Heading2"/>
      </w:pPr>
      <w:r>
        <w:t xml:space="preserve">Fase 1 — Exploración externa pasiva</w:t>
      </w:r>
    </w:p>
    <w:p>
      <w:pPr>
        <w:pStyle w:val="FirstParagraph"/>
      </w:pPr>
      <w:r>
        <w:t xml:space="preserve">Esta fase deberá ejecutarse sin autenticación y sin enviar formularios.</w:t>
      </w:r>
    </w:p>
    <w:bookmarkStart w:id="35" w:name="capacidades-mínimas"/>
    <w:p>
      <w:pPr>
        <w:pStyle w:val="Heading3"/>
      </w:pPr>
      <w:r>
        <w:t xml:space="preserve">Capacidades mínimas</w:t>
      </w:r>
    </w:p>
    <w:bookmarkStart w:id="31" w:name="rf-101.-descubrimiento-de-superficie"/>
    <w:p>
      <w:pPr>
        <w:pStyle w:val="Heading4"/>
      </w:pPr>
      <w:r>
        <w:t xml:space="preserve">RF-101. Descubrimiento de superficie</w:t>
      </w:r>
    </w:p>
    <w:p>
      <w:pPr>
        <w:pStyle w:val="FirstParagraph"/>
      </w:pPr>
      <w:r>
        <w:t xml:space="preserve">El sistema deberá identificar:</w:t>
      </w:r>
    </w:p>
    <w:p>
      <w:pPr>
        <w:pStyle w:val="Compact"/>
        <w:numPr>
          <w:ilvl w:val="0"/>
          <w:numId w:val="1008"/>
        </w:numPr>
      </w:pPr>
      <w:r>
        <w:t xml:space="preserve">Dominio principal.</w:t>
      </w:r>
    </w:p>
    <w:p>
      <w:pPr>
        <w:pStyle w:val="Compact"/>
        <w:numPr>
          <w:ilvl w:val="0"/>
          <w:numId w:val="1008"/>
        </w:numPr>
      </w:pPr>
      <w:r>
        <w:t xml:space="preserve">Subdominios expresamente incluidos en el alcance.</w:t>
      </w:r>
    </w:p>
    <w:p>
      <w:pPr>
        <w:pStyle w:val="Compact"/>
        <w:numPr>
          <w:ilvl w:val="0"/>
          <w:numId w:val="1008"/>
        </w:numPr>
      </w:pPr>
      <w:r>
        <w:t xml:space="preserve">Redirecciones.</w:t>
      </w:r>
    </w:p>
    <w:p>
      <w:pPr>
        <w:pStyle w:val="Compact"/>
        <w:numPr>
          <w:ilvl w:val="0"/>
          <w:numId w:val="1008"/>
        </w:numPr>
      </w:pPr>
      <w:r>
        <w:t xml:space="preserve">Páginas públicas.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sitemap.xml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Manifiestos de aplicación.</w:t>
      </w:r>
    </w:p>
    <w:p>
      <w:pPr>
        <w:pStyle w:val="Compact"/>
        <w:numPr>
          <w:ilvl w:val="0"/>
          <w:numId w:val="1008"/>
        </w:numPr>
      </w:pPr>
      <w:r>
        <w:t xml:space="preserve">Archivos JavaScript.</w:t>
      </w:r>
    </w:p>
    <w:p>
      <w:pPr>
        <w:pStyle w:val="Compact"/>
        <w:numPr>
          <w:ilvl w:val="0"/>
          <w:numId w:val="1008"/>
        </w:numPr>
      </w:pPr>
      <w:r>
        <w:t xml:space="preserve">Hojas de estilo.</w:t>
      </w:r>
    </w:p>
    <w:p>
      <w:pPr>
        <w:pStyle w:val="Compact"/>
        <w:numPr>
          <w:ilvl w:val="0"/>
          <w:numId w:val="1008"/>
        </w:numPr>
      </w:pPr>
      <w:r>
        <w:t xml:space="preserve">Service workers.</w:t>
      </w:r>
    </w:p>
    <w:p>
      <w:pPr>
        <w:pStyle w:val="Compact"/>
        <w:numPr>
          <w:ilvl w:val="0"/>
          <w:numId w:val="1008"/>
        </w:numPr>
      </w:pPr>
      <w:r>
        <w:t xml:space="preserve">Formularios.</w:t>
      </w:r>
    </w:p>
    <w:p>
      <w:pPr>
        <w:pStyle w:val="Compact"/>
        <w:numPr>
          <w:ilvl w:val="0"/>
          <w:numId w:val="1008"/>
        </w:numPr>
      </w:pPr>
      <w:r>
        <w:t xml:space="preserve">Enlaces internos.</w:t>
      </w:r>
    </w:p>
    <w:p>
      <w:pPr>
        <w:pStyle w:val="Compact"/>
        <w:numPr>
          <w:ilvl w:val="0"/>
          <w:numId w:val="1008"/>
        </w:numPr>
      </w:pPr>
      <w:r>
        <w:t xml:space="preserve">Endpoints visibles en código cliente.</w:t>
      </w:r>
    </w:p>
    <w:p>
      <w:pPr>
        <w:pStyle w:val="Compact"/>
        <w:numPr>
          <w:ilvl w:val="0"/>
          <w:numId w:val="1008"/>
        </w:numPr>
      </w:pPr>
      <w:r>
        <w:t xml:space="preserve">Archivos de configuración expuestos.</w:t>
      </w:r>
    </w:p>
    <w:p>
      <w:pPr>
        <w:pStyle w:val="Compact"/>
        <w:numPr>
          <w:ilvl w:val="0"/>
          <w:numId w:val="1008"/>
        </w:numPr>
      </w:pPr>
      <w:r>
        <w:t xml:space="preserve">Políticas de privacidad.</w:t>
      </w:r>
    </w:p>
    <w:p>
      <w:pPr>
        <w:pStyle w:val="Compact"/>
        <w:numPr>
          <w:ilvl w:val="0"/>
          <w:numId w:val="1008"/>
        </w:numPr>
      </w:pPr>
      <w:r>
        <w:t xml:space="preserve">Políticas de cookies.</w:t>
      </w:r>
    </w:p>
    <w:p>
      <w:pPr>
        <w:pStyle w:val="Compact"/>
        <w:numPr>
          <w:ilvl w:val="0"/>
          <w:numId w:val="1008"/>
        </w:numPr>
      </w:pPr>
      <w:r>
        <w:t xml:space="preserve">Términos y condiciones.</w:t>
      </w:r>
    </w:p>
    <w:p>
      <w:pPr>
        <w:pStyle w:val="Compact"/>
        <w:numPr>
          <w:ilvl w:val="0"/>
          <w:numId w:val="1008"/>
        </w:numPr>
      </w:pPr>
      <w:r>
        <w:t xml:space="preserve">Formularios para ejercicio de derechos.</w:t>
      </w:r>
    </w:p>
    <w:p>
      <w:pPr>
        <w:pStyle w:val="FirstParagraph"/>
      </w:pPr>
      <w:r>
        <w:t xml:space="preserve">El descubrimiento de superficie y puntos de entrada es consistente con las prácticas de levantamiento de superficie descritas por OWASP WSTG.</w:t>
      </w:r>
    </w:p>
    <w:bookmarkEnd w:id="31"/>
    <w:bookmarkStart w:id="32" w:name="rf-102.-inventario-de-formularios"/>
    <w:p>
      <w:pPr>
        <w:pStyle w:val="Heading4"/>
      </w:pPr>
      <w:r>
        <w:t xml:space="preserve">RF-102. Inventario de formularios</w:t>
      </w:r>
    </w:p>
    <w:p>
      <w:pPr>
        <w:pStyle w:val="FirstParagraph"/>
      </w:pPr>
      <w:r>
        <w:t xml:space="preserve">Por cada formulario deberá registrarse:</w:t>
      </w:r>
    </w:p>
    <w:p>
      <w:pPr>
        <w:pStyle w:val="Compact"/>
        <w:numPr>
          <w:ilvl w:val="0"/>
          <w:numId w:val="1009"/>
        </w:numPr>
      </w:pPr>
      <w:r>
        <w:t xml:space="preserve">URL.</w:t>
      </w:r>
    </w:p>
    <w:p>
      <w:pPr>
        <w:pStyle w:val="Compact"/>
        <w:numPr>
          <w:ilvl w:val="0"/>
          <w:numId w:val="1009"/>
        </w:numPr>
      </w:pPr>
      <w:r>
        <w:t xml:space="preserve">Nombre o identificador.</w:t>
      </w:r>
    </w:p>
    <w:p>
      <w:pPr>
        <w:pStyle w:val="Compact"/>
        <w:numPr>
          <w:ilvl w:val="0"/>
          <w:numId w:val="1009"/>
        </w:numPr>
      </w:pPr>
      <w:r>
        <w:t xml:space="preserve">Método HTTP.</w:t>
      </w:r>
    </w:p>
    <w:p>
      <w:pPr>
        <w:pStyle w:val="Compact"/>
        <w:numPr>
          <w:ilvl w:val="0"/>
          <w:numId w:val="1009"/>
        </w:numPr>
      </w:pPr>
      <w:r>
        <w:t xml:space="preserve">Endpoint de destino.</w:t>
      </w:r>
    </w:p>
    <w:p>
      <w:pPr>
        <w:pStyle w:val="Compact"/>
        <w:numPr>
          <w:ilvl w:val="0"/>
          <w:numId w:val="1009"/>
        </w:numPr>
      </w:pPr>
      <w:r>
        <w:t xml:space="preserve">Tipo de codificación.</w:t>
      </w:r>
    </w:p>
    <w:p>
      <w:pPr>
        <w:pStyle w:val="Compact"/>
        <w:numPr>
          <w:ilvl w:val="0"/>
          <w:numId w:val="1009"/>
        </w:numPr>
      </w:pPr>
      <w:r>
        <w:t xml:space="preserve">Campos visibles.</w:t>
      </w:r>
    </w:p>
    <w:p>
      <w:pPr>
        <w:pStyle w:val="Compact"/>
        <w:numPr>
          <w:ilvl w:val="0"/>
          <w:numId w:val="1009"/>
        </w:numPr>
      </w:pPr>
      <w:r>
        <w:t xml:space="preserve">Campos ocultos.</w:t>
      </w:r>
    </w:p>
    <w:p>
      <w:pPr>
        <w:pStyle w:val="Compact"/>
        <w:numPr>
          <w:ilvl w:val="0"/>
          <w:numId w:val="1009"/>
        </w:numPr>
      </w:pPr>
      <w:r>
        <w:t xml:space="preserve">Campos obligatorios.</w:t>
      </w:r>
    </w:p>
    <w:p>
      <w:pPr>
        <w:pStyle w:val="Compact"/>
        <w:numPr>
          <w:ilvl w:val="0"/>
          <w:numId w:val="1009"/>
        </w:numPr>
      </w:pPr>
      <w:r>
        <w:t xml:space="preserve">Campos opcionales.</w:t>
      </w:r>
    </w:p>
    <w:p>
      <w:pPr>
        <w:pStyle w:val="Compact"/>
        <w:numPr>
          <w:ilvl w:val="0"/>
          <w:numId w:val="1009"/>
        </w:numPr>
      </w:pPr>
      <w:r>
        <w:t xml:space="preserve">Etiquetas.</w:t>
      </w:r>
    </w:p>
    <w:p>
      <w:pPr>
        <w:pStyle w:val="Compact"/>
        <w:numPr>
          <w:ilvl w:val="0"/>
          <w:numId w:val="1009"/>
        </w:numPr>
      </w:pPr>
      <w:r>
        <w:t xml:space="preserve">Texto de ayuda.</w:t>
      </w:r>
    </w:p>
    <w:p>
      <w:pPr>
        <w:pStyle w:val="Compact"/>
        <w:numPr>
          <w:ilvl w:val="0"/>
          <w:numId w:val="1009"/>
        </w:numPr>
      </w:pPr>
      <w:r>
        <w:t xml:space="preserve">Valores por defecto.</w:t>
      </w:r>
    </w:p>
    <w:p>
      <w:pPr>
        <w:pStyle w:val="Compact"/>
        <w:numPr>
          <w:ilvl w:val="0"/>
          <w:numId w:val="1009"/>
        </w:numPr>
      </w:pPr>
      <w:r>
        <w:t xml:space="preserve">Atributos HTML.</w:t>
      </w:r>
    </w:p>
    <w:p>
      <w:pPr>
        <w:pStyle w:val="Compact"/>
        <w:numPr>
          <w:ilvl w:val="0"/>
          <w:numId w:val="1009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Validaciones del navegador.</w:t>
      </w:r>
    </w:p>
    <w:p>
      <w:pPr>
        <w:pStyle w:val="Compact"/>
        <w:numPr>
          <w:ilvl w:val="0"/>
          <w:numId w:val="1009"/>
        </w:numPr>
      </w:pPr>
      <w:r>
        <w:t xml:space="preserve">Texto legal asociado.</w:t>
      </w:r>
    </w:p>
    <w:p>
      <w:pPr>
        <w:pStyle w:val="Compact"/>
        <w:numPr>
          <w:ilvl w:val="0"/>
          <w:numId w:val="1009"/>
        </w:numPr>
      </w:pPr>
      <w:r>
        <w:t xml:space="preserve">Casillas de aceptación.</w:t>
      </w:r>
    </w:p>
    <w:p>
      <w:pPr>
        <w:pStyle w:val="Compact"/>
        <w:numPr>
          <w:ilvl w:val="0"/>
          <w:numId w:val="1009"/>
        </w:numPr>
      </w:pPr>
      <w:r>
        <w:t xml:space="preserve">Enlaces a políticas.</w:t>
      </w:r>
    </w:p>
    <w:p>
      <w:pPr>
        <w:pStyle w:val="Compact"/>
        <w:numPr>
          <w:ilvl w:val="0"/>
          <w:numId w:val="1009"/>
        </w:numPr>
      </w:pPr>
      <w:r>
        <w:t xml:space="preserve">Captchas.</w:t>
      </w:r>
    </w:p>
    <w:p>
      <w:pPr>
        <w:pStyle w:val="Compact"/>
        <w:numPr>
          <w:ilvl w:val="0"/>
          <w:numId w:val="1009"/>
        </w:numPr>
      </w:pPr>
      <w:r>
        <w:t xml:space="preserve">Botón o evento que provoca el envío.</w:t>
      </w:r>
    </w:p>
    <w:bookmarkEnd w:id="32"/>
    <w:bookmarkStart w:id="33" w:name="rf-103.-detección-semántica-de-campos"/>
    <w:p>
      <w:pPr>
        <w:pStyle w:val="Heading4"/>
      </w:pPr>
      <w:r>
        <w:t xml:space="preserve">RF-103. Detección semántica de campos</w:t>
      </w:r>
    </w:p>
    <w:p>
      <w:pPr>
        <w:pStyle w:val="FirstParagraph"/>
      </w:pPr>
      <w:r>
        <w:t xml:space="preserve">El sistema deberá inferir el tipo de dato utilizando:</w:t>
      </w:r>
    </w:p>
    <w:p>
      <w:pPr>
        <w:pStyle w:val="Compact"/>
        <w:numPr>
          <w:ilvl w:val="0"/>
          <w:numId w:val="1010"/>
        </w:numPr>
      </w:pPr>
      <w:r>
        <w:t xml:space="preserve">Etiqueta visible.</w:t>
      </w:r>
    </w:p>
    <w:p>
      <w:pPr>
        <w:pStyle w:val="Compact"/>
        <w:numPr>
          <w:ilvl w:val="0"/>
          <w:numId w:val="1010"/>
        </w:numPr>
      </w:pPr>
      <w:r>
        <w:t xml:space="preserve">Nombre del campo.</w:t>
      </w:r>
    </w:p>
    <w:p>
      <w:pPr>
        <w:pStyle w:val="Compact"/>
        <w:numPr>
          <w:ilvl w:val="0"/>
          <w:numId w:val="1010"/>
        </w:numPr>
      </w:pPr>
      <w:r>
        <w:t xml:space="preserve">ID HTML.</w:t>
      </w:r>
    </w:p>
    <w:p>
      <w:pPr>
        <w:pStyle w:val="Compact"/>
        <w:numPr>
          <w:ilvl w:val="0"/>
          <w:numId w:val="1010"/>
        </w:numPr>
      </w:pPr>
      <w:r>
        <w:t xml:space="preserve">Placeholder.</w:t>
      </w:r>
    </w:p>
    <w:p>
      <w:pPr>
        <w:pStyle w:val="Compact"/>
        <w:numPr>
          <w:ilvl w:val="0"/>
          <w:numId w:val="1010"/>
        </w:numPr>
      </w:pPr>
      <w:r>
        <w:t xml:space="preserve">Tipo de input.</w:t>
      </w:r>
    </w:p>
    <w:p>
      <w:pPr>
        <w:pStyle w:val="Compact"/>
        <w:numPr>
          <w:ilvl w:val="0"/>
          <w:numId w:val="1010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Texto circundante.</w:t>
      </w:r>
    </w:p>
    <w:p>
      <w:pPr>
        <w:pStyle w:val="Compact"/>
        <w:numPr>
          <w:ilvl w:val="0"/>
          <w:numId w:val="1010"/>
        </w:numPr>
      </w:pPr>
      <w:r>
        <w:t xml:space="preserve">Validaciones.</w:t>
      </w:r>
    </w:p>
    <w:p>
      <w:pPr>
        <w:pStyle w:val="Compact"/>
        <w:numPr>
          <w:ilvl w:val="0"/>
          <w:numId w:val="1010"/>
        </w:numPr>
      </w:pPr>
      <w:r>
        <w:t xml:space="preserve">Patrones del valor esperado.</w:t>
      </w:r>
    </w:p>
    <w:p>
      <w:pPr>
        <w:pStyle w:val="Compact"/>
        <w:numPr>
          <w:ilvl w:val="0"/>
          <w:numId w:val="1010"/>
        </w:numPr>
      </w:pPr>
      <w:r>
        <w:t xml:space="preserve">Contexto de la página.</w:t>
      </w:r>
    </w:p>
    <w:p>
      <w:pPr>
        <w:pStyle w:val="Compact"/>
        <w:numPr>
          <w:ilvl w:val="0"/>
          <w:numId w:val="1010"/>
        </w:numPr>
      </w:pPr>
      <w:r>
        <w:t xml:space="preserve">Nombre del formulario.</w:t>
      </w:r>
    </w:p>
    <w:p>
      <w:pPr>
        <w:pStyle w:val="Compact"/>
        <w:numPr>
          <w:ilvl w:val="0"/>
          <w:numId w:val="1010"/>
        </w:numPr>
      </w:pPr>
      <w:r>
        <w:t xml:space="preserve">Endpoint relacionado.</w:t>
      </w:r>
    </w:p>
    <w:p>
      <w:pPr>
        <w:pStyle w:val="FirstParagraph"/>
      </w:pPr>
      <w:r>
        <w:t xml:space="preserve">Ejemplos: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Clasificación probable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tax_id</w:t>
            </w:r>
          </w:p>
        </w:tc>
        <w:tc>
          <w:tcPr/>
          <w:p>
            <w:pPr>
              <w:pStyle w:val="Compact"/>
            </w:pPr>
            <w:r>
              <w:t xml:space="preserve">RUT o identificador nacional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</w:pPr>
            <w:r>
              <w:t xml:space="preserve">Fecha de nacimiento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Geolocalización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medical_condition</w:t>
            </w:r>
          </w:p>
        </w:tc>
        <w:tc>
          <w:tcPr/>
          <w:p>
            <w:pPr>
              <w:pStyle w:val="Compact"/>
            </w:pPr>
            <w:r>
              <w:t xml:space="preserve">Dato de salud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voiceprint</w:t>
            </w:r>
          </w:p>
        </w:tc>
        <w:tc>
          <w:tcPr/>
          <w:p>
            <w:pPr>
              <w:pStyle w:val="Compact"/>
            </w:pPr>
            <w:r>
              <w:t xml:space="preserve">Dato biométrico</w:t>
            </w:r>
          </w:p>
        </w:tc>
      </w:tr>
    </w:tbl>
    <w:p>
      <w:pPr>
        <w:pStyle w:val="BodyText"/>
      </w:pPr>
      <w:r>
        <w:t xml:space="preserve">Cada clasificación deberá incluir:</w:t>
      </w:r>
    </w:p>
    <w:p>
      <w:pPr>
        <w:pStyle w:val="Compact"/>
        <w:numPr>
          <w:ilvl w:val="0"/>
          <w:numId w:val="1011"/>
        </w:numPr>
      </w:pPr>
      <w:r>
        <w:t xml:space="preserve">Categoría propuesta.</w:t>
      </w:r>
    </w:p>
    <w:p>
      <w:pPr>
        <w:pStyle w:val="Compact"/>
        <w:numPr>
          <w:ilvl w:val="0"/>
          <w:numId w:val="1011"/>
        </w:numPr>
      </w:pPr>
      <w:r>
        <w:t xml:space="preserve">Nivel de confianza.</w:t>
      </w:r>
    </w:p>
    <w:p>
      <w:pPr>
        <w:pStyle w:val="Compact"/>
        <w:numPr>
          <w:ilvl w:val="0"/>
          <w:numId w:val="1011"/>
        </w:numPr>
      </w:pPr>
      <w:r>
        <w:t xml:space="preserve">Evidencia que sustentó la clasificación.</w:t>
      </w:r>
    </w:p>
    <w:p>
      <w:pPr>
        <w:pStyle w:val="Compact"/>
        <w:numPr>
          <w:ilvl w:val="0"/>
          <w:numId w:val="1011"/>
        </w:numPr>
      </w:pPr>
      <w:r>
        <w:t xml:space="preserve">Posibilidad de corrección manual.</w:t>
      </w:r>
    </w:p>
    <w:bookmarkEnd w:id="33"/>
    <w:bookmarkStart w:id="34" w:name="Xab1089c2e90dadb3e144f40b88d3e4cdb1e019b"/>
    <w:p>
      <w:pPr>
        <w:pStyle w:val="Heading4"/>
      </w:pPr>
      <w:r>
        <w:t xml:space="preserve">RF-104. Identificación de tecnologías de terceros</w:t>
      </w:r>
    </w:p>
    <w:p>
      <w:pPr>
        <w:pStyle w:val="FirstParagraph"/>
      </w:pPr>
      <w:r>
        <w:t xml:space="preserve">El sistema deberá identificar scripts, SDK, iframes y recursos externos asociados a:</w:t>
      </w:r>
    </w:p>
    <w:p>
      <w:pPr>
        <w:pStyle w:val="Compact"/>
        <w:numPr>
          <w:ilvl w:val="0"/>
          <w:numId w:val="1012"/>
        </w:numPr>
      </w:pPr>
      <w:r>
        <w:t xml:space="preserve">Analítica.</w:t>
      </w:r>
    </w:p>
    <w:p>
      <w:pPr>
        <w:pStyle w:val="Compact"/>
        <w:numPr>
          <w:ilvl w:val="0"/>
          <w:numId w:val="1012"/>
        </w:numPr>
      </w:pPr>
      <w:r>
        <w:t xml:space="preserve">Publicidad.</w:t>
      </w:r>
    </w:p>
    <w:p>
      <w:pPr>
        <w:pStyle w:val="Compact"/>
        <w:numPr>
          <w:ilvl w:val="0"/>
          <w:numId w:val="1012"/>
        </w:numPr>
      </w:pPr>
      <w:r>
        <w:t xml:space="preserve">Redes sociales.</w:t>
      </w:r>
    </w:p>
    <w:p>
      <w:pPr>
        <w:pStyle w:val="Compact"/>
        <w:numPr>
          <w:ilvl w:val="0"/>
          <w:numId w:val="1012"/>
        </w:numPr>
      </w:pPr>
      <w:r>
        <w:t xml:space="preserve">Chat.</w:t>
      </w:r>
    </w:p>
    <w:p>
      <w:pPr>
        <w:pStyle w:val="Compact"/>
        <w:numPr>
          <w:ilvl w:val="0"/>
          <w:numId w:val="1012"/>
        </w:numPr>
      </w:pPr>
      <w:r>
        <w:t xml:space="preserve">Atención al cliente.</w:t>
      </w:r>
    </w:p>
    <w:p>
      <w:pPr>
        <w:pStyle w:val="Compact"/>
        <w:numPr>
          <w:ilvl w:val="0"/>
          <w:numId w:val="1012"/>
        </w:numPr>
      </w:pPr>
      <w:r>
        <w:t xml:space="preserve">Mapas.</w:t>
      </w:r>
    </w:p>
    <w:p>
      <w:pPr>
        <w:pStyle w:val="Compact"/>
        <w:numPr>
          <w:ilvl w:val="0"/>
          <w:numId w:val="1012"/>
        </w:numPr>
      </w:pPr>
      <w:r>
        <w:t xml:space="preserve">CAPTCHA.</w:t>
      </w:r>
    </w:p>
    <w:p>
      <w:pPr>
        <w:pStyle w:val="Compact"/>
        <w:numPr>
          <w:ilvl w:val="0"/>
          <w:numId w:val="1012"/>
        </w:numPr>
      </w:pPr>
      <w:r>
        <w:t xml:space="preserve">Pagos.</w:t>
      </w:r>
    </w:p>
    <w:p>
      <w:pPr>
        <w:pStyle w:val="Compact"/>
        <w:numPr>
          <w:ilvl w:val="0"/>
          <w:numId w:val="1012"/>
        </w:numPr>
      </w:pPr>
      <w:r>
        <w:t xml:space="preserve">Personalización.</w:t>
      </w:r>
    </w:p>
    <w:p>
      <w:pPr>
        <w:pStyle w:val="Compact"/>
        <w:numPr>
          <w:ilvl w:val="0"/>
          <w:numId w:val="1012"/>
        </w:numPr>
      </w:pPr>
      <w:r>
        <w:t xml:space="preserve">Experimentación A/B.</w:t>
      </w:r>
    </w:p>
    <w:p>
      <w:pPr>
        <w:pStyle w:val="Compact"/>
        <w:numPr>
          <w:ilvl w:val="0"/>
          <w:numId w:val="1012"/>
        </w:numPr>
      </w:pPr>
      <w:r>
        <w:t xml:space="preserve">Grabación de sesiones.</w:t>
      </w:r>
    </w:p>
    <w:p>
      <w:pPr>
        <w:pStyle w:val="Compact"/>
        <w:numPr>
          <w:ilvl w:val="0"/>
          <w:numId w:val="1012"/>
        </w:numPr>
      </w:pPr>
      <w:r>
        <w:t xml:space="preserve">Gestión de consentimiento.</w:t>
      </w:r>
    </w:p>
    <w:p>
      <w:pPr>
        <w:pStyle w:val="Compact"/>
        <w:numPr>
          <w:ilvl w:val="0"/>
          <w:numId w:val="1012"/>
        </w:numPr>
      </w:pPr>
      <w:r>
        <w:t xml:space="preserve">Autenticación.</w:t>
      </w:r>
    </w:p>
    <w:p>
      <w:pPr>
        <w:pStyle w:val="Compact"/>
        <w:numPr>
          <w:ilvl w:val="0"/>
          <w:numId w:val="1012"/>
        </w:numPr>
      </w:pPr>
      <w:r>
        <w:t xml:space="preserve">Monitoreo de errores.</w:t>
      </w:r>
    </w:p>
    <w:p>
      <w:pPr>
        <w:pStyle w:val="Compact"/>
        <w:numPr>
          <w:ilvl w:val="0"/>
          <w:numId w:val="1012"/>
        </w:numPr>
      </w:pPr>
      <w:r>
        <w:t xml:space="preserve">CDN y seguridad.</w:t>
      </w:r>
    </w:p>
    <w:p>
      <w:pPr>
        <w:pStyle w:val="FirstParagraph"/>
      </w:pPr>
      <w:r>
        <w:t xml:space="preserve">No deberá concluir que una herramienta efectivamente procesa datos personales sólo por encontrarse instalada. Deberá diferenciar:</w:t>
      </w:r>
    </w:p>
    <w:p>
      <w:pPr>
        <w:pStyle w:val="Compact"/>
        <w:numPr>
          <w:ilvl w:val="0"/>
          <w:numId w:val="1013"/>
        </w:numPr>
      </w:pPr>
      <w:r>
        <w:t xml:space="preserve">Tecnología detectada.</w:t>
      </w:r>
    </w:p>
    <w:p>
      <w:pPr>
        <w:pStyle w:val="Compact"/>
        <w:numPr>
          <w:ilvl w:val="0"/>
          <w:numId w:val="1013"/>
        </w:numPr>
      </w:pPr>
      <w:r>
        <w:t xml:space="preserve">Tecnología cargada.</w:t>
      </w:r>
    </w:p>
    <w:p>
      <w:pPr>
        <w:pStyle w:val="Compact"/>
        <w:numPr>
          <w:ilvl w:val="0"/>
          <w:numId w:val="1013"/>
        </w:numPr>
      </w:pPr>
      <w:r>
        <w:t xml:space="preserve">Tecnología ejecutada.</w:t>
      </w:r>
    </w:p>
    <w:p>
      <w:pPr>
        <w:pStyle w:val="Compact"/>
        <w:numPr>
          <w:ilvl w:val="0"/>
          <w:numId w:val="1013"/>
        </w:numPr>
      </w:pPr>
      <w:r>
        <w:t xml:space="preserve">Datos efectivamente transmitidos.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5" w:name="Xd4133f5ff01b908f8c038c6484ef38e3964a5d2"/>
    <w:p>
      <w:pPr>
        <w:pStyle w:val="Heading2"/>
      </w:pPr>
      <w:r>
        <w:t xml:space="preserve">Fase 2 — Exploración externa activa no destructiva</w:t>
      </w:r>
    </w:p>
    <w:p>
      <w:pPr>
        <w:pStyle w:val="FirstParagraph"/>
      </w:pPr>
      <w:r>
        <w:t xml:space="preserve">Esta fase utilizará un navegador automatizado y datos sintéticos.</w:t>
      </w:r>
    </w:p>
    <w:p>
      <w:pPr>
        <w:pStyle w:val="BodyText"/>
      </w:pPr>
      <w:r>
        <w:t xml:space="preserve">El motor podrá apoyarse en Playwright o una tecnología equivalente. Playwright permite trabajar con contextos aislados, cargar estados autenticados y obtener cookies, almacenamiento local e IndexedDB. Chrome DevTools Protocol permite observar solicitudes, respuestas, encabezados, cuerpos y tiempos de red.</w:t>
      </w:r>
    </w:p>
    <w:bookmarkStart w:id="37" w:name="rf-201.-navegación-automatizada"/>
    <w:p>
      <w:pPr>
        <w:pStyle w:val="Heading3"/>
      </w:pPr>
      <w:r>
        <w:t xml:space="preserve">RF-201. Navegación automatizada</w:t>
      </w:r>
    </w:p>
    <w:p>
      <w:pPr>
        <w:pStyle w:val="FirstParagraph"/>
      </w:pPr>
      <w:r>
        <w:t xml:space="preserve">El sistema deberá:</w:t>
      </w:r>
    </w:p>
    <w:p>
      <w:pPr>
        <w:pStyle w:val="Compact"/>
        <w:numPr>
          <w:ilvl w:val="0"/>
          <w:numId w:val="1014"/>
        </w:numPr>
      </w:pPr>
      <w:r>
        <w:t xml:space="preserve">Ejecutar JavaScript.</w:t>
      </w:r>
    </w:p>
    <w:p>
      <w:pPr>
        <w:pStyle w:val="Compact"/>
        <w:numPr>
          <w:ilvl w:val="0"/>
          <w:numId w:val="1014"/>
        </w:numPr>
      </w:pPr>
      <w:r>
        <w:t xml:space="preserve">Esperar contenido dinámico.</w:t>
      </w:r>
    </w:p>
    <w:p>
      <w:pPr>
        <w:pStyle w:val="Compact"/>
        <w:numPr>
          <w:ilvl w:val="0"/>
          <w:numId w:val="1014"/>
        </w:numPr>
      </w:pPr>
      <w:r>
        <w:t xml:space="preserve">Interactuar con componentes SPA.</w:t>
      </w:r>
    </w:p>
    <w:p>
      <w:pPr>
        <w:pStyle w:val="Compact"/>
        <w:numPr>
          <w:ilvl w:val="0"/>
          <w:numId w:val="1014"/>
        </w:numPr>
      </w:pPr>
      <w:r>
        <w:t xml:space="preserve">Expandir menús.</w:t>
      </w:r>
    </w:p>
    <w:p>
      <w:pPr>
        <w:pStyle w:val="Compact"/>
        <w:numPr>
          <w:ilvl w:val="0"/>
          <w:numId w:val="1014"/>
        </w:numPr>
      </w:pPr>
      <w:r>
        <w:t xml:space="preserve">Navegar por pasos.</w:t>
      </w:r>
    </w:p>
    <w:p>
      <w:pPr>
        <w:pStyle w:val="Compact"/>
        <w:numPr>
          <w:ilvl w:val="0"/>
          <w:numId w:val="1014"/>
        </w:numPr>
      </w:pPr>
      <w:r>
        <w:t xml:space="preserve">Detectar modales.</w:t>
      </w:r>
    </w:p>
    <w:p>
      <w:pPr>
        <w:pStyle w:val="Compact"/>
        <w:numPr>
          <w:ilvl w:val="0"/>
          <w:numId w:val="1014"/>
        </w:numPr>
      </w:pPr>
      <w:r>
        <w:t xml:space="preserve">Operar componentes dentro de iframes permitidos.</w:t>
      </w:r>
    </w:p>
    <w:p>
      <w:pPr>
        <w:pStyle w:val="Compact"/>
        <w:numPr>
          <w:ilvl w:val="0"/>
          <w:numId w:val="1014"/>
        </w:numPr>
      </w:pPr>
      <w:r>
        <w:t xml:space="preserve">Capturar estados de la página.</w:t>
      </w:r>
    </w:p>
    <w:p>
      <w:pPr>
        <w:pStyle w:val="Compact"/>
        <w:numPr>
          <w:ilvl w:val="0"/>
          <w:numId w:val="1014"/>
        </w:numPr>
      </w:pPr>
      <w:r>
        <w:t xml:space="preserve">Mantener trazabilidad de cada acción.</w:t>
      </w:r>
    </w:p>
    <w:bookmarkEnd w:id="37"/>
    <w:bookmarkStart w:id="38" w:name="X600df696b9009b24990ca70a9b83cc5c9e63510"/>
    <w:p>
      <w:pPr>
        <w:pStyle w:val="Heading3"/>
      </w:pPr>
      <w:r>
        <w:t xml:space="preserve">RF-202. Uso exclusivo de datos sintéticos</w:t>
      </w:r>
    </w:p>
    <w:p>
      <w:pPr>
        <w:pStyle w:val="FirstParagraph"/>
      </w:pPr>
      <w:r>
        <w:t xml:space="preserve">El sistema deberá generar datos ficticios inequívocamente identificables, por ejemplo:</w:t>
      </w:r>
    </w:p>
    <w:p>
      <w:pPr>
        <w:pStyle w:val="Compact"/>
        <w:numPr>
          <w:ilvl w:val="0"/>
          <w:numId w:val="1015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PRUEBA PRIVACIDAD 000123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Correo: dominio controlado o reservado.</w:t>
      </w:r>
    </w:p>
    <w:p>
      <w:pPr>
        <w:pStyle w:val="Compact"/>
        <w:numPr>
          <w:ilvl w:val="0"/>
          <w:numId w:val="1015"/>
        </w:numPr>
      </w:pPr>
      <w:r>
        <w:t xml:space="preserve">Teléfono: rango acordado.</w:t>
      </w:r>
    </w:p>
    <w:p>
      <w:pPr>
        <w:pStyle w:val="Compact"/>
        <w:numPr>
          <w:ilvl w:val="0"/>
          <w:numId w:val="1015"/>
        </w:numPr>
      </w:pPr>
      <w:r>
        <w:t xml:space="preserve">RUT sintético definido para pruebas.</w:t>
      </w:r>
    </w:p>
    <w:p>
      <w:pPr>
        <w:pStyle w:val="Compact"/>
        <w:numPr>
          <w:ilvl w:val="0"/>
          <w:numId w:val="1015"/>
        </w:numPr>
      </w:pPr>
      <w:r>
        <w:t xml:space="preserve">Dirección ficticia.</w:t>
      </w:r>
    </w:p>
    <w:p>
      <w:pPr>
        <w:pStyle w:val="Compact"/>
        <w:numPr>
          <w:ilvl w:val="0"/>
          <w:numId w:val="1015"/>
        </w:numPr>
      </w:pPr>
      <w:r>
        <w:t xml:space="preserve">Documentos de prueba sin datos reales.</w:t>
      </w:r>
    </w:p>
    <w:p>
      <w:pPr>
        <w:pStyle w:val="FirstParagraph"/>
      </w:pPr>
      <w:r>
        <w:t xml:space="preserve">Los datos sintéticos deberán contener un identificador único de ejecución que permita rastrear dónde aparecieron.</w:t>
      </w:r>
    </w:p>
    <w:p>
      <w:pPr>
        <w:pStyle w:val="BodyText"/>
      </w:pPr>
      <w:r>
        <w:t xml:space="preserve">El sistema no deberá:</w:t>
      </w:r>
    </w:p>
    <w:p>
      <w:pPr>
        <w:pStyle w:val="Compact"/>
        <w:numPr>
          <w:ilvl w:val="0"/>
          <w:numId w:val="1016"/>
        </w:numPr>
      </w:pPr>
      <w:r>
        <w:t xml:space="preserve">Utilizar datos reales de personas.</w:t>
      </w:r>
    </w:p>
    <w:p>
      <w:pPr>
        <w:pStyle w:val="Compact"/>
        <w:numPr>
          <w:ilvl w:val="0"/>
          <w:numId w:val="1016"/>
        </w:numPr>
      </w:pPr>
      <w:r>
        <w:t xml:space="preserve">Crear obligaciones financieras.</w:t>
      </w:r>
    </w:p>
    <w:p>
      <w:pPr>
        <w:pStyle w:val="Compact"/>
        <w:numPr>
          <w:ilvl w:val="0"/>
          <w:numId w:val="1016"/>
        </w:numPr>
      </w:pPr>
      <w:r>
        <w:t xml:space="preserve">Confirmar compras.</w:t>
      </w:r>
    </w:p>
    <w:p>
      <w:pPr>
        <w:pStyle w:val="Compact"/>
        <w:numPr>
          <w:ilvl w:val="0"/>
          <w:numId w:val="1016"/>
        </w:numPr>
      </w:pPr>
      <w:r>
        <w:t xml:space="preserve">Realizar pagos.</w:t>
      </w:r>
    </w:p>
    <w:p>
      <w:pPr>
        <w:pStyle w:val="Compact"/>
        <w:numPr>
          <w:ilvl w:val="0"/>
          <w:numId w:val="1016"/>
        </w:numPr>
      </w:pPr>
      <w:r>
        <w:t xml:space="preserve">Enviar comunicaciones a terceros reales.</w:t>
      </w:r>
    </w:p>
    <w:p>
      <w:pPr>
        <w:pStyle w:val="Compact"/>
        <w:numPr>
          <w:ilvl w:val="0"/>
          <w:numId w:val="1016"/>
        </w:numPr>
      </w:pPr>
      <w:r>
        <w:t xml:space="preserve">Crear reservas efectivas.</w:t>
      </w:r>
    </w:p>
    <w:p>
      <w:pPr>
        <w:pStyle w:val="Compact"/>
        <w:numPr>
          <w:ilvl w:val="0"/>
          <w:numId w:val="1016"/>
        </w:numPr>
      </w:pPr>
      <w:r>
        <w:t xml:space="preserve">Publicar contenidos.</w:t>
      </w:r>
    </w:p>
    <w:p>
      <w:pPr>
        <w:pStyle w:val="Compact"/>
        <w:numPr>
          <w:ilvl w:val="0"/>
          <w:numId w:val="1016"/>
        </w:numPr>
      </w:pPr>
      <w:r>
        <w:t xml:space="preserve">Eliminar información.</w:t>
      </w:r>
    </w:p>
    <w:p>
      <w:pPr>
        <w:pStyle w:val="Compact"/>
        <w:numPr>
          <w:ilvl w:val="0"/>
          <w:numId w:val="1016"/>
        </w:numPr>
      </w:pPr>
      <w:r>
        <w:t xml:space="preserve">Modificar datos productivos, salvo autorización expresa y controlada.</w:t>
      </w:r>
    </w:p>
    <w:bookmarkEnd w:id="38"/>
    <w:bookmarkStart w:id="39" w:name="rf-203.-captura-de-tráfico-de-red"/>
    <w:p>
      <w:pPr>
        <w:pStyle w:val="Heading3"/>
      </w:pPr>
      <w:r>
        <w:t xml:space="preserve">RF-203. Captura de tráfico de red</w:t>
      </w:r>
    </w:p>
    <w:p>
      <w:pPr>
        <w:pStyle w:val="FirstParagraph"/>
      </w:pPr>
      <w:r>
        <w:t xml:space="preserve">Para cada solicitud deberá registrarse:</w:t>
      </w:r>
    </w:p>
    <w:p>
      <w:pPr>
        <w:pStyle w:val="Compact"/>
        <w:numPr>
          <w:ilvl w:val="0"/>
          <w:numId w:val="1017"/>
        </w:numPr>
      </w:pPr>
      <w:r>
        <w:t xml:space="preserve">Fecha y hora.</w:t>
      </w:r>
    </w:p>
    <w:p>
      <w:pPr>
        <w:pStyle w:val="Compact"/>
        <w:numPr>
          <w:ilvl w:val="0"/>
          <w:numId w:val="1017"/>
        </w:numPr>
      </w:pPr>
      <w:r>
        <w:t xml:space="preserve">URL de origen.</w:t>
      </w:r>
    </w:p>
    <w:p>
      <w:pPr>
        <w:pStyle w:val="Compact"/>
        <w:numPr>
          <w:ilvl w:val="0"/>
          <w:numId w:val="1017"/>
        </w:numPr>
      </w:pPr>
      <w:r>
        <w:t xml:space="preserve">URL de destino.</w:t>
      </w:r>
    </w:p>
    <w:p>
      <w:pPr>
        <w:pStyle w:val="Compact"/>
        <w:numPr>
          <w:ilvl w:val="0"/>
          <w:numId w:val="1017"/>
        </w:numPr>
      </w:pPr>
      <w:r>
        <w:t xml:space="preserve">Dominio receptor.</w:t>
      </w:r>
    </w:p>
    <w:p>
      <w:pPr>
        <w:pStyle w:val="Compact"/>
        <w:numPr>
          <w:ilvl w:val="0"/>
          <w:numId w:val="1017"/>
        </w:numPr>
      </w:pPr>
      <w:r>
        <w:t xml:space="preserve">Método HTTP.</w:t>
      </w:r>
    </w:p>
    <w:p>
      <w:pPr>
        <w:pStyle w:val="Compact"/>
        <w:numPr>
          <w:ilvl w:val="0"/>
          <w:numId w:val="1017"/>
        </w:numPr>
      </w:pPr>
      <w:r>
        <w:t xml:space="preserve">Encabezados.</w:t>
      </w:r>
    </w:p>
    <w:p>
      <w:pPr>
        <w:pStyle w:val="Compact"/>
        <w:numPr>
          <w:ilvl w:val="0"/>
          <w:numId w:val="1017"/>
        </w:numPr>
      </w:pPr>
      <w:r>
        <w:t xml:space="preserve">Parámetros de consulta.</w:t>
      </w:r>
    </w:p>
    <w:p>
      <w:pPr>
        <w:pStyle w:val="Compact"/>
        <w:numPr>
          <w:ilvl w:val="0"/>
          <w:numId w:val="1017"/>
        </w:numPr>
      </w:pPr>
      <w:r>
        <w:t xml:space="preserve">Cookies enviadas.</w:t>
      </w:r>
    </w:p>
    <w:p>
      <w:pPr>
        <w:pStyle w:val="Compact"/>
        <w:numPr>
          <w:ilvl w:val="0"/>
          <w:numId w:val="1017"/>
        </w:numPr>
      </w:pPr>
      <w:r>
        <w:t xml:space="preserve">Tipo de contenido.</w:t>
      </w:r>
    </w:p>
    <w:p>
      <w:pPr>
        <w:pStyle w:val="Compact"/>
        <w:numPr>
          <w:ilvl w:val="0"/>
          <w:numId w:val="1017"/>
        </w:numPr>
      </w:pPr>
      <w:r>
        <w:t xml:space="preserve">Cuerpo de la solicitud.</w:t>
      </w:r>
    </w:p>
    <w:p>
      <w:pPr>
        <w:pStyle w:val="Compact"/>
        <w:numPr>
          <w:ilvl w:val="0"/>
          <w:numId w:val="1017"/>
        </w:numPr>
      </w:pPr>
      <w:r>
        <w:t xml:space="preserve">Campos detectados.</w:t>
      </w:r>
    </w:p>
    <w:p>
      <w:pPr>
        <w:pStyle w:val="Compact"/>
        <w:numPr>
          <w:ilvl w:val="0"/>
          <w:numId w:val="1017"/>
        </w:numPr>
      </w:pPr>
      <w:r>
        <w:t xml:space="preserve">Estado de consentimiento.</w:t>
      </w:r>
    </w:p>
    <w:p>
      <w:pPr>
        <w:pStyle w:val="Compact"/>
        <w:numPr>
          <w:ilvl w:val="0"/>
          <w:numId w:val="1017"/>
        </w:numPr>
      </w:pPr>
      <w:r>
        <w:t xml:space="preserve">Página y acción que originaron la solicitud.</w:t>
      </w:r>
    </w:p>
    <w:p>
      <w:pPr>
        <w:pStyle w:val="Compact"/>
        <w:numPr>
          <w:ilvl w:val="0"/>
          <w:numId w:val="1017"/>
        </w:numPr>
      </w:pPr>
      <w:r>
        <w:t xml:space="preserve">Clasificación primera o tercera parte.</w:t>
      </w:r>
    </w:p>
    <w:p>
      <w:pPr>
        <w:pStyle w:val="Compact"/>
        <w:numPr>
          <w:ilvl w:val="0"/>
          <w:numId w:val="1017"/>
        </w:numPr>
      </w:pPr>
      <w:r>
        <w:t xml:space="preserve">País probable del destinatario, cuando pueda determinarse.</w:t>
      </w:r>
    </w:p>
    <w:p>
      <w:pPr>
        <w:pStyle w:val="Compact"/>
        <w:numPr>
          <w:ilvl w:val="0"/>
          <w:numId w:val="1017"/>
        </w:numPr>
      </w:pPr>
      <w:r>
        <w:t xml:space="preserve">Resultado HTTP.</w:t>
      </w:r>
    </w:p>
    <w:p>
      <w:pPr>
        <w:pStyle w:val="Compact"/>
        <w:numPr>
          <w:ilvl w:val="0"/>
          <w:numId w:val="1017"/>
        </w:numPr>
      </w:pPr>
      <w:r>
        <w:t xml:space="preserve">Redirecciones.</w:t>
      </w:r>
    </w:p>
    <w:p>
      <w:pPr>
        <w:pStyle w:val="FirstParagraph"/>
      </w:pPr>
      <w:r>
        <w:t xml:space="preserve">El almacenamiento de cuerpos deberá aplicar enmascaramiento para:</w:t>
      </w:r>
    </w:p>
    <w:p>
      <w:pPr>
        <w:pStyle w:val="Compact"/>
        <w:numPr>
          <w:ilvl w:val="0"/>
          <w:numId w:val="1018"/>
        </w:numPr>
      </w:pPr>
      <w:r>
        <w:t xml:space="preserve">Contraseñas.</w:t>
      </w:r>
    </w:p>
    <w:p>
      <w:pPr>
        <w:pStyle w:val="Compact"/>
        <w:numPr>
          <w:ilvl w:val="0"/>
          <w:numId w:val="1018"/>
        </w:numPr>
      </w:pPr>
      <w:r>
        <w:t xml:space="preserve">Tokens.</w:t>
      </w:r>
    </w:p>
    <w:p>
      <w:pPr>
        <w:pStyle w:val="Compact"/>
        <w:numPr>
          <w:ilvl w:val="0"/>
          <w:numId w:val="1018"/>
        </w:numPr>
      </w:pPr>
      <w:r>
        <w:t xml:space="preserve">Credenciales.</w:t>
      </w:r>
    </w:p>
    <w:p>
      <w:pPr>
        <w:pStyle w:val="Compact"/>
        <w:numPr>
          <w:ilvl w:val="0"/>
          <w:numId w:val="1018"/>
        </w:numPr>
      </w:pPr>
      <w:r>
        <w:t xml:space="preserve">Datos reales.</w:t>
      </w:r>
    </w:p>
    <w:p>
      <w:pPr>
        <w:pStyle w:val="Compact"/>
        <w:numPr>
          <w:ilvl w:val="0"/>
          <w:numId w:val="1018"/>
        </w:numPr>
      </w:pPr>
      <w:r>
        <w:t xml:space="preserve">Números completos de medios de pago.</w:t>
      </w:r>
    </w:p>
    <w:p>
      <w:pPr>
        <w:pStyle w:val="Compact"/>
        <w:numPr>
          <w:ilvl w:val="0"/>
          <w:numId w:val="1018"/>
        </w:numPr>
      </w:pPr>
      <w:r>
        <w:t xml:space="preserve">Secretos de aplicación.</w:t>
      </w:r>
    </w:p>
    <w:bookmarkEnd w:id="39"/>
    <w:bookmarkStart w:id="40" w:name="rf-204.-protocolos-soportados"/>
    <w:p>
      <w:pPr>
        <w:pStyle w:val="Heading3"/>
      </w:pPr>
      <w:r>
        <w:t xml:space="preserve">RF-204. Protocolos soportados</w:t>
      </w:r>
    </w:p>
    <w:p>
      <w:pPr>
        <w:pStyle w:val="FirstParagraph"/>
      </w:pPr>
      <w:r>
        <w:t xml:space="preserve">El sistema deberá soportar inicialmente:</w:t>
      </w:r>
    </w:p>
    <w:p>
      <w:pPr>
        <w:pStyle w:val="Compact"/>
        <w:numPr>
          <w:ilvl w:val="0"/>
          <w:numId w:val="1019"/>
        </w:numPr>
      </w:pPr>
      <w:r>
        <w:t xml:space="preserve">HTTP y HTTPS.</w:t>
      </w:r>
    </w:p>
    <w:p>
      <w:pPr>
        <w:pStyle w:val="Compact"/>
        <w:numPr>
          <w:ilvl w:val="0"/>
          <w:numId w:val="1019"/>
        </w:numPr>
      </w:pPr>
      <w:r>
        <w:t xml:space="preserve">Formularios URL encoded.</w:t>
      </w:r>
    </w:p>
    <w:p>
      <w:pPr>
        <w:pStyle w:val="Compact"/>
        <w:numPr>
          <w:ilvl w:val="0"/>
          <w:numId w:val="1019"/>
        </w:numPr>
      </w:pPr>
      <w:r>
        <w:t xml:space="preserve">JSON.</w:t>
      </w:r>
    </w:p>
    <w:p>
      <w:pPr>
        <w:pStyle w:val="Compact"/>
        <w:numPr>
          <w:ilvl w:val="0"/>
          <w:numId w:val="1019"/>
        </w:numPr>
      </w:pPr>
      <w:r>
        <w:t xml:space="preserve">XML.</w:t>
      </w:r>
    </w:p>
    <w:p>
      <w:pPr>
        <w:pStyle w:val="Compact"/>
        <w:numPr>
          <w:ilvl w:val="0"/>
          <w:numId w:val="1019"/>
        </w:numPr>
      </w:pPr>
      <w:r>
        <w:t xml:space="preserve">Multipart.</w:t>
      </w:r>
    </w:p>
    <w:p>
      <w:pPr>
        <w:pStyle w:val="Compact"/>
        <w:numPr>
          <w:ilvl w:val="0"/>
          <w:numId w:val="1019"/>
        </w:numPr>
      </w:pPr>
      <w:r>
        <w:t xml:space="preserve">GraphQL.</w:t>
      </w:r>
    </w:p>
    <w:p>
      <w:pPr>
        <w:pStyle w:val="Compact"/>
        <w:numPr>
          <w:ilvl w:val="0"/>
          <w:numId w:val="1019"/>
        </w:numPr>
      </w:pPr>
      <w:r>
        <w:t xml:space="preserve">Beacon API.</w:t>
      </w:r>
    </w:p>
    <w:p>
      <w:pPr>
        <w:pStyle w:val="Compact"/>
        <w:numPr>
          <w:ilvl w:val="0"/>
          <w:numId w:val="1019"/>
        </w:numPr>
      </w:pPr>
      <w:r>
        <w:t xml:space="preserve">Fetch.</w:t>
      </w:r>
    </w:p>
    <w:p>
      <w:pPr>
        <w:pStyle w:val="Compact"/>
        <w:numPr>
          <w:ilvl w:val="0"/>
          <w:numId w:val="1019"/>
        </w:numPr>
      </w:pPr>
      <w:r>
        <w:t xml:space="preserve">XMLHttpRequest.</w:t>
      </w:r>
    </w:p>
    <w:p>
      <w:pPr>
        <w:pStyle w:val="Compact"/>
        <w:numPr>
          <w:ilvl w:val="0"/>
          <w:numId w:val="1019"/>
        </w:numPr>
      </w:pPr>
      <w:r>
        <w:t xml:space="preserve">WebSocket, al menos a nivel de eventos y mensajes cuando técnicamente sea posible.</w:t>
      </w:r>
    </w:p>
    <w:p>
      <w:pPr>
        <w:pStyle w:val="FirstParagraph"/>
      </w:pPr>
      <w:r>
        <w:t xml:space="preserve">Como extensión posterior:</w:t>
      </w:r>
    </w:p>
    <w:p>
      <w:pPr>
        <w:pStyle w:val="Compact"/>
        <w:numPr>
          <w:ilvl w:val="0"/>
          <w:numId w:val="1020"/>
        </w:numPr>
      </w:pPr>
      <w:r>
        <w:t xml:space="preserve">gRPC-Web.</w:t>
      </w:r>
    </w:p>
    <w:p>
      <w:pPr>
        <w:pStyle w:val="Compact"/>
        <w:numPr>
          <w:ilvl w:val="0"/>
          <w:numId w:val="1020"/>
        </w:numPr>
      </w:pPr>
      <w:r>
        <w:t xml:space="preserve">Server-Sent Events.</w:t>
      </w:r>
    </w:p>
    <w:p>
      <w:pPr>
        <w:pStyle w:val="Compact"/>
        <w:numPr>
          <w:ilvl w:val="0"/>
          <w:numId w:val="1020"/>
        </w:numPr>
      </w:pPr>
      <w:r>
        <w:t xml:space="preserve">Protocol Buffers con esquema disponible.</w:t>
      </w:r>
    </w:p>
    <w:p>
      <w:pPr>
        <w:pStyle w:val="Compact"/>
        <w:numPr>
          <w:ilvl w:val="0"/>
          <w:numId w:val="1020"/>
        </w:numPr>
      </w:pPr>
      <w:r>
        <w:t xml:space="preserve">WebRTC.</w:t>
      </w:r>
    </w:p>
    <w:p>
      <w:pPr>
        <w:pStyle w:val="Compact"/>
        <w:numPr>
          <w:ilvl w:val="0"/>
          <w:numId w:val="1020"/>
        </w:numPr>
      </w:pPr>
      <w:r>
        <w:t xml:space="preserve">Aplicaciones móviles híbridas.</w:t>
      </w:r>
    </w:p>
    <w:bookmarkEnd w:id="40"/>
    <w:bookmarkStart w:id="41" w:name="Xcbb1c1db68572d9dceb03764ba727a6ef782e5c"/>
    <w:p>
      <w:pPr>
        <w:pStyle w:val="Heading3"/>
      </w:pPr>
      <w:r>
        <w:t xml:space="preserve">RF-205. Análisis de almacenamiento del navegador</w:t>
      </w:r>
    </w:p>
    <w:p>
      <w:pPr>
        <w:pStyle w:val="FirstParagraph"/>
      </w:pPr>
      <w:r>
        <w:t xml:space="preserve">Se deberá inspeccionar:</w:t>
      </w:r>
    </w:p>
    <w:p>
      <w:pPr>
        <w:pStyle w:val="Compact"/>
        <w:numPr>
          <w:ilvl w:val="0"/>
          <w:numId w:val="1021"/>
        </w:numPr>
      </w:pPr>
      <w:r>
        <w:t xml:space="preserve">Cookies.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sessionStorage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IndexedDB.</w:t>
      </w:r>
    </w:p>
    <w:p>
      <w:pPr>
        <w:pStyle w:val="Compact"/>
        <w:numPr>
          <w:ilvl w:val="0"/>
          <w:numId w:val="1021"/>
        </w:numPr>
      </w:pPr>
      <w:r>
        <w:t xml:space="preserve">Cache Storage.</w:t>
      </w:r>
    </w:p>
    <w:p>
      <w:pPr>
        <w:pStyle w:val="Compact"/>
        <w:numPr>
          <w:ilvl w:val="0"/>
          <w:numId w:val="1021"/>
        </w:numPr>
      </w:pPr>
      <w:r>
        <w:t xml:space="preserve">Service workers.</w:t>
      </w:r>
    </w:p>
    <w:p>
      <w:pPr>
        <w:pStyle w:val="Compact"/>
        <w:numPr>
          <w:ilvl w:val="0"/>
          <w:numId w:val="1021"/>
        </w:numPr>
      </w:pPr>
      <w:r>
        <w:t xml:space="preserve">Tokens almacenados en el navegador.</w:t>
      </w:r>
    </w:p>
    <w:p>
      <w:pPr>
        <w:pStyle w:val="Compact"/>
        <w:numPr>
          <w:ilvl w:val="0"/>
          <w:numId w:val="1021"/>
        </w:numPr>
      </w:pPr>
      <w:r>
        <w:t xml:space="preserve">Identificadores publicitarios.</w:t>
      </w:r>
    </w:p>
    <w:p>
      <w:pPr>
        <w:pStyle w:val="Compact"/>
        <w:numPr>
          <w:ilvl w:val="0"/>
          <w:numId w:val="1021"/>
        </w:numPr>
      </w:pPr>
      <w:r>
        <w:t xml:space="preserve">Objetos de configuración de gestores de consentimiento.</w:t>
      </w:r>
    </w:p>
    <w:p>
      <w:pPr>
        <w:pStyle w:val="FirstParagraph"/>
      </w:pPr>
      <w:r>
        <w:t xml:space="preserve">Por cada elemento se registrará:</w:t>
      </w:r>
    </w:p>
    <w:p>
      <w:pPr>
        <w:pStyle w:val="Compact"/>
        <w:numPr>
          <w:ilvl w:val="0"/>
          <w:numId w:val="1022"/>
        </w:numPr>
      </w:pPr>
      <w:r>
        <w:t xml:space="preserve">Nombre.</w:t>
      </w:r>
    </w:p>
    <w:p>
      <w:pPr>
        <w:pStyle w:val="Compact"/>
        <w:numPr>
          <w:ilvl w:val="0"/>
          <w:numId w:val="1022"/>
        </w:numPr>
      </w:pPr>
      <w:r>
        <w:t xml:space="preserve">Valor enmascarado.</w:t>
      </w:r>
    </w:p>
    <w:p>
      <w:pPr>
        <w:pStyle w:val="Compact"/>
        <w:numPr>
          <w:ilvl w:val="0"/>
          <w:numId w:val="1022"/>
        </w:numPr>
      </w:pPr>
      <w:r>
        <w:t xml:space="preserve">Dominio.</w:t>
      </w:r>
    </w:p>
    <w:p>
      <w:pPr>
        <w:pStyle w:val="Compact"/>
        <w:numPr>
          <w:ilvl w:val="0"/>
          <w:numId w:val="1022"/>
        </w:numPr>
      </w:pPr>
      <w:r>
        <w:t xml:space="preserve">Ruta.</w:t>
      </w:r>
    </w:p>
    <w:p>
      <w:pPr>
        <w:pStyle w:val="Compact"/>
        <w:numPr>
          <w:ilvl w:val="0"/>
          <w:numId w:val="1022"/>
        </w:numPr>
      </w:pPr>
      <w:r>
        <w:t xml:space="preserve">Fecha de creación.</w:t>
      </w:r>
    </w:p>
    <w:p>
      <w:pPr>
        <w:pStyle w:val="Compact"/>
        <w:numPr>
          <w:ilvl w:val="0"/>
          <w:numId w:val="1022"/>
        </w:numPr>
      </w:pPr>
      <w:r>
        <w:t xml:space="preserve">Expiración.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Secure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HttpOnly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SameSite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Categoría probable.</w:t>
      </w:r>
    </w:p>
    <w:p>
      <w:pPr>
        <w:pStyle w:val="Compact"/>
        <w:numPr>
          <w:ilvl w:val="0"/>
          <w:numId w:val="1022"/>
        </w:numPr>
      </w:pPr>
      <w:r>
        <w:t xml:space="preserve">Estado de consentimiento en que apareció.</w:t>
      </w:r>
    </w:p>
    <w:p>
      <w:pPr>
        <w:pStyle w:val="Compact"/>
        <w:numPr>
          <w:ilvl w:val="0"/>
          <w:numId w:val="1022"/>
        </w:numPr>
      </w:pPr>
      <w:r>
        <w:t xml:space="preserve">Script o respuesta que lo originó, cuando sea identificable.</w:t>
      </w:r>
    </w:p>
    <w:bookmarkEnd w:id="41"/>
    <w:bookmarkStart w:id="42" w:name="rf-206.-estados-de-consentimiento"/>
    <w:p>
      <w:pPr>
        <w:pStyle w:val="Heading3"/>
      </w:pPr>
      <w:r>
        <w:t xml:space="preserve">RF-206. Estados de consentimiento</w:t>
      </w:r>
    </w:p>
    <w:p>
      <w:pPr>
        <w:pStyle w:val="FirstParagraph"/>
      </w:pPr>
      <w:r>
        <w:t xml:space="preserve">El sistema deberá ejecutar, cuando corresponda, sesiones separadas:</w:t>
      </w:r>
    </w:p>
    <w:p>
      <w:pPr>
        <w:pStyle w:val="Compact"/>
        <w:numPr>
          <w:ilvl w:val="0"/>
          <w:numId w:val="1023"/>
        </w:numPr>
      </w:pPr>
      <w:r>
        <w:t xml:space="preserve">Sin interacción.</w:t>
      </w:r>
    </w:p>
    <w:p>
      <w:pPr>
        <w:pStyle w:val="Compact"/>
        <w:numPr>
          <w:ilvl w:val="0"/>
          <w:numId w:val="1023"/>
        </w:numPr>
      </w:pPr>
      <w:r>
        <w:t xml:space="preserve">Rechazar todo.</w:t>
      </w:r>
    </w:p>
    <w:p>
      <w:pPr>
        <w:pStyle w:val="Compact"/>
        <w:numPr>
          <w:ilvl w:val="0"/>
          <w:numId w:val="1023"/>
        </w:numPr>
      </w:pPr>
      <w:r>
        <w:t xml:space="preserve">Aceptar sólo elementos necesarios.</w:t>
      </w:r>
    </w:p>
    <w:p>
      <w:pPr>
        <w:pStyle w:val="Compact"/>
        <w:numPr>
          <w:ilvl w:val="0"/>
          <w:numId w:val="1023"/>
        </w:numPr>
      </w:pPr>
      <w:r>
        <w:t xml:space="preserve">Aceptar analítica.</w:t>
      </w:r>
    </w:p>
    <w:p>
      <w:pPr>
        <w:pStyle w:val="Compact"/>
        <w:numPr>
          <w:ilvl w:val="0"/>
          <w:numId w:val="1023"/>
        </w:numPr>
      </w:pPr>
      <w:r>
        <w:t xml:space="preserve">Aceptar marketing.</w:t>
      </w:r>
    </w:p>
    <w:p>
      <w:pPr>
        <w:pStyle w:val="Compact"/>
        <w:numPr>
          <w:ilvl w:val="0"/>
          <w:numId w:val="1023"/>
        </w:numPr>
      </w:pPr>
      <w:r>
        <w:t xml:space="preserve">Aceptar todo.</w:t>
      </w:r>
    </w:p>
    <w:p>
      <w:pPr>
        <w:pStyle w:val="Compact"/>
        <w:numPr>
          <w:ilvl w:val="0"/>
          <w:numId w:val="1023"/>
        </w:numPr>
      </w:pPr>
      <w:r>
        <w:t xml:space="preserve">Configuración personalizada.</w:t>
      </w:r>
    </w:p>
    <w:p>
      <w:pPr>
        <w:pStyle w:val="Compact"/>
        <w:numPr>
          <w:ilvl w:val="0"/>
          <w:numId w:val="1023"/>
        </w:numPr>
      </w:pPr>
      <w:r>
        <w:t xml:space="preserve">Retirar o revocar el consentimiento.</w:t>
      </w:r>
    </w:p>
    <w:p>
      <w:pPr>
        <w:pStyle w:val="Compact"/>
        <w:numPr>
          <w:ilvl w:val="0"/>
          <w:numId w:val="1023"/>
        </w:numPr>
      </w:pPr>
      <w:r>
        <w:t xml:space="preserve">Volver a visitar el sitio después de la elección.</w:t>
      </w:r>
    </w:p>
    <w:p>
      <w:pPr>
        <w:pStyle w:val="FirstParagraph"/>
      </w:pPr>
      <w:r>
        <w:t xml:space="preserve">Cada sesión deberá ejecutarse en un contexto de navegador aislado.</w:t>
      </w:r>
    </w:p>
    <w:bookmarkEnd w:id="42"/>
    <w:bookmarkStart w:id="43" w:name="rf-207.-comparación-entre-estados"/>
    <w:p>
      <w:pPr>
        <w:pStyle w:val="Heading3"/>
      </w:pPr>
      <w:r>
        <w:t xml:space="preserve">RF-207. Comparación entre estados</w:t>
      </w:r>
    </w:p>
    <w:p>
      <w:pPr>
        <w:pStyle w:val="FirstParagraph"/>
      </w:pPr>
      <w:r>
        <w:t xml:space="preserve">El sistema deberá comparar:</w:t>
      </w:r>
    </w:p>
    <w:p>
      <w:pPr>
        <w:pStyle w:val="Compact"/>
        <w:numPr>
          <w:ilvl w:val="0"/>
          <w:numId w:val="1024"/>
        </w:numPr>
      </w:pPr>
      <w:r>
        <w:t xml:space="preserve">Solicitudes de red.</w:t>
      </w:r>
    </w:p>
    <w:p>
      <w:pPr>
        <w:pStyle w:val="Compact"/>
        <w:numPr>
          <w:ilvl w:val="0"/>
          <w:numId w:val="1024"/>
        </w:numPr>
      </w:pPr>
      <w:r>
        <w:t xml:space="preserve">Cookies.</w:t>
      </w:r>
    </w:p>
    <w:p>
      <w:pPr>
        <w:pStyle w:val="Compact"/>
        <w:numPr>
          <w:ilvl w:val="0"/>
          <w:numId w:val="1024"/>
        </w:numPr>
      </w:pPr>
      <w:r>
        <w:t xml:space="preserve">Storage.</w:t>
      </w:r>
    </w:p>
    <w:p>
      <w:pPr>
        <w:pStyle w:val="Compact"/>
        <w:numPr>
          <w:ilvl w:val="0"/>
          <w:numId w:val="1024"/>
        </w:numPr>
      </w:pPr>
      <w:r>
        <w:t xml:space="preserve">Scripts ejecutados.</w:t>
      </w:r>
    </w:p>
    <w:p>
      <w:pPr>
        <w:pStyle w:val="Compact"/>
        <w:numPr>
          <w:ilvl w:val="0"/>
          <w:numId w:val="1024"/>
        </w:numPr>
      </w:pPr>
      <w:r>
        <w:t xml:space="preserve">Píxeles.</w:t>
      </w:r>
    </w:p>
    <w:p>
      <w:pPr>
        <w:pStyle w:val="Compact"/>
        <w:numPr>
          <w:ilvl w:val="0"/>
          <w:numId w:val="1024"/>
        </w:numPr>
      </w:pPr>
      <w:r>
        <w:t xml:space="preserve">Dominios externos.</w:t>
      </w:r>
    </w:p>
    <w:p>
      <w:pPr>
        <w:pStyle w:val="Compact"/>
        <w:numPr>
          <w:ilvl w:val="0"/>
          <w:numId w:val="1024"/>
        </w:numPr>
      </w:pPr>
      <w:r>
        <w:t xml:space="preserve">Identificadores creados.</w:t>
      </w:r>
    </w:p>
    <w:p>
      <w:pPr>
        <w:pStyle w:val="Compact"/>
        <w:numPr>
          <w:ilvl w:val="0"/>
          <w:numId w:val="1024"/>
        </w:numPr>
      </w:pPr>
      <w:r>
        <w:t xml:space="preserve">Datos transmitidos.</w:t>
      </w:r>
    </w:p>
    <w:p>
      <w:pPr>
        <w:pStyle w:val="Compact"/>
        <w:numPr>
          <w:ilvl w:val="0"/>
          <w:numId w:val="1024"/>
        </w:numPr>
      </w:pPr>
      <w:r>
        <w:t xml:space="preserve">Diferencias posteriores a la revocación.</w:t>
      </w:r>
    </w:p>
    <w:p>
      <w:pPr>
        <w:pStyle w:val="FirstParagraph"/>
      </w:pPr>
      <w:r>
        <w:t xml:space="preserve">Hallazgos posibles:</w:t>
      </w:r>
    </w:p>
    <w:p>
      <w:pPr>
        <w:pStyle w:val="Compact"/>
        <w:numPr>
          <w:ilvl w:val="0"/>
          <w:numId w:val="1025"/>
        </w:numPr>
      </w:pPr>
      <w:r>
        <w:t xml:space="preserve">Transmisión antes de cualquier elección.</w:t>
      </w:r>
    </w:p>
    <w:p>
      <w:pPr>
        <w:pStyle w:val="Compact"/>
        <w:numPr>
          <w:ilvl w:val="0"/>
          <w:numId w:val="1025"/>
        </w:numPr>
      </w:pPr>
      <w:r>
        <w:t xml:space="preserve">Cookie no esencial creada antes de la aceptación.</w:t>
      </w:r>
    </w:p>
    <w:p>
      <w:pPr>
        <w:pStyle w:val="Compact"/>
        <w:numPr>
          <w:ilvl w:val="0"/>
          <w:numId w:val="1025"/>
        </w:numPr>
      </w:pPr>
      <w:r>
        <w:t xml:space="preserve">Tráfico de marketing después de rechazar.</w:t>
      </w:r>
    </w:p>
    <w:p>
      <w:pPr>
        <w:pStyle w:val="Compact"/>
        <w:numPr>
          <w:ilvl w:val="0"/>
          <w:numId w:val="1025"/>
        </w:numPr>
      </w:pPr>
      <w:r>
        <w:t xml:space="preserve">Rechazo que no modifica el comportamiento.</w:t>
      </w:r>
    </w:p>
    <w:p>
      <w:pPr>
        <w:pStyle w:val="Compact"/>
        <w:numPr>
          <w:ilvl w:val="0"/>
          <w:numId w:val="1025"/>
        </w:numPr>
      </w:pPr>
      <w:r>
        <w:t xml:space="preserve">Revocación que no elimina o deshabilita el identificador.</w:t>
      </w:r>
    </w:p>
    <w:p>
      <w:pPr>
        <w:pStyle w:val="Compact"/>
        <w:numPr>
          <w:ilvl w:val="0"/>
          <w:numId w:val="1025"/>
        </w:numPr>
      </w:pPr>
      <w:r>
        <w:t xml:space="preserve">Categorías activadas distintas de las seleccionadas.</w:t>
      </w:r>
    </w:p>
    <w:p>
      <w:pPr>
        <w:pStyle w:val="Compact"/>
        <w:numPr>
          <w:ilvl w:val="0"/>
          <w:numId w:val="1025"/>
        </w:numPr>
      </w:pPr>
      <w:r>
        <w:t xml:space="preserve">Consentimiento recordado durante un período no informado.</w:t>
      </w:r>
    </w:p>
    <w:bookmarkEnd w:id="43"/>
    <w:bookmarkStart w:id="44" w:name="rf-208.-captura-de-evidencia-visual"/>
    <w:p>
      <w:pPr>
        <w:pStyle w:val="Heading3"/>
      </w:pPr>
      <w:r>
        <w:t xml:space="preserve">RF-208. Captura de evidencia visual</w:t>
      </w:r>
    </w:p>
    <w:p>
      <w:pPr>
        <w:pStyle w:val="FirstParagraph"/>
      </w:pPr>
      <w:r>
        <w:t xml:space="preserve">El sistema deberá generar:</w:t>
      </w:r>
    </w:p>
    <w:p>
      <w:pPr>
        <w:pStyle w:val="Compact"/>
        <w:numPr>
          <w:ilvl w:val="0"/>
          <w:numId w:val="1026"/>
        </w:numPr>
      </w:pPr>
      <w:r>
        <w:t xml:space="preserve">Captura de pantalla inicial.</w:t>
      </w:r>
    </w:p>
    <w:p>
      <w:pPr>
        <w:pStyle w:val="Compact"/>
        <w:numPr>
          <w:ilvl w:val="0"/>
          <w:numId w:val="1026"/>
        </w:numPr>
      </w:pPr>
      <w:r>
        <w:t xml:space="preserve">Captura del banner.</w:t>
      </w:r>
    </w:p>
    <w:p>
      <w:pPr>
        <w:pStyle w:val="Compact"/>
        <w:numPr>
          <w:ilvl w:val="0"/>
          <w:numId w:val="1026"/>
        </w:numPr>
      </w:pPr>
      <w:r>
        <w:t xml:space="preserve">Captura de opciones.</w:t>
      </w:r>
    </w:p>
    <w:p>
      <w:pPr>
        <w:pStyle w:val="Compact"/>
        <w:numPr>
          <w:ilvl w:val="0"/>
          <w:numId w:val="1026"/>
        </w:numPr>
      </w:pPr>
      <w:r>
        <w:t xml:space="preserve">Captura de textos legales.</w:t>
      </w:r>
    </w:p>
    <w:p>
      <w:pPr>
        <w:pStyle w:val="Compact"/>
        <w:numPr>
          <w:ilvl w:val="0"/>
          <w:numId w:val="1026"/>
        </w:numPr>
      </w:pPr>
      <w:r>
        <w:t xml:space="preserve">Captura antes de enviar un formulario.</w:t>
      </w:r>
    </w:p>
    <w:p>
      <w:pPr>
        <w:pStyle w:val="Compact"/>
        <w:numPr>
          <w:ilvl w:val="0"/>
          <w:numId w:val="1026"/>
        </w:numPr>
      </w:pPr>
      <w:r>
        <w:t xml:space="preserve">Captura de confirmación.</w:t>
      </w:r>
    </w:p>
    <w:p>
      <w:pPr>
        <w:pStyle w:val="Compact"/>
        <w:numPr>
          <w:ilvl w:val="0"/>
          <w:numId w:val="1026"/>
        </w:numPr>
      </w:pPr>
      <w:r>
        <w:t xml:space="preserve">Video opcional de la navegación.</w:t>
      </w:r>
    </w:p>
    <w:p>
      <w:pPr>
        <w:pStyle w:val="Compact"/>
        <w:numPr>
          <w:ilvl w:val="0"/>
          <w:numId w:val="1026"/>
        </w:numPr>
      </w:pPr>
      <w:r>
        <w:t xml:space="preserve">Snapshot del DOM.</w:t>
      </w:r>
    </w:p>
    <w:p>
      <w:pPr>
        <w:pStyle w:val="Compact"/>
        <w:numPr>
          <w:ilvl w:val="0"/>
          <w:numId w:val="1026"/>
        </w:numPr>
      </w:pPr>
      <w:r>
        <w:t xml:space="preserve">Hash de integridad de cada evidencia.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ase-3-evaluación-autenticada"/>
    <w:p>
      <w:pPr>
        <w:pStyle w:val="Heading2"/>
      </w:pPr>
      <w:r>
        <w:t xml:space="preserve">Fase 3 — Evaluación autenticada</w:t>
      </w:r>
    </w:p>
    <w:p>
      <w:pPr>
        <w:pStyle w:val="FirstParagraph"/>
      </w:pPr>
      <w:r>
        <w:t xml:space="preserve">Esta fase estará dirigida a extranets, intranets, portales de clientes y funcionalidades privadas.</w:t>
      </w:r>
    </w:p>
    <w:bookmarkStart w:id="46" w:name="rf-301.-gestión-segura-de-credenciales"/>
    <w:p>
      <w:pPr>
        <w:pStyle w:val="Heading3"/>
      </w:pPr>
      <w:r>
        <w:t xml:space="preserve">RF-301. Gestión segura de credenciales</w:t>
      </w:r>
    </w:p>
    <w:p>
      <w:pPr>
        <w:pStyle w:val="FirstParagraph"/>
      </w:pPr>
      <w:r>
        <w:t xml:space="preserve">Las credenciales deberán:</w:t>
      </w:r>
    </w:p>
    <w:p>
      <w:pPr>
        <w:pStyle w:val="Compact"/>
        <w:numPr>
          <w:ilvl w:val="0"/>
          <w:numId w:val="1027"/>
        </w:numPr>
      </w:pPr>
      <w:r>
        <w:t xml:space="preserve">Ser proporcionadas por el responsable del sitio.</w:t>
      </w:r>
    </w:p>
    <w:p>
      <w:pPr>
        <w:pStyle w:val="Compact"/>
        <w:numPr>
          <w:ilvl w:val="0"/>
          <w:numId w:val="1027"/>
        </w:numPr>
      </w:pPr>
      <w:r>
        <w:t xml:space="preserve">Corresponder preferentemente a usuarios de prueba.</w:t>
      </w:r>
    </w:p>
    <w:p>
      <w:pPr>
        <w:pStyle w:val="Compact"/>
        <w:numPr>
          <w:ilvl w:val="0"/>
          <w:numId w:val="1027"/>
        </w:numPr>
      </w:pPr>
      <w:r>
        <w:t xml:space="preserve">Almacenarse en una bóveda de secretos.</w:t>
      </w:r>
    </w:p>
    <w:p>
      <w:pPr>
        <w:pStyle w:val="Compact"/>
        <w:numPr>
          <w:ilvl w:val="0"/>
          <w:numId w:val="1027"/>
        </w:numPr>
      </w:pPr>
      <w:r>
        <w:t xml:space="preserve">No mostrarse en reportes.</w:t>
      </w:r>
    </w:p>
    <w:p>
      <w:pPr>
        <w:pStyle w:val="Compact"/>
        <w:numPr>
          <w:ilvl w:val="0"/>
          <w:numId w:val="1027"/>
        </w:numPr>
      </w:pPr>
      <w:r>
        <w:t xml:space="preserve">Tener vigencia limitada.</w:t>
      </w:r>
    </w:p>
    <w:p>
      <w:pPr>
        <w:pStyle w:val="Compact"/>
        <w:numPr>
          <w:ilvl w:val="0"/>
          <w:numId w:val="1027"/>
        </w:numPr>
      </w:pPr>
      <w:r>
        <w:t xml:space="preserve">Ser eliminadas al finalizar el trabajo.</w:t>
      </w:r>
    </w:p>
    <w:p>
      <w:pPr>
        <w:pStyle w:val="Compact"/>
        <w:numPr>
          <w:ilvl w:val="0"/>
          <w:numId w:val="1027"/>
        </w:numPr>
      </w:pPr>
      <w:r>
        <w:t xml:space="preserve">No quedar incorporadas en videos ni capturas.</w:t>
      </w:r>
    </w:p>
    <w:bookmarkEnd w:id="46"/>
    <w:bookmarkStart w:id="47" w:name="rf-302.-evaluación-por-roles"/>
    <w:p>
      <w:pPr>
        <w:pStyle w:val="Heading3"/>
      </w:pPr>
      <w:r>
        <w:t xml:space="preserve">RF-302. Evaluación por roles</w:t>
      </w:r>
    </w:p>
    <w:p>
      <w:pPr>
        <w:pStyle w:val="FirstParagraph"/>
      </w:pPr>
      <w:r>
        <w:t xml:space="preserve">El sistema deberá permitir evaluar distintos perfiles:</w:t>
      </w:r>
    </w:p>
    <w:p>
      <w:pPr>
        <w:pStyle w:val="Compact"/>
        <w:numPr>
          <w:ilvl w:val="0"/>
          <w:numId w:val="1028"/>
        </w:numPr>
      </w:pPr>
      <w:r>
        <w:t xml:space="preserve">Usuario anónimo.</w:t>
      </w:r>
    </w:p>
    <w:p>
      <w:pPr>
        <w:pStyle w:val="Compact"/>
        <w:numPr>
          <w:ilvl w:val="0"/>
          <w:numId w:val="1028"/>
        </w:numPr>
      </w:pPr>
      <w:r>
        <w:t xml:space="preserve">Cliente.</w:t>
      </w:r>
    </w:p>
    <w:p>
      <w:pPr>
        <w:pStyle w:val="Compact"/>
        <w:numPr>
          <w:ilvl w:val="0"/>
          <w:numId w:val="1028"/>
        </w:numPr>
      </w:pPr>
      <w:r>
        <w:t xml:space="preserve">Proveedor.</w:t>
      </w:r>
    </w:p>
    <w:p>
      <w:pPr>
        <w:pStyle w:val="Compact"/>
        <w:numPr>
          <w:ilvl w:val="0"/>
          <w:numId w:val="1028"/>
        </w:numPr>
      </w:pPr>
      <w:r>
        <w:t xml:space="preserve">Trabajador.</w:t>
      </w:r>
    </w:p>
    <w:p>
      <w:pPr>
        <w:pStyle w:val="Compact"/>
        <w:numPr>
          <w:ilvl w:val="0"/>
          <w:numId w:val="1028"/>
        </w:numPr>
      </w:pPr>
      <w:r>
        <w:t xml:space="preserve">Operador.</w:t>
      </w:r>
    </w:p>
    <w:p>
      <w:pPr>
        <w:pStyle w:val="Compact"/>
        <w:numPr>
          <w:ilvl w:val="0"/>
          <w:numId w:val="1028"/>
        </w:numPr>
      </w:pPr>
      <w:r>
        <w:t xml:space="preserve">Supervisor.</w:t>
      </w:r>
    </w:p>
    <w:p>
      <w:pPr>
        <w:pStyle w:val="Compact"/>
        <w:numPr>
          <w:ilvl w:val="0"/>
          <w:numId w:val="1028"/>
        </w:numPr>
      </w:pPr>
      <w:r>
        <w:t xml:space="preserve">Administrador.</w:t>
      </w:r>
    </w:p>
    <w:p>
      <w:pPr>
        <w:pStyle w:val="Compact"/>
        <w:numPr>
          <w:ilvl w:val="0"/>
          <w:numId w:val="1028"/>
        </w:numPr>
      </w:pPr>
      <w:r>
        <w:t xml:space="preserve">Auditor.</w:t>
      </w:r>
    </w:p>
    <w:p>
      <w:pPr>
        <w:pStyle w:val="Compact"/>
        <w:numPr>
          <w:ilvl w:val="0"/>
          <w:numId w:val="1028"/>
        </w:numPr>
      </w:pPr>
      <w:r>
        <w:t xml:space="preserve">Soporte.</w:t>
      </w:r>
    </w:p>
    <w:p>
      <w:pPr>
        <w:pStyle w:val="FirstParagraph"/>
      </w:pPr>
      <w:r>
        <w:t xml:space="preserve">La finalidad será descubrir si distintas interfaces capturan o muestran categorías diferentes de datos.</w:t>
      </w:r>
    </w:p>
    <w:bookmarkEnd w:id="47"/>
    <w:bookmarkStart w:id="48" w:name="rf-303.-flujos-autenticados"/>
    <w:p>
      <w:pPr>
        <w:pStyle w:val="Heading3"/>
      </w:pPr>
      <w:r>
        <w:t xml:space="preserve">RF-303. Flujos autenticados</w:t>
      </w:r>
    </w:p>
    <w:p>
      <w:pPr>
        <w:pStyle w:val="FirstParagraph"/>
      </w:pPr>
      <w:r>
        <w:t xml:space="preserve">El responsable del sitio deberá poder proporcionar flujos autorizados, por ejemplo:</w:t>
      </w:r>
    </w:p>
    <w:p>
      <w:pPr>
        <w:pStyle w:val="Compact"/>
        <w:numPr>
          <w:ilvl w:val="0"/>
          <w:numId w:val="1029"/>
        </w:numPr>
      </w:pPr>
      <w:r>
        <w:t xml:space="preserve">Registro.</w:t>
      </w:r>
    </w:p>
    <w:p>
      <w:pPr>
        <w:pStyle w:val="Compact"/>
        <w:numPr>
          <w:ilvl w:val="0"/>
          <w:numId w:val="1029"/>
        </w:numPr>
      </w:pPr>
      <w:r>
        <w:t xml:space="preserve">Inicio de sesión.</w:t>
      </w:r>
    </w:p>
    <w:p>
      <w:pPr>
        <w:pStyle w:val="Compact"/>
        <w:numPr>
          <w:ilvl w:val="0"/>
          <w:numId w:val="1029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29"/>
        </w:numPr>
      </w:pPr>
      <w:r>
        <w:t xml:space="preserve">Actualización de perfil.</w:t>
      </w:r>
    </w:p>
    <w:p>
      <w:pPr>
        <w:pStyle w:val="Compact"/>
        <w:numPr>
          <w:ilvl w:val="0"/>
          <w:numId w:val="1029"/>
        </w:numPr>
      </w:pPr>
      <w:r>
        <w:t xml:space="preserve">Carga de documentos.</w:t>
      </w:r>
    </w:p>
    <w:p>
      <w:pPr>
        <w:pStyle w:val="Compact"/>
        <w:numPr>
          <w:ilvl w:val="0"/>
          <w:numId w:val="1029"/>
        </w:numPr>
      </w:pPr>
      <w:r>
        <w:t xml:space="preserve">Solicitud de servicio.</w:t>
      </w:r>
    </w:p>
    <w:p>
      <w:pPr>
        <w:pStyle w:val="Compact"/>
        <w:numPr>
          <w:ilvl w:val="0"/>
          <w:numId w:val="1029"/>
        </w:numPr>
      </w:pPr>
      <w:r>
        <w:t xml:space="preserve">Creación de ticket.</w:t>
      </w:r>
    </w:p>
    <w:p>
      <w:pPr>
        <w:pStyle w:val="Compact"/>
        <w:numPr>
          <w:ilvl w:val="0"/>
          <w:numId w:val="1029"/>
        </w:numPr>
      </w:pPr>
      <w:r>
        <w:t xml:space="preserve">Compra o reserva en ambiente de prueba.</w:t>
      </w:r>
    </w:p>
    <w:p>
      <w:pPr>
        <w:pStyle w:val="Compact"/>
        <w:numPr>
          <w:ilvl w:val="0"/>
          <w:numId w:val="1029"/>
        </w:numPr>
      </w:pPr>
      <w:r>
        <w:t xml:space="preserve">Gestión de datos laborales.</w:t>
      </w:r>
    </w:p>
    <w:p>
      <w:pPr>
        <w:pStyle w:val="Compact"/>
        <w:numPr>
          <w:ilvl w:val="0"/>
          <w:numId w:val="1029"/>
        </w:numPr>
      </w:pPr>
      <w:r>
        <w:t xml:space="preserve">Ejercicio de derechos.</w:t>
      </w:r>
    </w:p>
    <w:p>
      <w:pPr>
        <w:pStyle w:val="FirstParagraph"/>
      </w:pPr>
      <w:r>
        <w:t xml:space="preserve">Cada flujo deberá indicar qué acciones pueden o no completarse.</w:t>
      </w:r>
    </w:p>
    <w:bookmarkEnd w:id="48"/>
    <w:bookmarkStart w:id="49" w:name="X1d96d2a49c3ba11e3172130a110e70ada9e5c58"/>
    <w:p>
      <w:pPr>
        <w:pStyle w:val="Heading3"/>
      </w:pPr>
      <w:r>
        <w:t xml:space="preserve">RF-304. Verificación de segregación de captura</w:t>
      </w:r>
    </w:p>
    <w:p>
      <w:pPr>
        <w:pStyle w:val="FirstParagraph"/>
      </w:pPr>
      <w:r>
        <w:t xml:space="preserve">Sin transformarse necesariamente en una prueba de penetración, el sistema deberá identificar:</w:t>
      </w:r>
    </w:p>
    <w:p>
      <w:pPr>
        <w:pStyle w:val="Compact"/>
        <w:numPr>
          <w:ilvl w:val="0"/>
          <w:numId w:val="1030"/>
        </w:numPr>
      </w:pPr>
      <w:r>
        <w:t xml:space="preserve">Datos solicitados a cada rol.</w:t>
      </w:r>
    </w:p>
    <w:p>
      <w:pPr>
        <w:pStyle w:val="Compact"/>
        <w:numPr>
          <w:ilvl w:val="0"/>
          <w:numId w:val="1030"/>
        </w:numPr>
      </w:pPr>
      <w:r>
        <w:t xml:space="preserve">Endpoints utilizados por cada rol.</w:t>
      </w:r>
    </w:p>
    <w:p>
      <w:pPr>
        <w:pStyle w:val="Compact"/>
        <w:numPr>
          <w:ilvl w:val="0"/>
          <w:numId w:val="1030"/>
        </w:numPr>
      </w:pPr>
      <w:r>
        <w:t xml:space="preserve">Datos incorporados en URLs.</w:t>
      </w:r>
    </w:p>
    <w:p>
      <w:pPr>
        <w:pStyle w:val="Compact"/>
        <w:numPr>
          <w:ilvl w:val="0"/>
          <w:numId w:val="1030"/>
        </w:numPr>
      </w:pPr>
      <w:r>
        <w:t xml:space="preserve">Archivos cargados.</w:t>
      </w:r>
    </w:p>
    <w:p>
      <w:pPr>
        <w:pStyle w:val="Compact"/>
        <w:numPr>
          <w:ilvl w:val="0"/>
          <w:numId w:val="1030"/>
        </w:numPr>
      </w:pPr>
      <w:r>
        <w:t xml:space="preserve">Uso de identificadores de otros usuarios.</w:t>
      </w:r>
    </w:p>
    <w:p>
      <w:pPr>
        <w:pStyle w:val="Compact"/>
        <w:numPr>
          <w:ilvl w:val="0"/>
          <w:numId w:val="1030"/>
        </w:numPr>
      </w:pPr>
      <w:r>
        <w:t xml:space="preserve">Exposición accidental en interfaces compartidas.</w:t>
      </w:r>
    </w:p>
    <w:p>
      <w:pPr>
        <w:pStyle w:val="Compact"/>
        <w:numPr>
          <w:ilvl w:val="0"/>
          <w:numId w:val="1030"/>
        </w:numPr>
      </w:pPr>
      <w:r>
        <w:t xml:space="preserve">Datos copiados al portapapeles.</w:t>
      </w:r>
    </w:p>
    <w:p>
      <w:pPr>
        <w:pStyle w:val="Compact"/>
        <w:numPr>
          <w:ilvl w:val="0"/>
          <w:numId w:val="1030"/>
        </w:numPr>
      </w:pPr>
      <w:r>
        <w:t xml:space="preserve">Descargas generadas.</w:t>
      </w:r>
    </w:p>
    <w:p>
      <w:pPr>
        <w:pStyle w:val="Compact"/>
        <w:numPr>
          <w:ilvl w:val="0"/>
          <w:numId w:val="1030"/>
        </w:numPr>
      </w:pPr>
      <w:r>
        <w:t xml:space="preserve">Metadatos presentes en documentos.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c5e77181c020bc24fc27e266617075b82b60b75"/>
    <w:p>
      <w:pPr>
        <w:pStyle w:val="Heading2"/>
      </w:pPr>
      <w:r>
        <w:t xml:space="preserve">Fase 4 — Análisis autorizado de código fuente</w:t>
      </w:r>
    </w:p>
    <w:p>
      <w:pPr>
        <w:pStyle w:val="FirstParagraph"/>
      </w:pPr>
      <w:r>
        <w:t xml:space="preserve">Esta fase deberá funcionar con acceso de sólo lectura.</w:t>
      </w:r>
    </w:p>
    <w:bookmarkStart w:id="51" w:name="rf-401.-fuentes-soportadas"/>
    <w:p>
      <w:pPr>
        <w:pStyle w:val="Heading3"/>
      </w:pPr>
      <w:r>
        <w:t xml:space="preserve">RF-401. Fuentes soportadas</w:t>
      </w:r>
    </w:p>
    <w:p>
      <w:pPr>
        <w:pStyle w:val="FirstParagraph"/>
      </w:pPr>
      <w:r>
        <w:t xml:space="preserve">El sistema deberá poder recibir:</w:t>
      </w:r>
    </w:p>
    <w:p>
      <w:pPr>
        <w:pStyle w:val="Compact"/>
        <w:numPr>
          <w:ilvl w:val="0"/>
          <w:numId w:val="1031"/>
        </w:numPr>
      </w:pPr>
      <w:r>
        <w:t xml:space="preserve">Repositorio Git.</w:t>
      </w:r>
    </w:p>
    <w:p>
      <w:pPr>
        <w:pStyle w:val="Compact"/>
        <w:numPr>
          <w:ilvl w:val="0"/>
          <w:numId w:val="1031"/>
        </w:numPr>
      </w:pPr>
      <w:r>
        <w:t xml:space="preserve">Archivo comprimido.</w:t>
      </w:r>
    </w:p>
    <w:p>
      <w:pPr>
        <w:pStyle w:val="Compact"/>
        <w:numPr>
          <w:ilvl w:val="0"/>
          <w:numId w:val="1031"/>
        </w:numPr>
      </w:pPr>
      <w:r>
        <w:t xml:space="preserve">Integración con GitHub.</w:t>
      </w:r>
    </w:p>
    <w:p>
      <w:pPr>
        <w:pStyle w:val="Compact"/>
        <w:numPr>
          <w:ilvl w:val="0"/>
          <w:numId w:val="1031"/>
        </w:numPr>
      </w:pPr>
      <w:r>
        <w:t xml:space="preserve">Integración con GitLab.</w:t>
      </w:r>
    </w:p>
    <w:p>
      <w:pPr>
        <w:pStyle w:val="Compact"/>
        <w:numPr>
          <w:ilvl w:val="0"/>
          <w:numId w:val="1031"/>
        </w:numPr>
      </w:pPr>
      <w:r>
        <w:t xml:space="preserve">Integración con Azure DevOps.</w:t>
      </w:r>
    </w:p>
    <w:p>
      <w:pPr>
        <w:pStyle w:val="Compact"/>
        <w:numPr>
          <w:ilvl w:val="0"/>
          <w:numId w:val="1031"/>
        </w:numPr>
      </w:pPr>
      <w:r>
        <w:t xml:space="preserve">Imagen de contenedor.</w:t>
      </w:r>
    </w:p>
    <w:p>
      <w:pPr>
        <w:pStyle w:val="Compact"/>
        <w:numPr>
          <w:ilvl w:val="0"/>
          <w:numId w:val="1031"/>
        </w:numPr>
      </w:pPr>
      <w:r>
        <w:t xml:space="preserve">Artefacto de compilación.</w:t>
      </w:r>
    </w:p>
    <w:p>
      <w:pPr>
        <w:pStyle w:val="Compact"/>
        <w:numPr>
          <w:ilvl w:val="0"/>
          <w:numId w:val="1031"/>
        </w:numPr>
      </w:pPr>
      <w:r>
        <w:t xml:space="preserve">Código frontend.</w:t>
      </w:r>
    </w:p>
    <w:p>
      <w:pPr>
        <w:pStyle w:val="Compact"/>
        <w:numPr>
          <w:ilvl w:val="0"/>
          <w:numId w:val="1031"/>
        </w:numPr>
      </w:pPr>
      <w:r>
        <w:t xml:space="preserve">Código backend.</w:t>
      </w:r>
    </w:p>
    <w:p>
      <w:pPr>
        <w:pStyle w:val="Compact"/>
        <w:numPr>
          <w:ilvl w:val="0"/>
          <w:numId w:val="1031"/>
        </w:numPr>
      </w:pPr>
      <w:r>
        <w:t xml:space="preserve">Infraestructura como código.</w:t>
      </w:r>
    </w:p>
    <w:p>
      <w:pPr>
        <w:pStyle w:val="Compact"/>
        <w:numPr>
          <w:ilvl w:val="0"/>
          <w:numId w:val="1031"/>
        </w:numPr>
      </w:pPr>
      <w:r>
        <w:t xml:space="preserve">Especificaciones OpenAPI.</w:t>
      </w:r>
    </w:p>
    <w:p>
      <w:pPr>
        <w:pStyle w:val="Compact"/>
        <w:numPr>
          <w:ilvl w:val="0"/>
          <w:numId w:val="1031"/>
        </w:numPr>
      </w:pPr>
      <w:r>
        <w:t xml:space="preserve">Esquemas GraphQL.</w:t>
      </w:r>
    </w:p>
    <w:p>
      <w:pPr>
        <w:pStyle w:val="Compact"/>
        <w:numPr>
          <w:ilvl w:val="0"/>
          <w:numId w:val="1031"/>
        </w:numPr>
      </w:pPr>
      <w:r>
        <w:t xml:space="preserve">Scripts de base de datos.</w:t>
      </w:r>
    </w:p>
    <w:p>
      <w:pPr>
        <w:pStyle w:val="Compact"/>
        <w:numPr>
          <w:ilvl w:val="0"/>
          <w:numId w:val="1031"/>
        </w:numPr>
      </w:pPr>
      <w:r>
        <w:t xml:space="preserve">Configuraciones de Tag Manager.</w:t>
      </w:r>
    </w:p>
    <w:p>
      <w:pPr>
        <w:pStyle w:val="Compact"/>
        <w:numPr>
          <w:ilvl w:val="0"/>
          <w:numId w:val="1031"/>
        </w:numPr>
      </w:pPr>
      <w:r>
        <w:t xml:space="preserve">Definiciones de pipelines.</w:t>
      </w:r>
    </w:p>
    <w:bookmarkEnd w:id="51"/>
    <w:bookmarkStart w:id="52" w:name="rf-402.-análisis-frontend"/>
    <w:p>
      <w:pPr>
        <w:pStyle w:val="Heading3"/>
      </w:pPr>
      <w:r>
        <w:t xml:space="preserve">RF-402. Análisis frontend</w:t>
      </w:r>
    </w:p>
    <w:p>
      <w:pPr>
        <w:pStyle w:val="FirstParagraph"/>
      </w:pPr>
      <w:r>
        <w:t xml:space="preserve">El análisis deberá buscar:</w:t>
      </w:r>
    </w:p>
    <w:p>
      <w:pPr>
        <w:pStyle w:val="Compact"/>
        <w:numPr>
          <w:ilvl w:val="0"/>
          <w:numId w:val="1032"/>
        </w:numPr>
      </w:pPr>
      <w:r>
        <w:t xml:space="preserve">Formularios.</w:t>
      </w:r>
    </w:p>
    <w:p>
      <w:pPr>
        <w:pStyle w:val="Compact"/>
        <w:numPr>
          <w:ilvl w:val="0"/>
          <w:numId w:val="1032"/>
        </w:numPr>
      </w:pPr>
      <w:r>
        <w:t xml:space="preserve">Modelos de datos.</w:t>
      </w:r>
    </w:p>
    <w:p>
      <w:pPr>
        <w:pStyle w:val="Compact"/>
        <w:numPr>
          <w:ilvl w:val="0"/>
          <w:numId w:val="1032"/>
        </w:numPr>
      </w:pPr>
      <w:r>
        <w:t xml:space="preserve">Validadores.</w:t>
      </w:r>
    </w:p>
    <w:p>
      <w:pPr>
        <w:pStyle w:val="Compact"/>
        <w:numPr>
          <w:ilvl w:val="0"/>
          <w:numId w:val="1032"/>
        </w:numPr>
      </w:pPr>
      <w:r>
        <w:t xml:space="preserve">Objetos de estado.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fetch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XMLHttpRequest.</w:t>
      </w:r>
    </w:p>
    <w:p>
      <w:pPr>
        <w:pStyle w:val="Compact"/>
        <w:numPr>
          <w:ilvl w:val="0"/>
          <w:numId w:val="1032"/>
        </w:numPr>
      </w:pPr>
      <w:r>
        <w:t xml:space="preserve">Clientes GraphQL.</w:t>
      </w:r>
    </w:p>
    <w:p>
      <w:pPr>
        <w:pStyle w:val="Compact"/>
        <w:numPr>
          <w:ilvl w:val="0"/>
          <w:numId w:val="1032"/>
        </w:numPr>
      </w:pPr>
      <w:r>
        <w:t xml:space="preserve">SDK de analítica.</w:t>
      </w:r>
    </w:p>
    <w:p>
      <w:pPr>
        <w:pStyle w:val="Compact"/>
        <w:numPr>
          <w:ilvl w:val="0"/>
          <w:numId w:val="1032"/>
        </w:numPr>
      </w:pPr>
      <w:r>
        <w:t xml:space="preserve">SDK publicitarios.</w:t>
      </w:r>
    </w:p>
    <w:p>
      <w:pPr>
        <w:pStyle w:val="Compact"/>
        <w:numPr>
          <w:ilvl w:val="0"/>
          <w:numId w:val="1032"/>
        </w:numPr>
      </w:pPr>
      <w:r>
        <w:t xml:space="preserve">Cookies.</w:t>
      </w:r>
    </w:p>
    <w:p>
      <w:pPr>
        <w:pStyle w:val="Compact"/>
        <w:numPr>
          <w:ilvl w:val="0"/>
          <w:numId w:val="1032"/>
        </w:numPr>
      </w:pPr>
      <w:r>
        <w:t xml:space="preserve">Storage.</w:t>
      </w:r>
    </w:p>
    <w:p>
      <w:pPr>
        <w:pStyle w:val="Compact"/>
        <w:numPr>
          <w:ilvl w:val="0"/>
          <w:numId w:val="1032"/>
        </w:numPr>
      </w:pPr>
      <w:r>
        <w:t xml:space="preserve">Parámetros de URL.</w:t>
      </w:r>
    </w:p>
    <w:p>
      <w:pPr>
        <w:pStyle w:val="Compact"/>
        <w:numPr>
          <w:ilvl w:val="0"/>
          <w:numId w:val="1032"/>
        </w:numPr>
      </w:pPr>
      <w:r>
        <w:t xml:space="preserve">Captura del portapapeles.</w:t>
      </w:r>
    </w:p>
    <w:p>
      <w:pPr>
        <w:pStyle w:val="Compact"/>
        <w:numPr>
          <w:ilvl w:val="0"/>
          <w:numId w:val="1032"/>
        </w:numPr>
      </w:pPr>
      <w:r>
        <w:t xml:space="preserve">Geolocalización.</w:t>
      </w:r>
    </w:p>
    <w:p>
      <w:pPr>
        <w:pStyle w:val="Compact"/>
        <w:numPr>
          <w:ilvl w:val="0"/>
          <w:numId w:val="1032"/>
        </w:numPr>
      </w:pPr>
      <w:r>
        <w:t xml:space="preserve">Cámara.</w:t>
      </w:r>
    </w:p>
    <w:p>
      <w:pPr>
        <w:pStyle w:val="Compact"/>
        <w:numPr>
          <w:ilvl w:val="0"/>
          <w:numId w:val="1032"/>
        </w:numPr>
      </w:pPr>
      <w:r>
        <w:t xml:space="preserve">Micrófono.</w:t>
      </w:r>
    </w:p>
    <w:p>
      <w:pPr>
        <w:pStyle w:val="Compact"/>
        <w:numPr>
          <w:ilvl w:val="0"/>
          <w:numId w:val="1032"/>
        </w:numPr>
      </w:pPr>
      <w:r>
        <w:t xml:space="preserve">Biometría.</w:t>
      </w:r>
    </w:p>
    <w:p>
      <w:pPr>
        <w:pStyle w:val="Compact"/>
        <w:numPr>
          <w:ilvl w:val="0"/>
          <w:numId w:val="1032"/>
        </w:numPr>
      </w:pPr>
      <w:r>
        <w:t xml:space="preserve">Carga de archivos.</w:t>
      </w:r>
    </w:p>
    <w:p>
      <w:pPr>
        <w:pStyle w:val="Compact"/>
        <w:numPr>
          <w:ilvl w:val="0"/>
          <w:numId w:val="1032"/>
        </w:numPr>
      </w:pPr>
      <w:r>
        <w:t xml:space="preserve">Logs de consola.</w:t>
      </w:r>
    </w:p>
    <w:p>
      <w:pPr>
        <w:pStyle w:val="Compact"/>
        <w:numPr>
          <w:ilvl w:val="0"/>
          <w:numId w:val="1032"/>
        </w:numPr>
      </w:pPr>
      <w:r>
        <w:t xml:space="preserve">Sistemas de monitoreo de errores.</w:t>
      </w:r>
    </w:p>
    <w:p>
      <w:pPr>
        <w:pStyle w:val="Compact"/>
        <w:numPr>
          <w:ilvl w:val="0"/>
          <w:numId w:val="1032"/>
        </w:numPr>
      </w:pPr>
      <w:r>
        <w:t xml:space="preserve">Feature flags.</w:t>
      </w:r>
    </w:p>
    <w:p>
      <w:pPr>
        <w:pStyle w:val="Compact"/>
        <w:numPr>
          <w:ilvl w:val="0"/>
          <w:numId w:val="1032"/>
        </w:numPr>
      </w:pPr>
      <w:r>
        <w:t xml:space="preserve">Source maps.</w:t>
      </w:r>
    </w:p>
    <w:p>
      <w:pPr>
        <w:pStyle w:val="Compact"/>
        <w:numPr>
          <w:ilvl w:val="0"/>
          <w:numId w:val="1032"/>
        </w:numPr>
      </w:pPr>
      <w:r>
        <w:t xml:space="preserve">Textos de consentimiento.</w:t>
      </w:r>
    </w:p>
    <w:p>
      <w:pPr>
        <w:pStyle w:val="Compact"/>
        <w:numPr>
          <w:ilvl w:val="0"/>
          <w:numId w:val="1032"/>
        </w:numPr>
      </w:pPr>
      <w:r>
        <w:t xml:space="preserve">Versiones de políticas.</w:t>
      </w:r>
    </w:p>
    <w:bookmarkEnd w:id="52"/>
    <w:bookmarkStart w:id="53" w:name="rf-403.-análisis-backend"/>
    <w:p>
      <w:pPr>
        <w:pStyle w:val="Heading3"/>
      </w:pPr>
      <w:r>
        <w:t xml:space="preserve">RF-403. Análisis backend</w:t>
      </w:r>
    </w:p>
    <w:p>
      <w:pPr>
        <w:pStyle w:val="FirstParagraph"/>
      </w:pPr>
      <w:r>
        <w:t xml:space="preserve">El sistema deberá identificar:</w:t>
      </w:r>
    </w:p>
    <w:p>
      <w:pPr>
        <w:pStyle w:val="Compact"/>
        <w:numPr>
          <w:ilvl w:val="0"/>
          <w:numId w:val="1033"/>
        </w:numPr>
      </w:pPr>
      <w:r>
        <w:t xml:space="preserve">Rutas y controladores.</w:t>
      </w:r>
    </w:p>
    <w:p>
      <w:pPr>
        <w:pStyle w:val="Compact"/>
        <w:numPr>
          <w:ilvl w:val="0"/>
          <w:numId w:val="1033"/>
        </w:numPr>
      </w:pPr>
      <w:r>
        <w:t xml:space="preserve">DTO.</w:t>
      </w:r>
    </w:p>
    <w:p>
      <w:pPr>
        <w:pStyle w:val="Compact"/>
        <w:numPr>
          <w:ilvl w:val="0"/>
          <w:numId w:val="1033"/>
        </w:numPr>
      </w:pPr>
      <w:r>
        <w:t xml:space="preserve">Modelos.</w:t>
      </w:r>
    </w:p>
    <w:p>
      <w:pPr>
        <w:pStyle w:val="Compact"/>
        <w:numPr>
          <w:ilvl w:val="0"/>
          <w:numId w:val="1033"/>
        </w:numPr>
      </w:pPr>
      <w:r>
        <w:t xml:space="preserve">Entidades ORM.</w:t>
      </w:r>
    </w:p>
    <w:p>
      <w:pPr>
        <w:pStyle w:val="Compact"/>
        <w:numPr>
          <w:ilvl w:val="0"/>
          <w:numId w:val="1033"/>
        </w:numPr>
      </w:pPr>
      <w:r>
        <w:t xml:space="preserve">Validaciones.</w:t>
      </w:r>
    </w:p>
    <w:p>
      <w:pPr>
        <w:pStyle w:val="Compact"/>
        <w:numPr>
          <w:ilvl w:val="0"/>
          <w:numId w:val="1033"/>
        </w:numPr>
      </w:pPr>
      <w:r>
        <w:t xml:space="preserve">Serializadores.</w:t>
      </w:r>
    </w:p>
    <w:p>
      <w:pPr>
        <w:pStyle w:val="Compact"/>
        <w:numPr>
          <w:ilvl w:val="0"/>
          <w:numId w:val="1033"/>
        </w:numPr>
      </w:pPr>
      <w:r>
        <w:t xml:space="preserve">Servicios.</w:t>
      </w:r>
    </w:p>
    <w:p>
      <w:pPr>
        <w:pStyle w:val="Compact"/>
        <w:numPr>
          <w:ilvl w:val="0"/>
          <w:numId w:val="1033"/>
        </w:numPr>
      </w:pPr>
      <w:r>
        <w:t xml:space="preserve">Repositorios.</w:t>
      </w:r>
    </w:p>
    <w:p>
      <w:pPr>
        <w:pStyle w:val="Compact"/>
        <w:numPr>
          <w:ilvl w:val="0"/>
          <w:numId w:val="1033"/>
        </w:numPr>
      </w:pPr>
      <w:r>
        <w:t xml:space="preserve">Consultas SQL.</w:t>
      </w:r>
    </w:p>
    <w:p>
      <w:pPr>
        <w:pStyle w:val="Compact"/>
        <w:numPr>
          <w:ilvl w:val="0"/>
          <w:numId w:val="1033"/>
        </w:numPr>
      </w:pPr>
      <w:r>
        <w:t xml:space="preserve">Eventos.</w:t>
      </w:r>
    </w:p>
    <w:p>
      <w:pPr>
        <w:pStyle w:val="Compact"/>
        <w:numPr>
          <w:ilvl w:val="0"/>
          <w:numId w:val="1033"/>
        </w:numPr>
      </w:pPr>
      <w:r>
        <w:t xml:space="preserve">Colas.</w:t>
      </w:r>
    </w:p>
    <w:p>
      <w:pPr>
        <w:pStyle w:val="Compact"/>
        <w:numPr>
          <w:ilvl w:val="0"/>
          <w:numId w:val="1033"/>
        </w:numPr>
      </w:pPr>
      <w:r>
        <w:t xml:space="preserve">Webhooks.</w:t>
      </w:r>
    </w:p>
    <w:p>
      <w:pPr>
        <w:pStyle w:val="Compact"/>
        <w:numPr>
          <w:ilvl w:val="0"/>
          <w:numId w:val="1033"/>
        </w:numPr>
      </w:pPr>
      <w:r>
        <w:t xml:space="preserve">Logs.</w:t>
      </w:r>
    </w:p>
    <w:p>
      <w:pPr>
        <w:pStyle w:val="Compact"/>
        <w:numPr>
          <w:ilvl w:val="0"/>
          <w:numId w:val="1033"/>
        </w:numPr>
      </w:pPr>
      <w:r>
        <w:t xml:space="preserve">Archivos temporales.</w:t>
      </w:r>
    </w:p>
    <w:p>
      <w:pPr>
        <w:pStyle w:val="Compact"/>
        <w:numPr>
          <w:ilvl w:val="0"/>
          <w:numId w:val="1033"/>
        </w:numPr>
      </w:pPr>
      <w:r>
        <w:t xml:space="preserve">Cachés.</w:t>
      </w:r>
    </w:p>
    <w:p>
      <w:pPr>
        <w:pStyle w:val="Compact"/>
        <w:numPr>
          <w:ilvl w:val="0"/>
          <w:numId w:val="1033"/>
        </w:numPr>
      </w:pPr>
      <w:r>
        <w:t xml:space="preserve">Correos.</w:t>
      </w:r>
    </w:p>
    <w:p>
      <w:pPr>
        <w:pStyle w:val="Compact"/>
        <w:numPr>
          <w:ilvl w:val="0"/>
          <w:numId w:val="1033"/>
        </w:numPr>
      </w:pPr>
      <w:r>
        <w:t xml:space="preserve">Exportaciones.</w:t>
      </w:r>
    </w:p>
    <w:p>
      <w:pPr>
        <w:pStyle w:val="Compact"/>
        <w:numPr>
          <w:ilvl w:val="0"/>
          <w:numId w:val="1033"/>
        </w:numPr>
      </w:pPr>
      <w:r>
        <w:t xml:space="preserve">Integraciones externas.</w:t>
      </w:r>
    </w:p>
    <w:p>
      <w:pPr>
        <w:pStyle w:val="Compact"/>
        <w:numPr>
          <w:ilvl w:val="0"/>
          <w:numId w:val="1033"/>
        </w:numPr>
      </w:pPr>
      <w:r>
        <w:t xml:space="preserve">Herramientas de IA.</w:t>
      </w:r>
    </w:p>
    <w:p>
      <w:pPr>
        <w:pStyle w:val="Compact"/>
        <w:numPr>
          <w:ilvl w:val="0"/>
          <w:numId w:val="1033"/>
        </w:numPr>
      </w:pPr>
      <w:r>
        <w:t xml:space="preserve">Servicios de analítica.</w:t>
      </w:r>
    </w:p>
    <w:p>
      <w:pPr>
        <w:pStyle w:val="Compact"/>
        <w:numPr>
          <w:ilvl w:val="0"/>
          <w:numId w:val="1033"/>
        </w:numPr>
      </w:pPr>
      <w:r>
        <w:t xml:space="preserve">Proveedores de almacenamiento.</w:t>
      </w:r>
    </w:p>
    <w:p>
      <w:pPr>
        <w:pStyle w:val="Compact"/>
        <w:numPr>
          <w:ilvl w:val="0"/>
          <w:numId w:val="1033"/>
        </w:numPr>
      </w:pPr>
      <w:r>
        <w:t xml:space="preserve">Procesos de eliminación o anonimización.</w:t>
      </w:r>
    </w:p>
    <w:bookmarkEnd w:id="53"/>
    <w:bookmarkStart w:id="54" w:name="rf-404.-análisis-de-apis"/>
    <w:p>
      <w:pPr>
        <w:pStyle w:val="Heading3"/>
      </w:pPr>
      <w:r>
        <w:t xml:space="preserve">RF-404. Análisis de APIs</w:t>
      </w:r>
    </w:p>
    <w:p>
      <w:pPr>
        <w:pStyle w:val="FirstParagraph"/>
      </w:pPr>
      <w:r>
        <w:t xml:space="preserve">Por cada endpoint deberá obtenerse:</w:t>
      </w:r>
    </w:p>
    <w:p>
      <w:pPr>
        <w:pStyle w:val="Compact"/>
        <w:numPr>
          <w:ilvl w:val="0"/>
          <w:numId w:val="1034"/>
        </w:numPr>
      </w:pPr>
      <w:r>
        <w:t xml:space="preserve">Ruta.</w:t>
      </w:r>
    </w:p>
    <w:p>
      <w:pPr>
        <w:pStyle w:val="Compact"/>
        <w:numPr>
          <w:ilvl w:val="0"/>
          <w:numId w:val="1034"/>
        </w:numPr>
      </w:pPr>
      <w:r>
        <w:t xml:space="preserve">Método.</w:t>
      </w:r>
    </w:p>
    <w:p>
      <w:pPr>
        <w:pStyle w:val="Compact"/>
        <w:numPr>
          <w:ilvl w:val="0"/>
          <w:numId w:val="1034"/>
        </w:numPr>
      </w:pPr>
      <w:r>
        <w:t xml:space="preserve">Tipo de autenticación.</w:t>
      </w:r>
    </w:p>
    <w:p>
      <w:pPr>
        <w:pStyle w:val="Compact"/>
        <w:numPr>
          <w:ilvl w:val="0"/>
          <w:numId w:val="1034"/>
        </w:numPr>
      </w:pPr>
      <w:r>
        <w:t xml:space="preserve">Roles admitidos.</w:t>
      </w:r>
    </w:p>
    <w:p>
      <w:pPr>
        <w:pStyle w:val="Compact"/>
        <w:numPr>
          <w:ilvl w:val="0"/>
          <w:numId w:val="1034"/>
        </w:numPr>
      </w:pPr>
      <w:r>
        <w:t xml:space="preserve">Parámetros.</w:t>
      </w:r>
    </w:p>
    <w:p>
      <w:pPr>
        <w:pStyle w:val="Compact"/>
        <w:numPr>
          <w:ilvl w:val="0"/>
          <w:numId w:val="1034"/>
        </w:numPr>
      </w:pPr>
      <w:r>
        <w:t xml:space="preserve">Cuerpo de entrada.</w:t>
      </w:r>
    </w:p>
    <w:p>
      <w:pPr>
        <w:pStyle w:val="Compact"/>
        <w:numPr>
          <w:ilvl w:val="0"/>
          <w:numId w:val="1034"/>
        </w:numPr>
      </w:pPr>
      <w:r>
        <w:t xml:space="preserve">Campos de salida.</w:t>
      </w:r>
    </w:p>
    <w:p>
      <w:pPr>
        <w:pStyle w:val="Compact"/>
        <w:numPr>
          <w:ilvl w:val="0"/>
          <w:numId w:val="1034"/>
        </w:numPr>
      </w:pPr>
      <w:r>
        <w:t xml:space="preserve">Categorías de datos.</w:t>
      </w:r>
    </w:p>
    <w:p>
      <w:pPr>
        <w:pStyle w:val="Compact"/>
        <w:numPr>
          <w:ilvl w:val="0"/>
          <w:numId w:val="1034"/>
        </w:numPr>
      </w:pPr>
      <w:r>
        <w:t xml:space="preserve">Terceros invocados.</w:t>
      </w:r>
    </w:p>
    <w:p>
      <w:pPr>
        <w:pStyle w:val="Compact"/>
        <w:numPr>
          <w:ilvl w:val="0"/>
          <w:numId w:val="1034"/>
        </w:numPr>
      </w:pPr>
      <w:r>
        <w:t xml:space="preserve">Persistencia probable.</w:t>
      </w:r>
    </w:p>
    <w:p>
      <w:pPr>
        <w:pStyle w:val="Compact"/>
        <w:numPr>
          <w:ilvl w:val="0"/>
          <w:numId w:val="1034"/>
        </w:numPr>
      </w:pPr>
      <w:r>
        <w:t xml:space="preserve">Evidencia de logging.</w:t>
      </w:r>
    </w:p>
    <w:p>
      <w:pPr>
        <w:pStyle w:val="Compact"/>
        <w:numPr>
          <w:ilvl w:val="0"/>
          <w:numId w:val="1034"/>
        </w:numPr>
      </w:pPr>
      <w:r>
        <w:t xml:space="preserve">Validaciones.</w:t>
      </w:r>
    </w:p>
    <w:p>
      <w:pPr>
        <w:pStyle w:val="Compact"/>
        <w:numPr>
          <w:ilvl w:val="0"/>
          <w:numId w:val="1034"/>
        </w:numPr>
      </w:pPr>
      <w:r>
        <w:t xml:space="preserve">Plazos o procesos de eliminación, si aparecen definidos.</w:t>
      </w:r>
    </w:p>
    <w:bookmarkEnd w:id="54"/>
    <w:bookmarkStart w:id="55" w:name="rf-405.-análisis-de-base-de-datos"/>
    <w:p>
      <w:pPr>
        <w:pStyle w:val="Heading3"/>
      </w:pPr>
      <w:r>
        <w:t xml:space="preserve">RF-405. Análisis de base de datos</w:t>
      </w:r>
    </w:p>
    <w:p>
      <w:pPr>
        <w:pStyle w:val="FirstParagraph"/>
      </w:pPr>
      <w:r>
        <w:t xml:space="preserve">Cuando se proporcionen esquemas o acceso de lectura a metadatos, deberá analizarse:</w:t>
      </w:r>
    </w:p>
    <w:p>
      <w:pPr>
        <w:pStyle w:val="Compact"/>
        <w:numPr>
          <w:ilvl w:val="0"/>
          <w:numId w:val="1035"/>
        </w:numPr>
      </w:pPr>
      <w:r>
        <w:t xml:space="preserve">Bases.</w:t>
      </w:r>
    </w:p>
    <w:p>
      <w:pPr>
        <w:pStyle w:val="Compact"/>
        <w:numPr>
          <w:ilvl w:val="0"/>
          <w:numId w:val="1035"/>
        </w:numPr>
      </w:pPr>
      <w:r>
        <w:t xml:space="preserve">Esquemas.</w:t>
      </w:r>
    </w:p>
    <w:p>
      <w:pPr>
        <w:pStyle w:val="Compact"/>
        <w:numPr>
          <w:ilvl w:val="0"/>
          <w:numId w:val="1035"/>
        </w:numPr>
      </w:pPr>
      <w:r>
        <w:t xml:space="preserve">Tablas.</w:t>
      </w:r>
    </w:p>
    <w:p>
      <w:pPr>
        <w:pStyle w:val="Compact"/>
        <w:numPr>
          <w:ilvl w:val="0"/>
          <w:numId w:val="1035"/>
        </w:numPr>
      </w:pPr>
      <w:r>
        <w:t xml:space="preserve">Columnas.</w:t>
      </w:r>
    </w:p>
    <w:p>
      <w:pPr>
        <w:pStyle w:val="Compact"/>
        <w:numPr>
          <w:ilvl w:val="0"/>
          <w:numId w:val="1035"/>
        </w:numPr>
      </w:pPr>
      <w:r>
        <w:t xml:space="preserve">Tipos.</w:t>
      </w:r>
    </w:p>
    <w:p>
      <w:pPr>
        <w:pStyle w:val="Compact"/>
        <w:numPr>
          <w:ilvl w:val="0"/>
          <w:numId w:val="1035"/>
        </w:numPr>
      </w:pPr>
      <w:r>
        <w:t xml:space="preserve">Relaciones.</w:t>
      </w:r>
    </w:p>
    <w:p>
      <w:pPr>
        <w:pStyle w:val="Compact"/>
        <w:numPr>
          <w:ilvl w:val="0"/>
          <w:numId w:val="1035"/>
        </w:numPr>
      </w:pPr>
      <w:r>
        <w:t xml:space="preserve">Índices.</w:t>
      </w:r>
    </w:p>
    <w:p>
      <w:pPr>
        <w:pStyle w:val="Compact"/>
        <w:numPr>
          <w:ilvl w:val="0"/>
          <w:numId w:val="1035"/>
        </w:numPr>
      </w:pPr>
      <w:r>
        <w:t xml:space="preserve">Comentarios.</w:t>
      </w:r>
    </w:p>
    <w:p>
      <w:pPr>
        <w:pStyle w:val="Compact"/>
        <w:numPr>
          <w:ilvl w:val="0"/>
          <w:numId w:val="1035"/>
        </w:numPr>
      </w:pPr>
      <w:r>
        <w:t xml:space="preserve">Datos de ejemplo únicamente cuando exista autorización.</w:t>
      </w:r>
    </w:p>
    <w:p>
      <w:pPr>
        <w:pStyle w:val="Compact"/>
        <w:numPr>
          <w:ilvl w:val="0"/>
          <w:numId w:val="1035"/>
        </w:numPr>
      </w:pPr>
      <w:r>
        <w:t xml:space="preserve">Tablas históricas.</w:t>
      </w:r>
    </w:p>
    <w:p>
      <w:pPr>
        <w:pStyle w:val="Compact"/>
        <w:numPr>
          <w:ilvl w:val="0"/>
          <w:numId w:val="1035"/>
        </w:numPr>
      </w:pPr>
      <w:r>
        <w:t xml:space="preserve">Auditorías.</w:t>
      </w:r>
    </w:p>
    <w:p>
      <w:pPr>
        <w:pStyle w:val="Compact"/>
        <w:numPr>
          <w:ilvl w:val="0"/>
          <w:numId w:val="1035"/>
        </w:numPr>
      </w:pPr>
      <w:r>
        <w:t xml:space="preserve">Respaldos.</w:t>
      </w:r>
    </w:p>
    <w:p>
      <w:pPr>
        <w:pStyle w:val="Compact"/>
        <w:numPr>
          <w:ilvl w:val="0"/>
          <w:numId w:val="1035"/>
        </w:numPr>
      </w:pPr>
      <w:r>
        <w:t xml:space="preserve">Tablas temporales.</w:t>
      </w:r>
    </w:p>
    <w:p>
      <w:pPr>
        <w:pStyle w:val="Compact"/>
        <w:numPr>
          <w:ilvl w:val="0"/>
          <w:numId w:val="1035"/>
        </w:numPr>
      </w:pPr>
      <w:r>
        <w:t xml:space="preserve">Procedimientos almacenados.</w:t>
      </w:r>
    </w:p>
    <w:p>
      <w:pPr>
        <w:pStyle w:val="Compact"/>
        <w:numPr>
          <w:ilvl w:val="0"/>
          <w:numId w:val="1035"/>
        </w:numPr>
      </w:pPr>
      <w:r>
        <w:t xml:space="preserve">Procesos de depuración.</w:t>
      </w:r>
    </w:p>
    <w:p>
      <w:pPr>
        <w:pStyle w:val="Compact"/>
        <w:numPr>
          <w:ilvl w:val="0"/>
          <w:numId w:val="1035"/>
        </w:numPr>
      </w:pPr>
      <w:r>
        <w:t xml:space="preserve">Indicadores de cifrado o tokenización.</w:t>
      </w:r>
    </w:p>
    <w:bookmarkEnd w:id="55"/>
    <w:bookmarkStart w:id="56" w:name="rf-406.-análisis-de-logs"/>
    <w:p>
      <w:pPr>
        <w:pStyle w:val="Heading3"/>
      </w:pPr>
      <w:r>
        <w:t xml:space="preserve">RF-406. Análisis de logs</w:t>
      </w:r>
    </w:p>
    <w:p>
      <w:pPr>
        <w:pStyle w:val="FirstParagraph"/>
      </w:pPr>
      <w:r>
        <w:t xml:space="preserve">El sistema deberá buscar evidencia de datos personales en:</w:t>
      </w:r>
    </w:p>
    <w:p>
      <w:pPr>
        <w:pStyle w:val="Compact"/>
        <w:numPr>
          <w:ilvl w:val="0"/>
          <w:numId w:val="1036"/>
        </w:numPr>
      </w:pPr>
      <w:r>
        <w:t xml:space="preserve">Logs de aplicación.</w:t>
      </w:r>
    </w:p>
    <w:p>
      <w:pPr>
        <w:pStyle w:val="Compact"/>
        <w:numPr>
          <w:ilvl w:val="0"/>
          <w:numId w:val="1036"/>
        </w:numPr>
      </w:pPr>
      <w:r>
        <w:t xml:space="preserve">Logs del servidor web.</w:t>
      </w:r>
    </w:p>
    <w:p>
      <w:pPr>
        <w:pStyle w:val="Compact"/>
        <w:numPr>
          <w:ilvl w:val="0"/>
          <w:numId w:val="1036"/>
        </w:numPr>
      </w:pPr>
      <w:r>
        <w:t xml:space="preserve">Logs de API.</w:t>
      </w:r>
    </w:p>
    <w:p>
      <w:pPr>
        <w:pStyle w:val="Compact"/>
        <w:numPr>
          <w:ilvl w:val="0"/>
          <w:numId w:val="1036"/>
        </w:numPr>
      </w:pPr>
      <w:r>
        <w:t xml:space="preserve">Logs de autenticación.</w:t>
      </w:r>
    </w:p>
    <w:p>
      <w:pPr>
        <w:pStyle w:val="Compact"/>
        <w:numPr>
          <w:ilvl w:val="0"/>
          <w:numId w:val="1036"/>
        </w:numPr>
      </w:pPr>
      <w:r>
        <w:t xml:space="preserve">Logs de auditoría.</w:t>
      </w:r>
    </w:p>
    <w:p>
      <w:pPr>
        <w:pStyle w:val="Compact"/>
        <w:numPr>
          <w:ilvl w:val="0"/>
          <w:numId w:val="1036"/>
        </w:numPr>
      </w:pPr>
      <w:r>
        <w:t xml:space="preserve">Monitoreo de errores.</w:t>
      </w:r>
    </w:p>
    <w:p>
      <w:pPr>
        <w:pStyle w:val="Compact"/>
        <w:numPr>
          <w:ilvl w:val="0"/>
          <w:numId w:val="1036"/>
        </w:numPr>
      </w:pPr>
      <w:r>
        <w:t xml:space="preserve">Trazas distribuidas.</w:t>
      </w:r>
    </w:p>
    <w:p>
      <w:pPr>
        <w:pStyle w:val="Compact"/>
        <w:numPr>
          <w:ilvl w:val="0"/>
          <w:numId w:val="1036"/>
        </w:numPr>
      </w:pPr>
      <w:r>
        <w:t xml:space="preserve">APM.</w:t>
      </w:r>
    </w:p>
    <w:p>
      <w:pPr>
        <w:pStyle w:val="Compact"/>
        <w:numPr>
          <w:ilvl w:val="0"/>
          <w:numId w:val="1036"/>
        </w:numPr>
      </w:pPr>
      <w:r>
        <w:t xml:space="preserve">Telemetría.</w:t>
      </w:r>
    </w:p>
    <w:p>
      <w:pPr>
        <w:pStyle w:val="Compact"/>
        <w:numPr>
          <w:ilvl w:val="0"/>
          <w:numId w:val="1036"/>
        </w:numPr>
      </w:pPr>
      <w:r>
        <w:t xml:space="preserve">Mensajes de cola.</w:t>
      </w:r>
    </w:p>
    <w:p>
      <w:pPr>
        <w:pStyle w:val="Compact"/>
        <w:numPr>
          <w:ilvl w:val="0"/>
          <w:numId w:val="1036"/>
        </w:numPr>
      </w:pPr>
      <w:r>
        <w:t xml:space="preserve">Dead-letter queues.</w:t>
      </w:r>
    </w:p>
    <w:p>
      <w:pPr>
        <w:pStyle w:val="FirstParagraph"/>
      </w:pPr>
      <w:r>
        <w:t xml:space="preserve">Se deberá prestar especial atención a:</w:t>
      </w:r>
    </w:p>
    <w:p>
      <w:pPr>
        <w:pStyle w:val="Compact"/>
        <w:numPr>
          <w:ilvl w:val="0"/>
          <w:numId w:val="1037"/>
        </w:numPr>
      </w:pPr>
      <w:r>
        <w:t xml:space="preserve">RUT.</w:t>
      </w:r>
    </w:p>
    <w:p>
      <w:pPr>
        <w:pStyle w:val="Compact"/>
        <w:numPr>
          <w:ilvl w:val="0"/>
          <w:numId w:val="1037"/>
        </w:numPr>
      </w:pPr>
      <w:r>
        <w:t xml:space="preserve">Correos.</w:t>
      </w:r>
    </w:p>
    <w:p>
      <w:pPr>
        <w:pStyle w:val="Compact"/>
        <w:numPr>
          <w:ilvl w:val="0"/>
          <w:numId w:val="1037"/>
        </w:numPr>
      </w:pPr>
      <w:r>
        <w:t xml:space="preserve">Teléfonos.</w:t>
      </w:r>
    </w:p>
    <w:p>
      <w:pPr>
        <w:pStyle w:val="Compact"/>
        <w:numPr>
          <w:ilvl w:val="0"/>
          <w:numId w:val="1037"/>
        </w:numPr>
      </w:pPr>
      <w:r>
        <w:t xml:space="preserve">Tokens.</w:t>
      </w:r>
    </w:p>
    <w:p>
      <w:pPr>
        <w:pStyle w:val="Compact"/>
        <w:numPr>
          <w:ilvl w:val="0"/>
          <w:numId w:val="1037"/>
        </w:numPr>
      </w:pPr>
      <w:r>
        <w:t xml:space="preserve">Cuerpos completos de formularios.</w:t>
      </w:r>
    </w:p>
    <w:p>
      <w:pPr>
        <w:pStyle w:val="Compact"/>
        <w:numPr>
          <w:ilvl w:val="0"/>
          <w:numId w:val="1037"/>
        </w:numPr>
      </w:pPr>
      <w:r>
        <w:t xml:space="preserve">URLs con datos.</w:t>
      </w:r>
    </w:p>
    <w:p>
      <w:pPr>
        <w:pStyle w:val="Compact"/>
        <w:numPr>
          <w:ilvl w:val="0"/>
          <w:numId w:val="1037"/>
        </w:numPr>
      </w:pPr>
      <w:r>
        <w:t xml:space="preserve">Cabeceras de autorización.</w:t>
      </w:r>
    </w:p>
    <w:p>
      <w:pPr>
        <w:pStyle w:val="Compact"/>
        <w:numPr>
          <w:ilvl w:val="0"/>
          <w:numId w:val="1037"/>
        </w:numPr>
      </w:pPr>
      <w:r>
        <w:t xml:space="preserve">Datos sensibles.</w:t>
      </w:r>
    </w:p>
    <w:p>
      <w:pPr>
        <w:pStyle w:val="Compact"/>
        <w:numPr>
          <w:ilvl w:val="0"/>
          <w:numId w:val="1037"/>
        </w:numPr>
      </w:pPr>
      <w:r>
        <w:t xml:space="preserve">Datos financieros.</w:t>
      </w:r>
    </w:p>
    <w:p>
      <w:pPr>
        <w:pStyle w:val="Compact"/>
        <w:numPr>
          <w:ilvl w:val="0"/>
          <w:numId w:val="1037"/>
        </w:numPr>
      </w:pPr>
      <w:r>
        <w:t xml:space="preserve">Contraseñas.</w:t>
      </w:r>
    </w:p>
    <w:p>
      <w:pPr>
        <w:pStyle w:val="FirstParagraph"/>
      </w:pPr>
      <w:r>
        <w:t xml:space="preserve">OWASP ASVS 5.0 incluye requisitos específicos de documentación, protección y logging de datos sensibles, por lo que puede utilizarse como referencia técnica complementaria.</w:t>
      </w:r>
    </w:p>
    <w:bookmarkEnd w:id="56"/>
    <w:bookmarkStart w:id="57" w:name="rf-407.-análisis-de-infraestructura"/>
    <w:p>
      <w:pPr>
        <w:pStyle w:val="Heading3"/>
      </w:pPr>
      <w:r>
        <w:t xml:space="preserve">RF-407. Análisis de infraestructura</w:t>
      </w:r>
    </w:p>
    <w:p>
      <w:pPr>
        <w:pStyle w:val="FirstParagraph"/>
      </w:pPr>
      <w:r>
        <w:t xml:space="preserve">Se deberá analizar:</w:t>
      </w:r>
    </w:p>
    <w:p>
      <w:pPr>
        <w:pStyle w:val="Compact"/>
        <w:numPr>
          <w:ilvl w:val="0"/>
          <w:numId w:val="1038"/>
        </w:numPr>
      </w:pPr>
      <w:r>
        <w:t xml:space="preserve">Recursos cloud.</w:t>
      </w:r>
    </w:p>
    <w:p>
      <w:pPr>
        <w:pStyle w:val="Compact"/>
        <w:numPr>
          <w:ilvl w:val="0"/>
          <w:numId w:val="1038"/>
        </w:numPr>
      </w:pPr>
      <w:r>
        <w:t xml:space="preserve">Regiones.</w:t>
      </w:r>
    </w:p>
    <w:p>
      <w:pPr>
        <w:pStyle w:val="Compact"/>
        <w:numPr>
          <w:ilvl w:val="0"/>
          <w:numId w:val="1038"/>
        </w:numPr>
      </w:pPr>
      <w:r>
        <w:t xml:space="preserve">Bases de datos.</w:t>
      </w:r>
    </w:p>
    <w:p>
      <w:pPr>
        <w:pStyle w:val="Compact"/>
        <w:numPr>
          <w:ilvl w:val="0"/>
          <w:numId w:val="1038"/>
        </w:numPr>
      </w:pPr>
      <w:r>
        <w:t xml:space="preserve">Buckets.</w:t>
      </w:r>
    </w:p>
    <w:p>
      <w:pPr>
        <w:pStyle w:val="Compact"/>
        <w:numPr>
          <w:ilvl w:val="0"/>
          <w:numId w:val="1038"/>
        </w:numPr>
      </w:pPr>
      <w:r>
        <w:t xml:space="preserve">Cuentas de almacenamiento.</w:t>
      </w:r>
    </w:p>
    <w:p>
      <w:pPr>
        <w:pStyle w:val="Compact"/>
        <w:numPr>
          <w:ilvl w:val="0"/>
          <w:numId w:val="1038"/>
        </w:numPr>
      </w:pPr>
      <w:r>
        <w:t xml:space="preserve">CDN.</w:t>
      </w:r>
    </w:p>
    <w:p>
      <w:pPr>
        <w:pStyle w:val="Compact"/>
        <w:numPr>
          <w:ilvl w:val="0"/>
          <w:numId w:val="1038"/>
        </w:numPr>
      </w:pPr>
      <w:r>
        <w:t xml:space="preserve">WAF.</w:t>
      </w:r>
    </w:p>
    <w:p>
      <w:pPr>
        <w:pStyle w:val="Compact"/>
        <w:numPr>
          <w:ilvl w:val="0"/>
          <w:numId w:val="1038"/>
        </w:numPr>
      </w:pPr>
      <w:r>
        <w:t xml:space="preserve">Gestores de secretos.</w:t>
      </w:r>
    </w:p>
    <w:p>
      <w:pPr>
        <w:pStyle w:val="Compact"/>
        <w:numPr>
          <w:ilvl w:val="0"/>
          <w:numId w:val="1038"/>
        </w:numPr>
      </w:pPr>
      <w:r>
        <w:t xml:space="preserve">Herramientas de monitoreo.</w:t>
      </w:r>
    </w:p>
    <w:p>
      <w:pPr>
        <w:pStyle w:val="Compact"/>
        <w:numPr>
          <w:ilvl w:val="0"/>
          <w:numId w:val="1038"/>
        </w:numPr>
      </w:pPr>
      <w:r>
        <w:t xml:space="preserve">Sistemas de backup.</w:t>
      </w:r>
    </w:p>
    <w:p>
      <w:pPr>
        <w:pStyle w:val="Compact"/>
        <w:numPr>
          <w:ilvl w:val="0"/>
          <w:numId w:val="1038"/>
        </w:numPr>
      </w:pPr>
      <w:r>
        <w:t xml:space="preserve">Réplicas.</w:t>
      </w:r>
    </w:p>
    <w:p>
      <w:pPr>
        <w:pStyle w:val="Compact"/>
        <w:numPr>
          <w:ilvl w:val="0"/>
          <w:numId w:val="1038"/>
        </w:numPr>
      </w:pPr>
      <w:r>
        <w:t xml:space="preserve">Servicios SaaS.</w:t>
      </w:r>
    </w:p>
    <w:p>
      <w:pPr>
        <w:pStyle w:val="Compact"/>
        <w:numPr>
          <w:ilvl w:val="0"/>
          <w:numId w:val="1038"/>
        </w:numPr>
      </w:pPr>
      <w:r>
        <w:t xml:space="preserve">Variables de entorno.</w:t>
      </w:r>
    </w:p>
    <w:p>
      <w:pPr>
        <w:pStyle w:val="Compact"/>
        <w:numPr>
          <w:ilvl w:val="0"/>
          <w:numId w:val="1038"/>
        </w:numPr>
      </w:pPr>
      <w:r>
        <w:t xml:space="preserve">Configuraciones de retención.</w:t>
      </w:r>
    </w:p>
    <w:p>
      <w:pPr>
        <w:pStyle w:val="Compact"/>
        <w:numPr>
          <w:ilvl w:val="0"/>
          <w:numId w:val="1038"/>
        </w:numPr>
      </w:pPr>
      <w:r>
        <w:t xml:space="preserve">Servicios desplegados en otros países.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taxonomía-de-datos"/>
    <w:p>
      <w:pPr>
        <w:pStyle w:val="Heading1"/>
      </w:pPr>
      <w:r>
        <w:t xml:space="preserve">6. Taxonomía de datos</w:t>
      </w:r>
    </w:p>
    <w:p>
      <w:pPr>
        <w:pStyle w:val="FirstParagraph"/>
      </w:pPr>
      <w:r>
        <w:t xml:space="preserve">El sistema deberá contar con una taxonomía configurable.</w:t>
      </w:r>
    </w:p>
    <w:bookmarkStart w:id="60" w:name="identificadores-directos"/>
    <w:p>
      <w:pPr>
        <w:pStyle w:val="Heading2"/>
      </w:pPr>
      <w:r>
        <w:t xml:space="preserve">6.1 Identificadores directos</w:t>
      </w:r>
    </w:p>
    <w:p>
      <w:pPr>
        <w:pStyle w:val="Compact"/>
        <w:numPr>
          <w:ilvl w:val="0"/>
          <w:numId w:val="1039"/>
        </w:numPr>
      </w:pPr>
      <w:r>
        <w:t xml:space="preserve">Nombre.</w:t>
      </w:r>
    </w:p>
    <w:p>
      <w:pPr>
        <w:pStyle w:val="Compact"/>
        <w:numPr>
          <w:ilvl w:val="0"/>
          <w:numId w:val="1039"/>
        </w:numPr>
      </w:pPr>
      <w:r>
        <w:t xml:space="preserve">Apellido.</w:t>
      </w:r>
    </w:p>
    <w:p>
      <w:pPr>
        <w:pStyle w:val="Compact"/>
        <w:numPr>
          <w:ilvl w:val="0"/>
          <w:numId w:val="1039"/>
        </w:numPr>
      </w:pPr>
      <w:r>
        <w:t xml:space="preserve">RUT o RUN.</w:t>
      </w:r>
    </w:p>
    <w:p>
      <w:pPr>
        <w:pStyle w:val="Compact"/>
        <w:numPr>
          <w:ilvl w:val="0"/>
          <w:numId w:val="1039"/>
        </w:numPr>
      </w:pPr>
      <w:r>
        <w:t xml:space="preserve">Pasaporte.</w:t>
      </w:r>
    </w:p>
    <w:p>
      <w:pPr>
        <w:pStyle w:val="Compact"/>
        <w:numPr>
          <w:ilvl w:val="0"/>
          <w:numId w:val="1039"/>
        </w:numPr>
      </w:pPr>
      <w:r>
        <w:t xml:space="preserve">Número de documento.</w:t>
      </w:r>
    </w:p>
    <w:p>
      <w:pPr>
        <w:pStyle w:val="Compact"/>
        <w:numPr>
          <w:ilvl w:val="0"/>
          <w:numId w:val="1039"/>
        </w:numPr>
      </w:pPr>
      <w:r>
        <w:t xml:space="preserve">Firma.</w:t>
      </w:r>
    </w:p>
    <w:p>
      <w:pPr>
        <w:pStyle w:val="Compact"/>
        <w:numPr>
          <w:ilvl w:val="0"/>
          <w:numId w:val="1039"/>
        </w:numPr>
      </w:pPr>
      <w:r>
        <w:t xml:space="preserve">Identificador interno.</w:t>
      </w:r>
    </w:p>
    <w:p>
      <w:pPr>
        <w:pStyle w:val="Compact"/>
        <w:numPr>
          <w:ilvl w:val="0"/>
          <w:numId w:val="1039"/>
        </w:numPr>
      </w:pPr>
      <w:r>
        <w:t xml:space="preserve">Matrícula.</w:t>
      </w:r>
    </w:p>
    <w:p>
      <w:pPr>
        <w:pStyle w:val="Compact"/>
        <w:numPr>
          <w:ilvl w:val="0"/>
          <w:numId w:val="1039"/>
        </w:numPr>
      </w:pPr>
      <w:r>
        <w:t xml:space="preserve">Número de trabajador.</w:t>
      </w:r>
    </w:p>
    <w:p>
      <w:pPr>
        <w:pStyle w:val="Compact"/>
        <w:numPr>
          <w:ilvl w:val="0"/>
          <w:numId w:val="1039"/>
        </w:numPr>
      </w:pPr>
      <w:r>
        <w:t xml:space="preserve">Número de cliente.</w:t>
      </w:r>
    </w:p>
    <w:bookmarkEnd w:id="60"/>
    <w:bookmarkStart w:id="61" w:name="datos-de-contacto"/>
    <w:p>
      <w:pPr>
        <w:pStyle w:val="Heading2"/>
      </w:pPr>
      <w:r>
        <w:t xml:space="preserve">6.2 Datos de contacto</w:t>
      </w:r>
    </w:p>
    <w:p>
      <w:pPr>
        <w:pStyle w:val="Compact"/>
        <w:numPr>
          <w:ilvl w:val="0"/>
          <w:numId w:val="1040"/>
        </w:numPr>
      </w:pPr>
      <w:r>
        <w:t xml:space="preserve">Correo.</w:t>
      </w:r>
    </w:p>
    <w:p>
      <w:pPr>
        <w:pStyle w:val="Compact"/>
        <w:numPr>
          <w:ilvl w:val="0"/>
          <w:numId w:val="1040"/>
        </w:numPr>
      </w:pPr>
      <w:r>
        <w:t xml:space="preserve">Teléfono.</w:t>
      </w:r>
    </w:p>
    <w:p>
      <w:pPr>
        <w:pStyle w:val="Compact"/>
        <w:numPr>
          <w:ilvl w:val="0"/>
          <w:numId w:val="1040"/>
        </w:numPr>
      </w:pPr>
      <w:r>
        <w:t xml:space="preserve">WhatsApp.</w:t>
      </w:r>
    </w:p>
    <w:p>
      <w:pPr>
        <w:pStyle w:val="Compact"/>
        <w:numPr>
          <w:ilvl w:val="0"/>
          <w:numId w:val="1040"/>
        </w:numPr>
      </w:pPr>
      <w:r>
        <w:t xml:space="preserve">Dirección.</w:t>
      </w:r>
    </w:p>
    <w:p>
      <w:pPr>
        <w:pStyle w:val="Compact"/>
        <w:numPr>
          <w:ilvl w:val="0"/>
          <w:numId w:val="1040"/>
        </w:numPr>
      </w:pPr>
      <w:r>
        <w:t xml:space="preserve">Comuna.</w:t>
      </w:r>
    </w:p>
    <w:p>
      <w:pPr>
        <w:pStyle w:val="Compact"/>
        <w:numPr>
          <w:ilvl w:val="0"/>
          <w:numId w:val="1040"/>
        </w:numPr>
      </w:pPr>
      <w:r>
        <w:t xml:space="preserve">Ciudad.</w:t>
      </w:r>
    </w:p>
    <w:p>
      <w:pPr>
        <w:pStyle w:val="Compact"/>
        <w:numPr>
          <w:ilvl w:val="0"/>
          <w:numId w:val="1040"/>
        </w:numPr>
      </w:pPr>
      <w:r>
        <w:t xml:space="preserve">Código postal.</w:t>
      </w:r>
    </w:p>
    <w:bookmarkEnd w:id="61"/>
    <w:bookmarkStart w:id="62" w:name="identificadores-digitales"/>
    <w:p>
      <w:pPr>
        <w:pStyle w:val="Heading2"/>
      </w:pPr>
      <w:r>
        <w:t xml:space="preserve">6.3 Identificadores digitales</w:t>
      </w:r>
    </w:p>
    <w:p>
      <w:pPr>
        <w:pStyle w:val="Compact"/>
        <w:numPr>
          <w:ilvl w:val="0"/>
          <w:numId w:val="1041"/>
        </w:numPr>
      </w:pPr>
      <w:r>
        <w:t xml:space="preserve">Dirección IP.</w:t>
      </w:r>
    </w:p>
    <w:p>
      <w:pPr>
        <w:pStyle w:val="Compact"/>
        <w:numPr>
          <w:ilvl w:val="0"/>
          <w:numId w:val="1041"/>
        </w:numPr>
      </w:pPr>
      <w:r>
        <w:t xml:space="preserve">Cookie ID.</w:t>
      </w:r>
    </w:p>
    <w:p>
      <w:pPr>
        <w:pStyle w:val="Compact"/>
        <w:numPr>
          <w:ilvl w:val="0"/>
          <w:numId w:val="1041"/>
        </w:numPr>
      </w:pPr>
      <w:r>
        <w:t xml:space="preserve">Session ID.</w:t>
      </w:r>
    </w:p>
    <w:p>
      <w:pPr>
        <w:pStyle w:val="Compact"/>
        <w:numPr>
          <w:ilvl w:val="0"/>
          <w:numId w:val="1041"/>
        </w:numPr>
      </w:pPr>
      <w:r>
        <w:t xml:space="preserve">Device ID.</w:t>
      </w:r>
    </w:p>
    <w:p>
      <w:pPr>
        <w:pStyle w:val="Compact"/>
        <w:numPr>
          <w:ilvl w:val="0"/>
          <w:numId w:val="1041"/>
        </w:numPr>
      </w:pPr>
      <w:r>
        <w:t xml:space="preserve">Advertising ID.</w:t>
      </w:r>
    </w:p>
    <w:p>
      <w:pPr>
        <w:pStyle w:val="Compact"/>
        <w:numPr>
          <w:ilvl w:val="0"/>
          <w:numId w:val="1041"/>
        </w:numPr>
      </w:pPr>
      <w:r>
        <w:t xml:space="preserve">Fingerprint del navegador.</w:t>
      </w:r>
    </w:p>
    <w:p>
      <w:pPr>
        <w:pStyle w:val="Compact"/>
        <w:numPr>
          <w:ilvl w:val="0"/>
          <w:numId w:val="1041"/>
        </w:numPr>
      </w:pPr>
      <w:r>
        <w:t xml:space="preserve">Identificador de cuenta.</w:t>
      </w:r>
    </w:p>
    <w:p>
      <w:pPr>
        <w:pStyle w:val="Compact"/>
        <w:numPr>
          <w:ilvl w:val="0"/>
          <w:numId w:val="1041"/>
        </w:numPr>
      </w:pPr>
      <w:r>
        <w:t xml:space="preserve">Identificador de autenticación.</w:t>
      </w:r>
    </w:p>
    <w:p>
      <w:pPr>
        <w:pStyle w:val="Compact"/>
        <w:numPr>
          <w:ilvl w:val="0"/>
          <w:numId w:val="1041"/>
        </w:numPr>
      </w:pPr>
      <w:r>
        <w:t xml:space="preserve">ID de redes sociales.</w:t>
      </w:r>
    </w:p>
    <w:bookmarkEnd w:id="62"/>
    <w:bookmarkStart w:id="63" w:name="datos-demográficos-y-personales"/>
    <w:p>
      <w:pPr>
        <w:pStyle w:val="Heading2"/>
      </w:pPr>
      <w:r>
        <w:t xml:space="preserve">6.4 Datos demográficos y personales</w:t>
      </w:r>
    </w:p>
    <w:p>
      <w:pPr>
        <w:pStyle w:val="Compact"/>
        <w:numPr>
          <w:ilvl w:val="0"/>
          <w:numId w:val="1042"/>
        </w:numPr>
      </w:pPr>
      <w:r>
        <w:t xml:space="preserve">Edad.</w:t>
      </w:r>
    </w:p>
    <w:p>
      <w:pPr>
        <w:pStyle w:val="Compact"/>
        <w:numPr>
          <w:ilvl w:val="0"/>
          <w:numId w:val="1042"/>
        </w:numPr>
      </w:pPr>
      <w:r>
        <w:t xml:space="preserve">Fecha de nacimiento.</w:t>
      </w:r>
    </w:p>
    <w:p>
      <w:pPr>
        <w:pStyle w:val="Compact"/>
        <w:numPr>
          <w:ilvl w:val="0"/>
          <w:numId w:val="1042"/>
        </w:numPr>
      </w:pPr>
      <w:r>
        <w:t xml:space="preserve">Nacionalidad.</w:t>
      </w:r>
    </w:p>
    <w:p>
      <w:pPr>
        <w:pStyle w:val="Compact"/>
        <w:numPr>
          <w:ilvl w:val="0"/>
          <w:numId w:val="1042"/>
        </w:numPr>
      </w:pPr>
      <w:r>
        <w:t xml:space="preserve">Estado civil.</w:t>
      </w:r>
    </w:p>
    <w:p>
      <w:pPr>
        <w:pStyle w:val="Compact"/>
        <w:numPr>
          <w:ilvl w:val="0"/>
          <w:numId w:val="1042"/>
        </w:numPr>
      </w:pPr>
      <w:r>
        <w:t xml:space="preserve">Profesión.</w:t>
      </w:r>
    </w:p>
    <w:p>
      <w:pPr>
        <w:pStyle w:val="Compact"/>
        <w:numPr>
          <w:ilvl w:val="0"/>
          <w:numId w:val="1042"/>
        </w:numPr>
      </w:pPr>
      <w:r>
        <w:t xml:space="preserve">Educación.</w:t>
      </w:r>
    </w:p>
    <w:p>
      <w:pPr>
        <w:pStyle w:val="Compact"/>
        <w:numPr>
          <w:ilvl w:val="0"/>
          <w:numId w:val="1042"/>
        </w:numPr>
      </w:pPr>
      <w:r>
        <w:t xml:space="preserve">Composición familiar.</w:t>
      </w:r>
    </w:p>
    <w:bookmarkEnd w:id="63"/>
    <w:bookmarkStart w:id="64" w:name="Xc728bd940a83eb25c2c86f1081a49f8c9f320ec"/>
    <w:p>
      <w:pPr>
        <w:pStyle w:val="Heading2"/>
      </w:pPr>
      <w:r>
        <w:t xml:space="preserve">6.5 Datos económicos, financieros y comerciales</w:t>
      </w:r>
    </w:p>
    <w:p>
      <w:pPr>
        <w:pStyle w:val="Compact"/>
        <w:numPr>
          <w:ilvl w:val="0"/>
          <w:numId w:val="1043"/>
        </w:numPr>
      </w:pPr>
      <w:r>
        <w:t xml:space="preserve">Ingresos.</w:t>
      </w:r>
    </w:p>
    <w:p>
      <w:pPr>
        <w:pStyle w:val="Compact"/>
        <w:numPr>
          <w:ilvl w:val="0"/>
          <w:numId w:val="1043"/>
        </w:numPr>
      </w:pPr>
      <w:r>
        <w:t xml:space="preserve">Patrimonio.</w:t>
      </w:r>
    </w:p>
    <w:p>
      <w:pPr>
        <w:pStyle w:val="Compact"/>
        <w:numPr>
          <w:ilvl w:val="0"/>
          <w:numId w:val="1043"/>
        </w:numPr>
      </w:pPr>
      <w:r>
        <w:t xml:space="preserve">Situación socioeconómica.</w:t>
      </w:r>
    </w:p>
    <w:p>
      <w:pPr>
        <w:pStyle w:val="Compact"/>
        <w:numPr>
          <w:ilvl w:val="0"/>
          <w:numId w:val="1043"/>
        </w:numPr>
      </w:pPr>
      <w:r>
        <w:t xml:space="preserve">Cuenta bancaria.</w:t>
      </w:r>
    </w:p>
    <w:p>
      <w:pPr>
        <w:pStyle w:val="Compact"/>
        <w:numPr>
          <w:ilvl w:val="0"/>
          <w:numId w:val="1043"/>
        </w:numPr>
      </w:pPr>
      <w:r>
        <w:t xml:space="preserve">Datos de pago.</w:t>
      </w:r>
    </w:p>
    <w:p>
      <w:pPr>
        <w:pStyle w:val="Compact"/>
        <w:numPr>
          <w:ilvl w:val="0"/>
          <w:numId w:val="1043"/>
        </w:numPr>
      </w:pPr>
      <w:r>
        <w:t xml:space="preserve">Historial de compras.</w:t>
      </w:r>
    </w:p>
    <w:p>
      <w:pPr>
        <w:pStyle w:val="Compact"/>
        <w:numPr>
          <w:ilvl w:val="0"/>
          <w:numId w:val="1043"/>
        </w:numPr>
      </w:pPr>
      <w:r>
        <w:t xml:space="preserve">Obligaciones.</w:t>
      </w:r>
    </w:p>
    <w:p>
      <w:pPr>
        <w:pStyle w:val="Compact"/>
        <w:numPr>
          <w:ilvl w:val="0"/>
          <w:numId w:val="1043"/>
        </w:numPr>
      </w:pPr>
      <w:r>
        <w:t xml:space="preserve">Evaluación comercial.</w:t>
      </w:r>
    </w:p>
    <w:p>
      <w:pPr>
        <w:pStyle w:val="Compact"/>
        <w:numPr>
          <w:ilvl w:val="0"/>
          <w:numId w:val="1043"/>
        </w:numPr>
      </w:pPr>
      <w:r>
        <w:t xml:space="preserve">Historial de deuda.</w:t>
      </w:r>
    </w:p>
    <w:bookmarkEnd w:id="64"/>
    <w:bookmarkStart w:id="65" w:name="datos-laborales"/>
    <w:p>
      <w:pPr>
        <w:pStyle w:val="Heading2"/>
      </w:pPr>
      <w:r>
        <w:t xml:space="preserve">6.6 Datos laborales</w:t>
      </w:r>
    </w:p>
    <w:p>
      <w:pPr>
        <w:pStyle w:val="Compact"/>
        <w:numPr>
          <w:ilvl w:val="0"/>
          <w:numId w:val="1044"/>
        </w:numPr>
      </w:pPr>
      <w:r>
        <w:t xml:space="preserve">Empleador.</w:t>
      </w:r>
    </w:p>
    <w:p>
      <w:pPr>
        <w:pStyle w:val="Compact"/>
        <w:numPr>
          <w:ilvl w:val="0"/>
          <w:numId w:val="1044"/>
        </w:numPr>
      </w:pPr>
      <w:r>
        <w:t xml:space="preserve">Cargo.</w:t>
      </w:r>
    </w:p>
    <w:p>
      <w:pPr>
        <w:pStyle w:val="Compact"/>
        <w:numPr>
          <w:ilvl w:val="0"/>
          <w:numId w:val="1044"/>
        </w:numPr>
      </w:pPr>
      <w:r>
        <w:t xml:space="preserve">Remuneración.</w:t>
      </w:r>
    </w:p>
    <w:p>
      <w:pPr>
        <w:pStyle w:val="Compact"/>
        <w:numPr>
          <w:ilvl w:val="0"/>
          <w:numId w:val="1044"/>
        </w:numPr>
      </w:pPr>
      <w:r>
        <w:t xml:space="preserve">Jornada.</w:t>
      </w:r>
    </w:p>
    <w:p>
      <w:pPr>
        <w:pStyle w:val="Compact"/>
        <w:numPr>
          <w:ilvl w:val="0"/>
          <w:numId w:val="1044"/>
        </w:numPr>
      </w:pPr>
      <w:r>
        <w:t xml:space="preserve">Asistencia.</w:t>
      </w:r>
    </w:p>
    <w:p>
      <w:pPr>
        <w:pStyle w:val="Compact"/>
        <w:numPr>
          <w:ilvl w:val="0"/>
          <w:numId w:val="1044"/>
        </w:numPr>
      </w:pPr>
      <w:r>
        <w:t xml:space="preserve">Evaluación de desempeño.</w:t>
      </w:r>
    </w:p>
    <w:p>
      <w:pPr>
        <w:pStyle w:val="Compact"/>
        <w:numPr>
          <w:ilvl w:val="0"/>
          <w:numId w:val="1044"/>
        </w:numPr>
      </w:pPr>
      <w:r>
        <w:t xml:space="preserve">Licencias.</w:t>
      </w:r>
    </w:p>
    <w:p>
      <w:pPr>
        <w:pStyle w:val="Compact"/>
        <w:numPr>
          <w:ilvl w:val="0"/>
          <w:numId w:val="1044"/>
        </w:numPr>
      </w:pPr>
      <w:r>
        <w:t xml:space="preserve">Sanciones.</w:t>
      </w:r>
    </w:p>
    <w:p>
      <w:pPr>
        <w:pStyle w:val="Compact"/>
        <w:numPr>
          <w:ilvl w:val="0"/>
          <w:numId w:val="1044"/>
        </w:numPr>
      </w:pPr>
      <w:r>
        <w:t xml:space="preserve">Afiliaciones laborales.</w:t>
      </w:r>
    </w:p>
    <w:bookmarkEnd w:id="65"/>
    <w:bookmarkStart w:id="66" w:name="datos-sensibles"/>
    <w:p>
      <w:pPr>
        <w:pStyle w:val="Heading2"/>
      </w:pPr>
      <w:r>
        <w:t xml:space="preserve">6.7 Datos sensibles</w:t>
      </w:r>
    </w:p>
    <w:p>
      <w:pPr>
        <w:pStyle w:val="FirstParagraph"/>
      </w:pPr>
      <w:r>
        <w:t xml:space="preserve">La taxonomía deberá contemplar las categorías señaladas por la ley, incluyendo:</w:t>
      </w:r>
    </w:p>
    <w:p>
      <w:pPr>
        <w:pStyle w:val="Compact"/>
        <w:numPr>
          <w:ilvl w:val="0"/>
          <w:numId w:val="1045"/>
        </w:numPr>
      </w:pPr>
      <w:r>
        <w:t xml:space="preserve">Origen étnico o racial.</w:t>
      </w:r>
    </w:p>
    <w:p>
      <w:pPr>
        <w:pStyle w:val="Compact"/>
        <w:numPr>
          <w:ilvl w:val="0"/>
          <w:numId w:val="1045"/>
        </w:numPr>
      </w:pPr>
      <w:r>
        <w:t xml:space="preserve">Afiliación política.</w:t>
      </w:r>
    </w:p>
    <w:p>
      <w:pPr>
        <w:pStyle w:val="Compact"/>
        <w:numPr>
          <w:ilvl w:val="0"/>
          <w:numId w:val="1045"/>
        </w:numPr>
      </w:pPr>
      <w:r>
        <w:t xml:space="preserve">Afiliación sindical o gremial.</w:t>
      </w:r>
    </w:p>
    <w:p>
      <w:pPr>
        <w:pStyle w:val="Compact"/>
        <w:numPr>
          <w:ilvl w:val="0"/>
          <w:numId w:val="1045"/>
        </w:numPr>
      </w:pPr>
      <w:r>
        <w:t xml:space="preserve">Situación socioeconómica.</w:t>
      </w:r>
    </w:p>
    <w:p>
      <w:pPr>
        <w:pStyle w:val="Compact"/>
        <w:numPr>
          <w:ilvl w:val="0"/>
          <w:numId w:val="1045"/>
        </w:numPr>
      </w:pPr>
      <w:r>
        <w:t xml:space="preserve">Convicciones ideológicas o filosóficas.</w:t>
      </w:r>
    </w:p>
    <w:p>
      <w:pPr>
        <w:pStyle w:val="Compact"/>
        <w:numPr>
          <w:ilvl w:val="0"/>
          <w:numId w:val="1045"/>
        </w:numPr>
      </w:pPr>
      <w:r>
        <w:t xml:space="preserve">Creencias religiosas.</w:t>
      </w:r>
    </w:p>
    <w:p>
      <w:pPr>
        <w:pStyle w:val="Compact"/>
        <w:numPr>
          <w:ilvl w:val="0"/>
          <w:numId w:val="1045"/>
        </w:numPr>
      </w:pPr>
      <w:r>
        <w:t xml:space="preserve">Datos de salud.</w:t>
      </w:r>
    </w:p>
    <w:p>
      <w:pPr>
        <w:pStyle w:val="Compact"/>
        <w:numPr>
          <w:ilvl w:val="0"/>
          <w:numId w:val="1045"/>
        </w:numPr>
      </w:pPr>
      <w:r>
        <w:t xml:space="preserve">Perfil biológico.</w:t>
      </w:r>
    </w:p>
    <w:p>
      <w:pPr>
        <w:pStyle w:val="Compact"/>
        <w:numPr>
          <w:ilvl w:val="0"/>
          <w:numId w:val="1045"/>
        </w:numPr>
      </w:pPr>
      <w:r>
        <w:t xml:space="preserve">Datos biométricos.</w:t>
      </w:r>
    </w:p>
    <w:p>
      <w:pPr>
        <w:pStyle w:val="Compact"/>
        <w:numPr>
          <w:ilvl w:val="0"/>
          <w:numId w:val="1045"/>
        </w:numPr>
      </w:pPr>
      <w:r>
        <w:t xml:space="preserve">Vida sexual.</w:t>
      </w:r>
    </w:p>
    <w:p>
      <w:pPr>
        <w:pStyle w:val="Compact"/>
        <w:numPr>
          <w:ilvl w:val="0"/>
          <w:numId w:val="1045"/>
        </w:numPr>
      </w:pPr>
      <w:r>
        <w:t xml:space="preserve">Orientación sexual.</w:t>
      </w:r>
    </w:p>
    <w:p>
      <w:pPr>
        <w:pStyle w:val="Compact"/>
        <w:numPr>
          <w:ilvl w:val="0"/>
          <w:numId w:val="1045"/>
        </w:numPr>
      </w:pPr>
      <w:r>
        <w:t xml:space="preserve">Identidad de género.</w:t>
      </w:r>
    </w:p>
    <w:bookmarkEnd w:id="66"/>
    <w:bookmarkStart w:id="67" w:name="categorías-especialmente-controladas"/>
    <w:p>
      <w:pPr>
        <w:pStyle w:val="Heading2"/>
      </w:pPr>
      <w:r>
        <w:t xml:space="preserve">6.8 Categorías especialmente controladas</w:t>
      </w:r>
    </w:p>
    <w:p>
      <w:pPr>
        <w:pStyle w:val="Compact"/>
        <w:numPr>
          <w:ilvl w:val="0"/>
          <w:numId w:val="1046"/>
        </w:numPr>
      </w:pPr>
      <w:r>
        <w:t xml:space="preserve">Datos de niños, niñas y adolescentes.</w:t>
      </w:r>
    </w:p>
    <w:p>
      <w:pPr>
        <w:pStyle w:val="Compact"/>
        <w:numPr>
          <w:ilvl w:val="0"/>
          <w:numId w:val="1046"/>
        </w:numPr>
      </w:pPr>
      <w:r>
        <w:t xml:space="preserve">Geolocalización.</w:t>
      </w:r>
    </w:p>
    <w:p>
      <w:pPr>
        <w:pStyle w:val="Compact"/>
        <w:numPr>
          <w:ilvl w:val="0"/>
          <w:numId w:val="1046"/>
        </w:numPr>
      </w:pPr>
      <w:r>
        <w:t xml:space="preserve">Datos biométricos.</w:t>
      </w:r>
    </w:p>
    <w:p>
      <w:pPr>
        <w:pStyle w:val="Compact"/>
        <w:numPr>
          <w:ilvl w:val="0"/>
          <w:numId w:val="1046"/>
        </w:numPr>
      </w:pPr>
      <w:r>
        <w:t xml:space="preserve">Datos de salud.</w:t>
      </w:r>
    </w:p>
    <w:p>
      <w:pPr>
        <w:pStyle w:val="Compact"/>
        <w:numPr>
          <w:ilvl w:val="0"/>
          <w:numId w:val="1046"/>
        </w:numPr>
      </w:pPr>
      <w:r>
        <w:t xml:space="preserve">Datos sobre infracciones.</w:t>
      </w:r>
    </w:p>
    <w:p>
      <w:pPr>
        <w:pStyle w:val="Compact"/>
        <w:numPr>
          <w:ilvl w:val="0"/>
          <w:numId w:val="1046"/>
        </w:numPr>
      </w:pPr>
      <w:r>
        <w:t xml:space="preserve">Credenciales.</w:t>
      </w:r>
    </w:p>
    <w:p>
      <w:pPr>
        <w:pStyle w:val="Compact"/>
        <w:numPr>
          <w:ilvl w:val="0"/>
          <w:numId w:val="1046"/>
        </w:numPr>
      </w:pPr>
      <w:r>
        <w:t xml:space="preserve">Datos de autenticación.</w:t>
      </w:r>
    </w:p>
    <w:p>
      <w:pPr>
        <w:pStyle w:val="Compact"/>
        <w:numPr>
          <w:ilvl w:val="0"/>
          <w:numId w:val="1046"/>
        </w:numPr>
      </w:pPr>
      <w:r>
        <w:t xml:space="preserve">Perfiles e inferencias.</w:t>
      </w:r>
    </w:p>
    <w:p>
      <w:pPr>
        <w:pStyle w:val="Compact"/>
        <w:numPr>
          <w:ilvl w:val="0"/>
          <w:numId w:val="1046"/>
        </w:numPr>
      </w:pPr>
      <w:r>
        <w:t xml:space="preserve">Decisiones automatizadas.</w:t>
      </w:r>
    </w:p>
    <w:bookmarkEnd w:id="67"/>
    <w:bookmarkStart w:id="68" w:name="datos-no-personales-pero-críticos"/>
    <w:p>
      <w:pPr>
        <w:pStyle w:val="Heading2"/>
      </w:pPr>
      <w:r>
        <w:t xml:space="preserve">6.9 Datos no personales pero críticos</w:t>
      </w:r>
    </w:p>
    <w:p>
      <w:pPr>
        <w:pStyle w:val="FirstParagraph"/>
      </w:pPr>
      <w:r>
        <w:t xml:space="preserve">El sistema deberá separar los datos personales de:</w:t>
      </w:r>
    </w:p>
    <w:p>
      <w:pPr>
        <w:pStyle w:val="Compact"/>
        <w:numPr>
          <w:ilvl w:val="0"/>
          <w:numId w:val="1047"/>
        </w:numPr>
      </w:pPr>
      <w:r>
        <w:t xml:space="preserve">Contraseñas.</w:t>
      </w:r>
    </w:p>
    <w:p>
      <w:pPr>
        <w:pStyle w:val="Compact"/>
        <w:numPr>
          <w:ilvl w:val="0"/>
          <w:numId w:val="1047"/>
        </w:numPr>
      </w:pPr>
      <w:r>
        <w:t xml:space="preserve">Secretos.</w:t>
      </w:r>
    </w:p>
    <w:p>
      <w:pPr>
        <w:pStyle w:val="Compact"/>
        <w:numPr>
          <w:ilvl w:val="0"/>
          <w:numId w:val="1047"/>
        </w:numPr>
      </w:pPr>
      <w:r>
        <w:t xml:space="preserve">Claves API.</w:t>
      </w:r>
    </w:p>
    <w:p>
      <w:pPr>
        <w:pStyle w:val="Compact"/>
        <w:numPr>
          <w:ilvl w:val="0"/>
          <w:numId w:val="1047"/>
        </w:numPr>
      </w:pPr>
      <w:r>
        <w:t xml:space="preserve">Tokens.</w:t>
      </w:r>
    </w:p>
    <w:p>
      <w:pPr>
        <w:pStyle w:val="Compact"/>
        <w:numPr>
          <w:ilvl w:val="0"/>
          <w:numId w:val="1047"/>
        </w:numPr>
      </w:pPr>
      <w:r>
        <w:t xml:space="preserve">Certificados.</w:t>
      </w:r>
    </w:p>
    <w:p>
      <w:pPr>
        <w:pStyle w:val="Compact"/>
        <w:numPr>
          <w:ilvl w:val="0"/>
          <w:numId w:val="1047"/>
        </w:numPr>
      </w:pPr>
      <w:r>
        <w:t xml:space="preserve">Llaves privadas.</w:t>
      </w:r>
    </w:p>
    <w:p>
      <w:pPr>
        <w:pStyle w:val="Compact"/>
        <w:numPr>
          <w:ilvl w:val="0"/>
          <w:numId w:val="1047"/>
        </w:numPr>
      </w:pPr>
      <w:r>
        <w:t xml:space="preserve">Datos confidenciales de empresas.</w:t>
      </w:r>
    </w:p>
    <w:p>
      <w:pPr>
        <w:pStyle w:val="FirstParagraph"/>
      </w:pPr>
      <w:r>
        <w:t xml:space="preserve">Aunque estos elementos no siempre correspondan a datos personales, deberán generar alertas de seguridad.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análisis-de-información-y-consentimiento"/>
    <w:p>
      <w:pPr>
        <w:pStyle w:val="Heading1"/>
      </w:pPr>
      <w:r>
        <w:t xml:space="preserve">7. Análisis de información y consentimiento</w:t>
      </w:r>
    </w:p>
    <w:bookmarkStart w:id="70" w:name="Xe52fac935061beefca5d66de2eb7a41bb1d94bd"/>
    <w:p>
      <w:pPr>
        <w:pStyle w:val="Heading2"/>
      </w:pPr>
      <w:r>
        <w:t xml:space="preserve">RF-701. Detección de avisos de privacidad</w:t>
      </w:r>
    </w:p>
    <w:p>
      <w:pPr>
        <w:pStyle w:val="FirstParagraph"/>
      </w:pPr>
      <w:r>
        <w:t xml:space="preserve">El sistema deberá detectar:</w:t>
      </w:r>
    </w:p>
    <w:p>
      <w:pPr>
        <w:pStyle w:val="Compact"/>
        <w:numPr>
          <w:ilvl w:val="0"/>
          <w:numId w:val="1048"/>
        </w:numPr>
      </w:pPr>
      <w:r>
        <w:t xml:space="preserve">Política de privacidad.</w:t>
      </w:r>
    </w:p>
    <w:p>
      <w:pPr>
        <w:pStyle w:val="Compact"/>
        <w:numPr>
          <w:ilvl w:val="0"/>
          <w:numId w:val="1048"/>
        </w:numPr>
      </w:pPr>
      <w:r>
        <w:t xml:space="preserve">Aviso breve en formularios.</w:t>
      </w:r>
    </w:p>
    <w:p>
      <w:pPr>
        <w:pStyle w:val="Compact"/>
        <w:numPr>
          <w:ilvl w:val="0"/>
          <w:numId w:val="1048"/>
        </w:numPr>
      </w:pPr>
      <w:r>
        <w:t xml:space="preserve">Política de cookies.</w:t>
      </w:r>
    </w:p>
    <w:p>
      <w:pPr>
        <w:pStyle w:val="Compact"/>
        <w:numPr>
          <w:ilvl w:val="0"/>
          <w:numId w:val="1048"/>
        </w:numPr>
      </w:pPr>
      <w:r>
        <w:t xml:space="preserve">Términos y condiciones.</w:t>
      </w:r>
    </w:p>
    <w:p>
      <w:pPr>
        <w:pStyle w:val="Compact"/>
        <w:numPr>
          <w:ilvl w:val="0"/>
          <w:numId w:val="1048"/>
        </w:numPr>
      </w:pPr>
      <w:r>
        <w:t xml:space="preserve">Textos de autorización.</w:t>
      </w:r>
    </w:p>
    <w:p>
      <w:pPr>
        <w:pStyle w:val="Compact"/>
        <w:numPr>
          <w:ilvl w:val="0"/>
          <w:numId w:val="1048"/>
        </w:numPr>
      </w:pPr>
      <w:r>
        <w:t xml:space="preserve">Enlaces a información adicional.</w:t>
      </w:r>
    </w:p>
    <w:p>
      <w:pPr>
        <w:pStyle w:val="Compact"/>
        <w:numPr>
          <w:ilvl w:val="0"/>
          <w:numId w:val="1048"/>
        </w:numPr>
      </w:pPr>
      <w:r>
        <w:t xml:space="preserve">Identificación del responsable.</w:t>
      </w:r>
    </w:p>
    <w:p>
      <w:pPr>
        <w:pStyle w:val="Compact"/>
        <w:numPr>
          <w:ilvl w:val="0"/>
          <w:numId w:val="1048"/>
        </w:numPr>
      </w:pPr>
      <w:r>
        <w:t xml:space="preserve">Canal de contacto.</w:t>
      </w:r>
    </w:p>
    <w:p>
      <w:pPr>
        <w:pStyle w:val="Compact"/>
        <w:numPr>
          <w:ilvl w:val="0"/>
          <w:numId w:val="1048"/>
        </w:numPr>
      </w:pPr>
      <w:r>
        <w:t xml:space="preserve">Canal para ejercer derechos.</w:t>
      </w:r>
    </w:p>
    <w:p>
      <w:pPr>
        <w:pStyle w:val="Compact"/>
        <w:numPr>
          <w:ilvl w:val="0"/>
          <w:numId w:val="1048"/>
        </w:numPr>
      </w:pPr>
      <w:r>
        <w:t xml:space="preserve">Fecha y versión del documento.</w:t>
      </w:r>
    </w:p>
    <w:bookmarkEnd w:id="70"/>
    <w:bookmarkStart w:id="71" w:name="rf-702.-extracción-de-declaraciones"/>
    <w:p>
      <w:pPr>
        <w:pStyle w:val="Heading2"/>
      </w:pPr>
      <w:r>
        <w:t xml:space="preserve">RF-702. Extracción de declaraciones</w:t>
      </w:r>
    </w:p>
    <w:p>
      <w:pPr>
        <w:pStyle w:val="FirstParagraph"/>
      </w:pPr>
      <w:r>
        <w:t xml:space="preserve">Mediante reglas y procesamiento de lenguaje, deberá extraerse evidencia sobre:</w:t>
      </w:r>
    </w:p>
    <w:p>
      <w:pPr>
        <w:pStyle w:val="Compact"/>
        <w:numPr>
          <w:ilvl w:val="0"/>
          <w:numId w:val="1049"/>
        </w:numPr>
      </w:pPr>
      <w:r>
        <w:t xml:space="preserve">Categorías de datos.</w:t>
      </w:r>
    </w:p>
    <w:p>
      <w:pPr>
        <w:pStyle w:val="Compact"/>
        <w:numPr>
          <w:ilvl w:val="0"/>
          <w:numId w:val="1049"/>
        </w:numPr>
      </w:pPr>
      <w:r>
        <w:t xml:space="preserve">Finalidades.</w:t>
      </w:r>
    </w:p>
    <w:p>
      <w:pPr>
        <w:pStyle w:val="Compact"/>
        <w:numPr>
          <w:ilvl w:val="0"/>
          <w:numId w:val="1049"/>
        </w:numPr>
      </w:pPr>
      <w:r>
        <w:t xml:space="preserve">Base de licitud declarada.</w:t>
      </w:r>
    </w:p>
    <w:p>
      <w:pPr>
        <w:pStyle w:val="Compact"/>
        <w:numPr>
          <w:ilvl w:val="0"/>
          <w:numId w:val="1049"/>
        </w:numPr>
      </w:pPr>
      <w:r>
        <w:t xml:space="preserve">Destinatarios.</w:t>
      </w:r>
    </w:p>
    <w:p>
      <w:pPr>
        <w:pStyle w:val="Compact"/>
        <w:numPr>
          <w:ilvl w:val="0"/>
          <w:numId w:val="1049"/>
        </w:numPr>
      </w:pPr>
      <w:r>
        <w:t xml:space="preserve">Proveedores.</w:t>
      </w:r>
    </w:p>
    <w:p>
      <w:pPr>
        <w:pStyle w:val="Compact"/>
        <w:numPr>
          <w:ilvl w:val="0"/>
          <w:numId w:val="1049"/>
        </w:numPr>
      </w:pPr>
      <w:r>
        <w:t xml:space="preserve">Transferencias internacionales.</w:t>
      </w:r>
    </w:p>
    <w:p>
      <w:pPr>
        <w:pStyle w:val="Compact"/>
        <w:numPr>
          <w:ilvl w:val="0"/>
          <w:numId w:val="1049"/>
        </w:numPr>
      </w:pPr>
      <w:r>
        <w:t xml:space="preserve">Plazo de conservación.</w:t>
      </w:r>
    </w:p>
    <w:p>
      <w:pPr>
        <w:pStyle w:val="Compact"/>
        <w:numPr>
          <w:ilvl w:val="0"/>
          <w:numId w:val="1049"/>
        </w:numPr>
      </w:pPr>
      <w:r>
        <w:t xml:space="preserve">Uso de cookies.</w:t>
      </w:r>
    </w:p>
    <w:p>
      <w:pPr>
        <w:pStyle w:val="Compact"/>
        <w:numPr>
          <w:ilvl w:val="0"/>
          <w:numId w:val="1049"/>
        </w:numPr>
      </w:pPr>
      <w:r>
        <w:t xml:space="preserve">Analítica.</w:t>
      </w:r>
    </w:p>
    <w:p>
      <w:pPr>
        <w:pStyle w:val="Compact"/>
        <w:numPr>
          <w:ilvl w:val="0"/>
          <w:numId w:val="1049"/>
        </w:numPr>
      </w:pPr>
      <w:r>
        <w:t xml:space="preserve">Marketing.</w:t>
      </w:r>
    </w:p>
    <w:p>
      <w:pPr>
        <w:pStyle w:val="Compact"/>
        <w:numPr>
          <w:ilvl w:val="0"/>
          <w:numId w:val="1049"/>
        </w:numPr>
      </w:pPr>
      <w:r>
        <w:t xml:space="preserve">Perfilamiento.</w:t>
      </w:r>
    </w:p>
    <w:p>
      <w:pPr>
        <w:pStyle w:val="Compact"/>
        <w:numPr>
          <w:ilvl w:val="0"/>
          <w:numId w:val="1049"/>
        </w:numPr>
      </w:pPr>
      <w:r>
        <w:t xml:space="preserve">Decisiones automatizadas.</w:t>
      </w:r>
    </w:p>
    <w:p>
      <w:pPr>
        <w:pStyle w:val="Compact"/>
        <w:numPr>
          <w:ilvl w:val="0"/>
          <w:numId w:val="1049"/>
        </w:numPr>
      </w:pPr>
      <w:r>
        <w:t xml:space="preserve">Derechos.</w:t>
      </w:r>
    </w:p>
    <w:p>
      <w:pPr>
        <w:pStyle w:val="Compact"/>
        <w:numPr>
          <w:ilvl w:val="0"/>
          <w:numId w:val="1049"/>
        </w:numPr>
      </w:pPr>
      <w:r>
        <w:t xml:space="preserve">Retiro del consentimiento.</w:t>
      </w:r>
    </w:p>
    <w:p>
      <w:pPr>
        <w:pStyle w:val="FirstParagraph"/>
      </w:pPr>
      <w:r>
        <w:t xml:space="preserve">La ley exige mantener públicamente disponible información sobre las categorías de datos, titulares, destinatarios, finalidades, base de legitimidad, transferencias, conservación y decisiones automatizadas.</w:t>
      </w:r>
    </w:p>
    <w:bookmarkEnd w:id="71"/>
    <w:bookmarkStart w:id="72" w:name="Xe4698bde15435478812e000bca1cb33733c845a"/>
    <w:p>
      <w:pPr>
        <w:pStyle w:val="Heading2"/>
      </w:pPr>
      <w:r>
        <w:t xml:space="preserve">RF-703. Evaluación formal del consentimiento</w:t>
      </w:r>
    </w:p>
    <w:p>
      <w:pPr>
        <w:pStyle w:val="FirstParagraph"/>
      </w:pPr>
      <w:r>
        <w:t xml:space="preserve">El sistema deberá observar:</w:t>
      </w:r>
    </w:p>
    <w:p>
      <w:pPr>
        <w:pStyle w:val="Compact"/>
        <w:numPr>
          <w:ilvl w:val="0"/>
          <w:numId w:val="1050"/>
        </w:numPr>
      </w:pPr>
      <w:r>
        <w:t xml:space="preserve">Existencia de acción afirmativa.</w:t>
      </w:r>
    </w:p>
    <w:p>
      <w:pPr>
        <w:pStyle w:val="Compact"/>
        <w:numPr>
          <w:ilvl w:val="0"/>
          <w:numId w:val="1050"/>
        </w:numPr>
      </w:pPr>
      <w:r>
        <w:t xml:space="preserve">Casilla premarcada.</w:t>
      </w:r>
    </w:p>
    <w:p>
      <w:pPr>
        <w:pStyle w:val="Compact"/>
        <w:numPr>
          <w:ilvl w:val="0"/>
          <w:numId w:val="1050"/>
        </w:numPr>
      </w:pPr>
      <w:r>
        <w:t xml:space="preserve">Consentimientos agrupados.</w:t>
      </w:r>
    </w:p>
    <w:p>
      <w:pPr>
        <w:pStyle w:val="Compact"/>
        <w:numPr>
          <w:ilvl w:val="0"/>
          <w:numId w:val="1050"/>
        </w:numPr>
      </w:pPr>
      <w:r>
        <w:t xml:space="preserve">Consentimientos separados por finalidad.</w:t>
      </w:r>
    </w:p>
    <w:p>
      <w:pPr>
        <w:pStyle w:val="Compact"/>
        <w:numPr>
          <w:ilvl w:val="0"/>
          <w:numId w:val="1050"/>
        </w:numPr>
      </w:pPr>
      <w:r>
        <w:t xml:space="preserve">Texto visible antes de la acción.</w:t>
      </w:r>
    </w:p>
    <w:p>
      <w:pPr>
        <w:pStyle w:val="Compact"/>
        <w:numPr>
          <w:ilvl w:val="0"/>
          <w:numId w:val="1050"/>
        </w:numPr>
      </w:pPr>
      <w:r>
        <w:t xml:space="preserve">Opción de rechazo.</w:t>
      </w:r>
    </w:p>
    <w:p>
      <w:pPr>
        <w:pStyle w:val="Compact"/>
        <w:numPr>
          <w:ilvl w:val="0"/>
          <w:numId w:val="1050"/>
        </w:numPr>
      </w:pPr>
      <w:r>
        <w:t xml:space="preserve">Opción de configuración.</w:t>
      </w:r>
    </w:p>
    <w:p>
      <w:pPr>
        <w:pStyle w:val="Compact"/>
        <w:numPr>
          <w:ilvl w:val="0"/>
          <w:numId w:val="1050"/>
        </w:numPr>
      </w:pPr>
      <w:r>
        <w:t xml:space="preserve">Equivalencia visual entre aceptar y rechazar.</w:t>
      </w:r>
    </w:p>
    <w:p>
      <w:pPr>
        <w:pStyle w:val="Compact"/>
        <w:numPr>
          <w:ilvl w:val="0"/>
          <w:numId w:val="1050"/>
        </w:numPr>
      </w:pPr>
      <w:r>
        <w:t xml:space="preserve">Acceso a la política.</w:t>
      </w:r>
    </w:p>
    <w:p>
      <w:pPr>
        <w:pStyle w:val="Compact"/>
        <w:numPr>
          <w:ilvl w:val="0"/>
          <w:numId w:val="1050"/>
        </w:numPr>
      </w:pPr>
      <w:r>
        <w:t xml:space="preserve">Mecanismo de revocación.</w:t>
      </w:r>
    </w:p>
    <w:p>
      <w:pPr>
        <w:pStyle w:val="Compact"/>
        <w:numPr>
          <w:ilvl w:val="0"/>
          <w:numId w:val="1050"/>
        </w:numPr>
      </w:pPr>
      <w:r>
        <w:t xml:space="preserve">Funcionamiento técnico de la revocación.</w:t>
      </w:r>
    </w:p>
    <w:p>
      <w:pPr>
        <w:pStyle w:val="Compact"/>
        <w:numPr>
          <w:ilvl w:val="0"/>
          <w:numId w:val="1050"/>
        </w:numPr>
      </w:pPr>
      <w:r>
        <w:t xml:space="preserve">Versión del consentimiento.</w:t>
      </w:r>
    </w:p>
    <w:p>
      <w:pPr>
        <w:pStyle w:val="Compact"/>
        <w:numPr>
          <w:ilvl w:val="0"/>
          <w:numId w:val="1050"/>
        </w:numPr>
      </w:pPr>
      <w:r>
        <w:t xml:space="preserve">Fecha y hora.</w:t>
      </w:r>
    </w:p>
    <w:p>
      <w:pPr>
        <w:pStyle w:val="Compact"/>
        <w:numPr>
          <w:ilvl w:val="0"/>
          <w:numId w:val="1050"/>
        </w:numPr>
      </w:pPr>
      <w:r>
        <w:t xml:space="preserve">Registro técnico del evento.</w:t>
      </w:r>
    </w:p>
    <w:bookmarkEnd w:id="72"/>
    <w:bookmarkStart w:id="73" w:name="rf-704.-matriz-de-correlación"/>
    <w:p>
      <w:pPr>
        <w:pStyle w:val="Heading2"/>
      </w:pPr>
      <w:r>
        <w:t xml:space="preserve">RF-704. Matriz de correlación</w:t>
      </w:r>
    </w:p>
    <w:p>
      <w:pPr>
        <w:pStyle w:val="FirstParagraph"/>
      </w:pPr>
      <w:r>
        <w:t xml:space="preserve">Para cada dato observado deberá construirse una matriz: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Punto de captura</w:t>
            </w:r>
          </w:p>
        </w:tc>
        <w:tc>
          <w:tcPr/>
          <w:p>
            <w:pPr>
              <w:pStyle w:val="Compact"/>
            </w:pPr>
            <w:r>
              <w:t xml:space="preserve">Finalidad declarada</w:t>
            </w:r>
          </w:p>
        </w:tc>
        <w:tc>
          <w:tcPr/>
          <w:p>
            <w:pPr>
              <w:pStyle w:val="Compact"/>
            </w:pPr>
            <w:r>
              <w:t xml:space="preserve">Base declarada</w:t>
            </w:r>
          </w:p>
        </w:tc>
        <w:tc>
          <w:tcPr/>
          <w:p>
            <w:pPr>
              <w:pStyle w:val="Compact"/>
            </w:pPr>
            <w:r>
              <w:t xml:space="preserve">Consentimiento observado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Formulario contacto</w:t>
            </w:r>
          </w:p>
        </w:tc>
        <w:tc>
          <w:tcPr/>
          <w:p>
            <w:pPr>
              <w:pStyle w:val="Compact"/>
            </w:pPr>
            <w:r>
              <w:t xml:space="preserve">Responder consulta</w:t>
            </w:r>
          </w:p>
        </w:tc>
        <w:tc>
          <w:tcPr/>
          <w:p>
            <w:pPr>
              <w:pStyle w:val="Compact"/>
            </w:pPr>
            <w:r>
              <w:t xml:space="preserve">No encontrada</w:t>
            </w:r>
          </w:p>
        </w:tc>
        <w:tc>
          <w:tcPr/>
          <w:p>
            <w:pPr>
              <w:pStyle w:val="Compact"/>
            </w:pPr>
            <w:r>
              <w:t xml:space="preserve">No requerido</w:t>
            </w:r>
          </w:p>
        </w:tc>
        <w:tc>
          <w:tcPr/>
          <w:p>
            <w:pPr>
              <w:pStyle w:val="Compact"/>
            </w:pPr>
            <w:r>
              <w:t xml:space="preserve">API propia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ID</w:t>
            </w:r>
          </w:p>
        </w:tc>
        <w:tc>
          <w:tcPr/>
          <w:p>
            <w:pPr>
              <w:pStyle w:val="Compact"/>
            </w:pPr>
            <w:r>
              <w:t xml:space="preserve">Navegación inicial</w:t>
            </w:r>
          </w:p>
        </w:tc>
        <w:tc>
          <w:tcPr/>
          <w:p>
            <w:pPr>
              <w:pStyle w:val="Compact"/>
            </w:pPr>
            <w:r>
              <w:t xml:space="preserve">Analítica</w:t>
            </w:r>
          </w:p>
        </w:tc>
        <w:tc>
          <w:tcPr/>
          <w:p>
            <w:pPr>
              <w:pStyle w:val="Compact"/>
            </w:pPr>
            <w:r>
              <w:t xml:space="preserve">Consentimiento</w:t>
            </w:r>
          </w:p>
        </w:tc>
        <w:tc>
          <w:tcPr/>
          <w:p>
            <w:pPr>
              <w:pStyle w:val="Compact"/>
            </w:pPr>
            <w:r>
              <w:t xml:space="preserve">Banner presente</w:t>
            </w:r>
          </w:p>
        </w:tc>
        <w:tc>
          <w:tcPr/>
          <w:p>
            <w:pPr>
              <w:pStyle w:val="Compact"/>
            </w:pPr>
            <w:r>
              <w:t xml:space="preserve">Tercero</w:t>
            </w:r>
          </w:p>
        </w:tc>
        <w:tc>
          <w:tcPr/>
          <w:p>
            <w:pPr>
              <w:pStyle w:val="Compact"/>
            </w:pPr>
            <w:r>
              <w:t xml:space="preserve">Ejecutada antes de aceptar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Crear cuenta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Casilla adicional de marketing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Parcialmente explicado</w:t>
            </w:r>
          </w:p>
        </w:tc>
      </w:tr>
    </w:tbl>
    <w:bookmarkEnd w:id="73"/>
    <w:bookmarkStart w:id="74" w:name="rf-705.-tipos-de-discrepancia"/>
    <w:p>
      <w:pPr>
        <w:pStyle w:val="Heading2"/>
      </w:pPr>
      <w:r>
        <w:t xml:space="preserve">RF-705. Tipos de discrepancia</w:t>
      </w:r>
    </w:p>
    <w:p>
      <w:pPr>
        <w:pStyle w:val="Compact"/>
        <w:numPr>
          <w:ilvl w:val="0"/>
          <w:numId w:val="1051"/>
        </w:numPr>
      </w:pPr>
      <w:r>
        <w:t xml:space="preserve">Dato capturado pero no informado.</w:t>
      </w:r>
    </w:p>
    <w:p>
      <w:pPr>
        <w:pStyle w:val="Compact"/>
        <w:numPr>
          <w:ilvl w:val="0"/>
          <w:numId w:val="1051"/>
        </w:numPr>
      </w:pPr>
      <w:r>
        <w:t xml:space="preserve">Categoría informada pero no observada.</w:t>
      </w:r>
    </w:p>
    <w:p>
      <w:pPr>
        <w:pStyle w:val="Compact"/>
        <w:numPr>
          <w:ilvl w:val="0"/>
          <w:numId w:val="1051"/>
        </w:numPr>
      </w:pPr>
      <w:r>
        <w:t xml:space="preserve">Tercero observado pero no declarado.</w:t>
      </w:r>
    </w:p>
    <w:p>
      <w:pPr>
        <w:pStyle w:val="Compact"/>
        <w:numPr>
          <w:ilvl w:val="0"/>
          <w:numId w:val="1051"/>
        </w:numPr>
      </w:pPr>
      <w:r>
        <w:t xml:space="preserve">Finalidad demasiado genérica.</w:t>
      </w:r>
    </w:p>
    <w:p>
      <w:pPr>
        <w:pStyle w:val="Compact"/>
        <w:numPr>
          <w:ilvl w:val="0"/>
          <w:numId w:val="1051"/>
        </w:numPr>
      </w:pPr>
      <w:r>
        <w:t xml:space="preserve">Consentimiento posterior a la captura.</w:t>
      </w:r>
    </w:p>
    <w:p>
      <w:pPr>
        <w:pStyle w:val="Compact"/>
        <w:numPr>
          <w:ilvl w:val="0"/>
          <w:numId w:val="1051"/>
        </w:numPr>
      </w:pPr>
      <w:r>
        <w:t xml:space="preserve">Consentimiento premarcado.</w:t>
      </w:r>
    </w:p>
    <w:p>
      <w:pPr>
        <w:pStyle w:val="Compact"/>
        <w:numPr>
          <w:ilvl w:val="0"/>
          <w:numId w:val="1051"/>
        </w:numPr>
      </w:pPr>
      <w:r>
        <w:t xml:space="preserve">Datos transmitidos tras rechazo.</w:t>
      </w:r>
    </w:p>
    <w:p>
      <w:pPr>
        <w:pStyle w:val="Compact"/>
        <w:numPr>
          <w:ilvl w:val="0"/>
          <w:numId w:val="1051"/>
        </w:numPr>
      </w:pPr>
      <w:r>
        <w:t xml:space="preserve">Revocación inefectiva.</w:t>
      </w:r>
    </w:p>
    <w:p>
      <w:pPr>
        <w:pStyle w:val="Compact"/>
        <w:numPr>
          <w:ilvl w:val="0"/>
          <w:numId w:val="1051"/>
        </w:numPr>
      </w:pPr>
      <w:r>
        <w:t xml:space="preserve">Política sin fecha o versión.</w:t>
      </w:r>
    </w:p>
    <w:p>
      <w:pPr>
        <w:pStyle w:val="Compact"/>
        <w:numPr>
          <w:ilvl w:val="0"/>
          <w:numId w:val="1051"/>
        </w:numPr>
      </w:pPr>
      <w:r>
        <w:t xml:space="preserve">Política inaccesible.</w:t>
      </w:r>
    </w:p>
    <w:p>
      <w:pPr>
        <w:pStyle w:val="Compact"/>
        <w:numPr>
          <w:ilvl w:val="0"/>
          <w:numId w:val="1051"/>
        </w:numPr>
      </w:pPr>
      <w:r>
        <w:t xml:space="preserve">Política distinta entre páginas.</w:t>
      </w:r>
    </w:p>
    <w:p>
      <w:pPr>
        <w:pStyle w:val="Compact"/>
        <w:numPr>
          <w:ilvl w:val="0"/>
          <w:numId w:val="1051"/>
        </w:numPr>
      </w:pPr>
      <w:r>
        <w:t xml:space="preserve">Campos obligatorios no diferenciados de opcionales.</w:t>
      </w:r>
    </w:p>
    <w:p>
      <w:pPr>
        <w:pStyle w:val="Compact"/>
        <w:numPr>
          <w:ilvl w:val="0"/>
          <w:numId w:val="1051"/>
        </w:numPr>
      </w:pPr>
      <w:r>
        <w:t xml:space="preserve">Captura de dato sensible sin aviso específico.</w:t>
      </w:r>
    </w:p>
    <w:p>
      <w:pPr>
        <w:pStyle w:val="Compact"/>
        <w:numPr>
          <w:ilvl w:val="0"/>
          <w:numId w:val="1051"/>
        </w:numPr>
      </w:pPr>
      <w:r>
        <w:t xml:space="preserve">Base de licitud no identificada.</w:t>
      </w:r>
    </w:p>
    <w:p>
      <w:pPr>
        <w:pStyle w:val="Compact"/>
        <w:numPr>
          <w:ilvl w:val="0"/>
          <w:numId w:val="1051"/>
        </w:numPr>
      </w:pPr>
      <w:r>
        <w:t xml:space="preserve">Retención no informada.</w:t>
      </w:r>
    </w:p>
    <w:p>
      <w:pPr>
        <w:pStyle w:val="Compact"/>
        <w:numPr>
          <w:ilvl w:val="0"/>
          <w:numId w:val="1051"/>
        </w:numPr>
      </w:pPr>
      <w:r>
        <w:t xml:space="preserve">Transferencia internacional no informada.</w:t>
      </w:r>
    </w:p>
    <w:p>
      <w:pPr>
        <w:pStyle w:val="FirstParagraph"/>
      </w:pPr>
      <w:r>
        <w:t xml:space="preserve">Estas discrepancias deberán presentarse como</w:t>
      </w:r>
      <w:r>
        <w:t xml:space="preserve"> </w:t>
      </w:r>
      <w:r>
        <w:rPr>
          <w:b/>
          <w:bCs/>
        </w:rPr>
        <w:t xml:space="preserve">indicadores para revisión</w:t>
      </w:r>
      <w:r>
        <w:t xml:space="preserve">, no como determinaciones definitivas de infracción.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modelo-de-evidencia"/>
    <w:p>
      <w:pPr>
        <w:pStyle w:val="Heading1"/>
      </w:pPr>
      <w:r>
        <w:t xml:space="preserve">8. Modelo de evidencia</w:t>
      </w:r>
    </w:p>
    <w:p>
      <w:pPr>
        <w:pStyle w:val="FirstParagraph"/>
      </w:pPr>
      <w:r>
        <w:t xml:space="preserve">Cada observación deberá generar un objeto de evidencia con:</w:t>
      </w:r>
    </w:p>
    <w:p>
      <w:pPr>
        <w:pStyle w:val="Compact"/>
        <w:numPr>
          <w:ilvl w:val="0"/>
          <w:numId w:val="1052"/>
        </w:numPr>
      </w:pPr>
      <w:r>
        <w:t xml:space="preserve">ID único.</w:t>
      </w:r>
    </w:p>
    <w:p>
      <w:pPr>
        <w:pStyle w:val="Compact"/>
        <w:numPr>
          <w:ilvl w:val="0"/>
          <w:numId w:val="1052"/>
        </w:numPr>
      </w:pPr>
      <w:r>
        <w:t xml:space="preserve">Proyecto.</w:t>
      </w:r>
    </w:p>
    <w:p>
      <w:pPr>
        <w:pStyle w:val="Compact"/>
        <w:numPr>
          <w:ilvl w:val="0"/>
          <w:numId w:val="1052"/>
        </w:numPr>
      </w:pPr>
      <w:r>
        <w:t xml:space="preserve">Ejecución.</w:t>
      </w:r>
    </w:p>
    <w:p>
      <w:pPr>
        <w:pStyle w:val="Compact"/>
        <w:numPr>
          <w:ilvl w:val="0"/>
          <w:numId w:val="1052"/>
        </w:numPr>
      </w:pPr>
      <w:r>
        <w:t xml:space="preserve">Fecha y hora.</w:t>
      </w:r>
    </w:p>
    <w:p>
      <w:pPr>
        <w:pStyle w:val="Compact"/>
        <w:numPr>
          <w:ilvl w:val="0"/>
          <w:numId w:val="1052"/>
        </w:numPr>
      </w:pPr>
      <w:r>
        <w:t xml:space="preserve">URL.</w:t>
      </w:r>
    </w:p>
    <w:p>
      <w:pPr>
        <w:pStyle w:val="Compact"/>
        <w:numPr>
          <w:ilvl w:val="0"/>
          <w:numId w:val="1052"/>
        </w:numPr>
      </w:pPr>
      <w:r>
        <w:t xml:space="preserve">Página de origen.</w:t>
      </w:r>
    </w:p>
    <w:p>
      <w:pPr>
        <w:pStyle w:val="Compact"/>
        <w:numPr>
          <w:ilvl w:val="0"/>
          <w:numId w:val="1052"/>
        </w:numPr>
      </w:pPr>
      <w:r>
        <w:t xml:space="preserve">Acción del navegador.</w:t>
      </w:r>
    </w:p>
    <w:p>
      <w:pPr>
        <w:pStyle w:val="Compact"/>
        <w:numPr>
          <w:ilvl w:val="0"/>
          <w:numId w:val="1052"/>
        </w:numPr>
      </w:pPr>
      <w:r>
        <w:t xml:space="preserve">Estado de consentimiento.</w:t>
      </w:r>
    </w:p>
    <w:p>
      <w:pPr>
        <w:pStyle w:val="Compact"/>
        <w:numPr>
          <w:ilvl w:val="0"/>
          <w:numId w:val="1052"/>
        </w:numPr>
      </w:pPr>
      <w:r>
        <w:t xml:space="preserve">Tipo de evidencia.</w:t>
      </w:r>
    </w:p>
    <w:p>
      <w:pPr>
        <w:pStyle w:val="Compact"/>
        <w:numPr>
          <w:ilvl w:val="0"/>
          <w:numId w:val="1052"/>
        </w:numPr>
      </w:pPr>
      <w:r>
        <w:t xml:space="preserve">Dato detectado.</w:t>
      </w:r>
    </w:p>
    <w:p>
      <w:pPr>
        <w:pStyle w:val="Compact"/>
        <w:numPr>
          <w:ilvl w:val="0"/>
          <w:numId w:val="1052"/>
        </w:numPr>
      </w:pPr>
      <w:r>
        <w:t xml:space="preserve">Valor enmascarado.</w:t>
      </w:r>
    </w:p>
    <w:p>
      <w:pPr>
        <w:pStyle w:val="Compact"/>
        <w:numPr>
          <w:ilvl w:val="0"/>
          <w:numId w:val="1052"/>
        </w:numPr>
      </w:pPr>
      <w:r>
        <w:t xml:space="preserve">Método de detección.</w:t>
      </w:r>
    </w:p>
    <w:p>
      <w:pPr>
        <w:pStyle w:val="Compact"/>
        <w:numPr>
          <w:ilvl w:val="0"/>
          <w:numId w:val="1052"/>
        </w:numPr>
      </w:pPr>
      <w:r>
        <w:t xml:space="preserve">Nivel de confianza.</w:t>
      </w:r>
    </w:p>
    <w:p>
      <w:pPr>
        <w:pStyle w:val="Compact"/>
        <w:numPr>
          <w:ilvl w:val="0"/>
          <w:numId w:val="1052"/>
        </w:numPr>
      </w:pPr>
      <w:r>
        <w:t xml:space="preserve">Destino.</w:t>
      </w:r>
    </w:p>
    <w:p>
      <w:pPr>
        <w:pStyle w:val="Compact"/>
        <w:numPr>
          <w:ilvl w:val="0"/>
          <w:numId w:val="1052"/>
        </w:numPr>
      </w:pPr>
      <w:r>
        <w:t xml:space="preserve">Captura de pantalla.</w:t>
      </w:r>
    </w:p>
    <w:p>
      <w:pPr>
        <w:pStyle w:val="Compact"/>
        <w:numPr>
          <w:ilvl w:val="0"/>
          <w:numId w:val="1052"/>
        </w:numPr>
      </w:pPr>
      <w:r>
        <w:t xml:space="preserve">DOM relacionado.</w:t>
      </w:r>
    </w:p>
    <w:p>
      <w:pPr>
        <w:pStyle w:val="Compact"/>
        <w:numPr>
          <w:ilvl w:val="0"/>
          <w:numId w:val="1052"/>
        </w:numPr>
      </w:pPr>
      <w:r>
        <w:t xml:space="preserve">Solicitud de red relacionada.</w:t>
      </w:r>
    </w:p>
    <w:p>
      <w:pPr>
        <w:pStyle w:val="Compact"/>
        <w:numPr>
          <w:ilvl w:val="0"/>
          <w:numId w:val="1052"/>
        </w:numPr>
      </w:pPr>
      <w:r>
        <w:t xml:space="preserve">Fragmento de código relacionado.</w:t>
      </w:r>
    </w:p>
    <w:p>
      <w:pPr>
        <w:pStyle w:val="Compact"/>
        <w:numPr>
          <w:ilvl w:val="0"/>
          <w:numId w:val="1052"/>
        </w:numPr>
      </w:pPr>
      <w:r>
        <w:t xml:space="preserve">Archivo y línea, si corresponde.</w:t>
      </w:r>
    </w:p>
    <w:p>
      <w:pPr>
        <w:pStyle w:val="Compact"/>
        <w:numPr>
          <w:ilvl w:val="0"/>
          <w:numId w:val="1052"/>
        </w:numPr>
      </w:pPr>
      <w:r>
        <w:t xml:space="preserve">Hash de integridad.</w:t>
      </w:r>
    </w:p>
    <w:p>
      <w:pPr>
        <w:pStyle w:val="Compact"/>
        <w:numPr>
          <w:ilvl w:val="0"/>
          <w:numId w:val="1052"/>
        </w:numPr>
      </w:pPr>
      <w:r>
        <w:t xml:space="preserve">Evaluador que confirmó o rechazó la observación.</w:t>
      </w:r>
    </w:p>
    <w:bookmarkStart w:id="82" w:name="niveles-de-evidencia"/>
    <w:p>
      <w:pPr>
        <w:pStyle w:val="Heading2"/>
      </w:pPr>
      <w:r>
        <w:t xml:space="preserve">Niveles de evidencia</w:t>
      </w:r>
    </w:p>
    <w:bookmarkStart w:id="76" w:name="e0-no-observado"/>
    <w:p>
      <w:pPr>
        <w:pStyle w:val="Heading3"/>
      </w:pPr>
      <w:r>
        <w:t xml:space="preserve">E0 — No observado</w:t>
      </w:r>
    </w:p>
    <w:p>
      <w:pPr>
        <w:pStyle w:val="FirstParagraph"/>
      </w:pPr>
      <w:r>
        <w:t xml:space="preserve">No se encontró evidencia en la cobertura ejecutada.</w:t>
      </w:r>
    </w:p>
    <w:bookmarkEnd w:id="76"/>
    <w:bookmarkStart w:id="77" w:name="e1-evidencia-estática"/>
    <w:p>
      <w:pPr>
        <w:pStyle w:val="Heading3"/>
      </w:pPr>
      <w:r>
        <w:t xml:space="preserve">E1 — Evidencia estática</w:t>
      </w:r>
    </w:p>
    <w:p>
      <w:pPr>
        <w:pStyle w:val="FirstParagraph"/>
      </w:pPr>
      <w:r>
        <w:t xml:space="preserve">El dato aparece en HTML, JavaScript, código o documentación, pero no fue observado en ejecución.</w:t>
      </w:r>
    </w:p>
    <w:bookmarkEnd w:id="77"/>
    <w:bookmarkStart w:id="78" w:name="e2-evidencia-de-captura"/>
    <w:p>
      <w:pPr>
        <w:pStyle w:val="Heading3"/>
      </w:pPr>
      <w:r>
        <w:t xml:space="preserve">E2 — Evidencia de captura</w:t>
      </w:r>
    </w:p>
    <w:p>
      <w:pPr>
        <w:pStyle w:val="FirstParagraph"/>
      </w:pPr>
      <w:r>
        <w:t xml:space="preserve">El dato fue ingresado, generado o almacenado en el navegador.</w:t>
      </w:r>
    </w:p>
    <w:bookmarkEnd w:id="78"/>
    <w:bookmarkStart w:id="79" w:name="e3-evidencia-de-transmisión"/>
    <w:p>
      <w:pPr>
        <w:pStyle w:val="Heading3"/>
      </w:pPr>
      <w:r>
        <w:t xml:space="preserve">E3 — Evidencia de transmisión</w:t>
      </w:r>
    </w:p>
    <w:p>
      <w:pPr>
        <w:pStyle w:val="FirstParagraph"/>
      </w:pPr>
      <w:r>
        <w:t xml:space="preserve">El dato fue observado en una solicitud de red.</w:t>
      </w:r>
    </w:p>
    <w:bookmarkEnd w:id="79"/>
    <w:bookmarkStart w:id="80" w:name="e4-evidencia-de-procesamiento"/>
    <w:p>
      <w:pPr>
        <w:pStyle w:val="Heading3"/>
      </w:pPr>
      <w:r>
        <w:t xml:space="preserve">E4 — Evidencia de procesamiento</w:t>
      </w:r>
    </w:p>
    <w:p>
      <w:pPr>
        <w:pStyle w:val="FirstParagraph"/>
      </w:pPr>
      <w:r>
        <w:t xml:space="preserve">El dato aparece en lógica backend, integración, cola o servicio.</w:t>
      </w:r>
    </w:p>
    <w:bookmarkEnd w:id="80"/>
    <w:bookmarkStart w:id="81" w:name="e5-evidencia-de-persistencia"/>
    <w:p>
      <w:pPr>
        <w:pStyle w:val="Heading3"/>
      </w:pPr>
      <w:r>
        <w:t xml:space="preserve">E5 — Evidencia de persistencia</w:t>
      </w:r>
    </w:p>
    <w:p>
      <w:pPr>
        <w:pStyle w:val="FirstParagraph"/>
      </w:pPr>
      <w:r>
        <w:t xml:space="preserve">El dato aparece en una base de datos, repositorio, archivo, log o respaldo.</w:t>
      </w:r>
    </w:p>
    <w:p>
      <w:pPr>
        <w:pStyle w:val="BodyText"/>
      </w:pPr>
      <w:r>
        <w:t xml:space="preserve">La plataforma deberá evitar expresiones como</w:t>
      </w:r>
      <w:r>
        <w:t xml:space="preserve"> </w:t>
      </w:r>
      <w:r>
        <w:t xml:space="preserve">“el sitio no captura el dato”</w:t>
      </w:r>
      <w:r>
        <w:t xml:space="preserve"> </w:t>
      </w:r>
      <w:r>
        <w:t xml:space="preserve">cuando sólo corresponda decir:</w:t>
      </w:r>
    </w:p>
    <w:p>
      <w:pPr>
        <w:pStyle w:val="BlockText"/>
      </w:pPr>
      <w:r>
        <w:t xml:space="preserve">“El dato no fue observado en las rutas y estados evaluados”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motor-de-clasificación"/>
    <w:p>
      <w:pPr>
        <w:pStyle w:val="Heading1"/>
      </w:pPr>
      <w:r>
        <w:t xml:space="preserve">9. Motor de clasificación</w:t>
      </w:r>
    </w:p>
    <w:p>
      <w:pPr>
        <w:pStyle w:val="FirstParagraph"/>
      </w:pPr>
      <w:r>
        <w:t xml:space="preserve">El motor deberá combinar:</w:t>
      </w:r>
    </w:p>
    <w:bookmarkStart w:id="84" w:name="reglas-determinísticas"/>
    <w:p>
      <w:pPr>
        <w:pStyle w:val="Heading2"/>
      </w:pPr>
      <w:r>
        <w:t xml:space="preserve">9.1 Reglas determinísticas</w:t>
      </w:r>
    </w:p>
    <w:p>
      <w:pPr>
        <w:pStyle w:val="Compact"/>
        <w:numPr>
          <w:ilvl w:val="0"/>
          <w:numId w:val="1053"/>
        </w:numPr>
      </w:pPr>
      <w:r>
        <w:t xml:space="preserve">Diccionarios.</w:t>
      </w:r>
    </w:p>
    <w:p>
      <w:pPr>
        <w:pStyle w:val="Compact"/>
        <w:numPr>
          <w:ilvl w:val="0"/>
          <w:numId w:val="1053"/>
        </w:numPr>
      </w:pPr>
      <w:r>
        <w:t xml:space="preserve">Expresiones regulares.</w:t>
      </w:r>
    </w:p>
    <w:p>
      <w:pPr>
        <w:pStyle w:val="Compact"/>
        <w:numPr>
          <w:ilvl w:val="0"/>
          <w:numId w:val="1053"/>
        </w:numPr>
      </w:pPr>
      <w:r>
        <w:t xml:space="preserve">Atributos HTML.</w:t>
      </w:r>
    </w:p>
    <w:p>
      <w:pPr>
        <w:pStyle w:val="Compact"/>
        <w:numPr>
          <w:ilvl w:val="0"/>
          <w:numId w:val="1053"/>
        </w:numPr>
      </w:pPr>
      <w:r>
        <w:t xml:space="preserve">Nombres de variables.</w:t>
      </w:r>
    </w:p>
    <w:p>
      <w:pPr>
        <w:pStyle w:val="Compact"/>
        <w:numPr>
          <w:ilvl w:val="0"/>
          <w:numId w:val="1053"/>
        </w:numPr>
      </w:pPr>
      <w:r>
        <w:t xml:space="preserve">Esquemas.</w:t>
      </w:r>
    </w:p>
    <w:p>
      <w:pPr>
        <w:pStyle w:val="Compact"/>
        <w:numPr>
          <w:ilvl w:val="0"/>
          <w:numId w:val="1053"/>
        </w:numPr>
      </w:pPr>
      <w:r>
        <w:t xml:space="preserve">Tipos de datos.</w:t>
      </w:r>
    </w:p>
    <w:p>
      <w:pPr>
        <w:pStyle w:val="Compact"/>
        <w:numPr>
          <w:ilvl w:val="0"/>
          <w:numId w:val="1053"/>
        </w:numPr>
      </w:pPr>
      <w:r>
        <w:t xml:space="preserve">Dominio receptor.</w:t>
      </w:r>
    </w:p>
    <w:p>
      <w:pPr>
        <w:pStyle w:val="Compact"/>
        <w:numPr>
          <w:ilvl w:val="0"/>
          <w:numId w:val="1053"/>
        </w:numPr>
      </w:pPr>
      <w:r>
        <w:t xml:space="preserve">Firmas de SDK conocidos.</w:t>
      </w:r>
    </w:p>
    <w:bookmarkEnd w:id="84"/>
    <w:bookmarkStart w:id="85" w:name="análisis-estructural"/>
    <w:p>
      <w:pPr>
        <w:pStyle w:val="Heading2"/>
      </w:pPr>
      <w:r>
        <w:t xml:space="preserve">9.2 Análisis estructural</w:t>
      </w:r>
    </w:p>
    <w:p>
      <w:pPr>
        <w:pStyle w:val="Compact"/>
        <w:numPr>
          <w:ilvl w:val="0"/>
          <w:numId w:val="1054"/>
        </w:numPr>
      </w:pPr>
      <w:r>
        <w:t xml:space="preserve">Árbol DOM.</w:t>
      </w:r>
    </w:p>
    <w:p>
      <w:pPr>
        <w:pStyle w:val="Compact"/>
        <w:numPr>
          <w:ilvl w:val="0"/>
          <w:numId w:val="1054"/>
        </w:numPr>
      </w:pPr>
      <w:r>
        <w:t xml:space="preserve">AST de código fuente.</w:t>
      </w:r>
    </w:p>
    <w:p>
      <w:pPr>
        <w:pStyle w:val="Compact"/>
        <w:numPr>
          <w:ilvl w:val="0"/>
          <w:numId w:val="1054"/>
        </w:numPr>
      </w:pPr>
      <w:r>
        <w:t xml:space="preserve">Esquemas API.</w:t>
      </w:r>
    </w:p>
    <w:p>
      <w:pPr>
        <w:pStyle w:val="Compact"/>
        <w:numPr>
          <w:ilvl w:val="0"/>
          <w:numId w:val="1054"/>
        </w:numPr>
      </w:pPr>
      <w:r>
        <w:t xml:space="preserve">Modelos ORM.</w:t>
      </w:r>
    </w:p>
    <w:p>
      <w:pPr>
        <w:pStyle w:val="Compact"/>
        <w:numPr>
          <w:ilvl w:val="0"/>
          <w:numId w:val="1054"/>
        </w:numPr>
      </w:pPr>
      <w:r>
        <w:t xml:space="preserve">Flujo de variables.</w:t>
      </w:r>
    </w:p>
    <w:p>
      <w:pPr>
        <w:pStyle w:val="Compact"/>
        <w:numPr>
          <w:ilvl w:val="0"/>
          <w:numId w:val="1054"/>
        </w:numPr>
      </w:pPr>
      <w:r>
        <w:t xml:space="preserve">Dependencias.</w:t>
      </w:r>
    </w:p>
    <w:p>
      <w:pPr>
        <w:pStyle w:val="Compact"/>
        <w:numPr>
          <w:ilvl w:val="0"/>
          <w:numId w:val="1054"/>
        </w:numPr>
      </w:pPr>
      <w:r>
        <w:t xml:space="preserve">Relaciones de base de datos.</w:t>
      </w:r>
    </w:p>
    <w:bookmarkEnd w:id="85"/>
    <w:bookmarkStart w:id="86" w:name="clasificación-estadística-o-de-lenguaje"/>
    <w:p>
      <w:pPr>
        <w:pStyle w:val="Heading2"/>
      </w:pPr>
      <w:r>
        <w:t xml:space="preserve">9.3 Clasificación estadística o de lenguaje</w:t>
      </w:r>
    </w:p>
    <w:p>
      <w:pPr>
        <w:pStyle w:val="FirstParagraph"/>
      </w:pPr>
      <w:r>
        <w:t xml:space="preserve">Podrá utilizarse IA para:</w:t>
      </w:r>
    </w:p>
    <w:p>
      <w:pPr>
        <w:pStyle w:val="Compact"/>
        <w:numPr>
          <w:ilvl w:val="0"/>
          <w:numId w:val="1055"/>
        </w:numPr>
      </w:pPr>
      <w:r>
        <w:t xml:space="preserve">Interpretar etiquetas ambiguas.</w:t>
      </w:r>
    </w:p>
    <w:p>
      <w:pPr>
        <w:pStyle w:val="Compact"/>
        <w:numPr>
          <w:ilvl w:val="0"/>
          <w:numId w:val="1055"/>
        </w:numPr>
      </w:pPr>
      <w:r>
        <w:t xml:space="preserve">Clasificar textos legales.</w:t>
      </w:r>
    </w:p>
    <w:p>
      <w:pPr>
        <w:pStyle w:val="Compact"/>
        <w:numPr>
          <w:ilvl w:val="0"/>
          <w:numId w:val="1055"/>
        </w:numPr>
      </w:pPr>
      <w:r>
        <w:t xml:space="preserve">Inferir finalidades declaradas.</w:t>
      </w:r>
    </w:p>
    <w:p>
      <w:pPr>
        <w:pStyle w:val="Compact"/>
        <w:numPr>
          <w:ilvl w:val="0"/>
          <w:numId w:val="1055"/>
        </w:numPr>
      </w:pPr>
      <w:r>
        <w:t xml:space="preserve">Relacionar conceptos equivalentes.</w:t>
      </w:r>
    </w:p>
    <w:p>
      <w:pPr>
        <w:pStyle w:val="Compact"/>
        <w:numPr>
          <w:ilvl w:val="0"/>
          <w:numId w:val="1055"/>
        </w:numPr>
      </w:pPr>
      <w:r>
        <w:t xml:space="preserve">Explicar discrepancias.</w:t>
      </w:r>
    </w:p>
    <w:p>
      <w:pPr>
        <w:pStyle w:val="Compact"/>
        <w:numPr>
          <w:ilvl w:val="0"/>
          <w:numId w:val="1055"/>
        </w:numPr>
      </w:pPr>
      <w:r>
        <w:t xml:space="preserve">Proponer clasificaciones.</w:t>
      </w:r>
    </w:p>
    <w:p>
      <w:pPr>
        <w:pStyle w:val="FirstParagraph"/>
      </w:pPr>
      <w:r>
        <w:t xml:space="preserve">La IA no deberá ser la única fuente para hallazgos críticos.</w:t>
      </w:r>
    </w:p>
    <w:p>
      <w:pPr>
        <w:pStyle w:val="BodyText"/>
      </w:pPr>
      <w:r>
        <w:t xml:space="preserve">Cada inferencia deberá incluir:</w:t>
      </w:r>
    </w:p>
    <w:p>
      <w:pPr>
        <w:pStyle w:val="Compact"/>
        <w:numPr>
          <w:ilvl w:val="0"/>
          <w:numId w:val="1056"/>
        </w:numPr>
      </w:pPr>
      <w:r>
        <w:t xml:space="preserve">Modelo utilizado.</w:t>
      </w:r>
    </w:p>
    <w:p>
      <w:pPr>
        <w:pStyle w:val="Compact"/>
        <w:numPr>
          <w:ilvl w:val="0"/>
          <w:numId w:val="1056"/>
        </w:numPr>
      </w:pPr>
      <w:r>
        <w:t xml:space="preserve">Versión.</w:t>
      </w:r>
    </w:p>
    <w:p>
      <w:pPr>
        <w:pStyle w:val="Compact"/>
        <w:numPr>
          <w:ilvl w:val="0"/>
          <w:numId w:val="1056"/>
        </w:numPr>
      </w:pPr>
      <w:r>
        <w:t xml:space="preserve">Prompt o regla.</w:t>
      </w:r>
    </w:p>
    <w:p>
      <w:pPr>
        <w:pStyle w:val="Compact"/>
        <w:numPr>
          <w:ilvl w:val="0"/>
          <w:numId w:val="1056"/>
        </w:numPr>
      </w:pPr>
      <w:r>
        <w:t xml:space="preserve">Evidencia suministrada.</w:t>
      </w:r>
    </w:p>
    <w:p>
      <w:pPr>
        <w:pStyle w:val="Compact"/>
        <w:numPr>
          <w:ilvl w:val="0"/>
          <w:numId w:val="1056"/>
        </w:numPr>
      </w:pPr>
      <w:r>
        <w:t xml:space="preserve">Confianza.</w:t>
      </w:r>
    </w:p>
    <w:p>
      <w:pPr>
        <w:pStyle w:val="Compact"/>
        <w:numPr>
          <w:ilvl w:val="0"/>
          <w:numId w:val="1056"/>
        </w:numPr>
      </w:pPr>
      <w:r>
        <w:t xml:space="preserve">Posibilidad de validación humana.</w:t>
      </w:r>
    </w:p>
    <w:bookmarkEnd w:id="86"/>
    <w:bookmarkStart w:id="87" w:name="revisión-humana"/>
    <w:p>
      <w:pPr>
        <w:pStyle w:val="Heading2"/>
      </w:pPr>
      <w:r>
        <w:t xml:space="preserve">9.4 Revisión humana</w:t>
      </w:r>
    </w:p>
    <w:p>
      <w:pPr>
        <w:pStyle w:val="FirstParagraph"/>
      </w:pPr>
      <w:r>
        <w:t xml:space="preserve">Un analista deberá poder:</w:t>
      </w:r>
    </w:p>
    <w:p>
      <w:pPr>
        <w:pStyle w:val="Compact"/>
        <w:numPr>
          <w:ilvl w:val="0"/>
          <w:numId w:val="1057"/>
        </w:numPr>
      </w:pPr>
      <w:r>
        <w:t xml:space="preserve">Confirmar.</w:t>
      </w:r>
    </w:p>
    <w:p>
      <w:pPr>
        <w:pStyle w:val="Compact"/>
        <w:numPr>
          <w:ilvl w:val="0"/>
          <w:numId w:val="1057"/>
        </w:numPr>
      </w:pPr>
      <w:r>
        <w:t xml:space="preserve">Rechazar.</w:t>
      </w:r>
    </w:p>
    <w:p>
      <w:pPr>
        <w:pStyle w:val="Compact"/>
        <w:numPr>
          <w:ilvl w:val="0"/>
          <w:numId w:val="1057"/>
        </w:numPr>
      </w:pPr>
      <w:r>
        <w:t xml:space="preserve">Reclasificar.</w:t>
      </w:r>
    </w:p>
    <w:p>
      <w:pPr>
        <w:pStyle w:val="Compact"/>
        <w:numPr>
          <w:ilvl w:val="0"/>
          <w:numId w:val="1057"/>
        </w:numPr>
      </w:pPr>
      <w:r>
        <w:t xml:space="preserve">Añadir contexto.</w:t>
      </w:r>
    </w:p>
    <w:p>
      <w:pPr>
        <w:pStyle w:val="Compact"/>
        <w:numPr>
          <w:ilvl w:val="0"/>
          <w:numId w:val="1057"/>
        </w:numPr>
      </w:pPr>
      <w:r>
        <w:t xml:space="preserve">Unir duplicados.</w:t>
      </w:r>
    </w:p>
    <w:p>
      <w:pPr>
        <w:pStyle w:val="Compact"/>
        <w:numPr>
          <w:ilvl w:val="0"/>
          <w:numId w:val="1057"/>
        </w:numPr>
      </w:pPr>
      <w:r>
        <w:t xml:space="preserve">Marcar falsos positivos.</w:t>
      </w:r>
    </w:p>
    <w:p>
      <w:pPr>
        <w:pStyle w:val="Compact"/>
        <w:numPr>
          <w:ilvl w:val="0"/>
          <w:numId w:val="1057"/>
        </w:numPr>
      </w:pPr>
      <w:r>
        <w:t xml:space="preserve">Definir una excepción.</w:t>
      </w:r>
    </w:p>
    <w:p>
      <w:pPr>
        <w:pStyle w:val="Compact"/>
        <w:numPr>
          <w:ilvl w:val="0"/>
          <w:numId w:val="1057"/>
        </w:numPr>
      </w:pPr>
      <w:r>
        <w:t xml:space="preserve">Asignar un responsable.</w:t>
      </w:r>
    </w:p>
    <w:p>
      <w:pPr>
        <w:pStyle w:val="Compact"/>
        <w:numPr>
          <w:ilvl w:val="0"/>
          <w:numId w:val="1057"/>
        </w:numPr>
      </w:pPr>
      <w:r>
        <w:t xml:space="preserve">Incorporar una base de licitud conocida.</w:t>
      </w:r>
    </w:p>
    <w:p>
      <w:pPr>
        <w:pStyle w:val="Compact"/>
        <w:numPr>
          <w:ilvl w:val="0"/>
          <w:numId w:val="1057"/>
        </w:numPr>
      </w:pPr>
      <w:r>
        <w:t xml:space="preserve">Documentar una justificación.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linaje-y-trazabilidad"/>
    <w:p>
      <w:pPr>
        <w:pStyle w:val="Heading1"/>
      </w:pPr>
      <w:r>
        <w:t xml:space="preserve">10. Linaje y trazabilidad</w:t>
      </w:r>
    </w:p>
    <w:p>
      <w:pPr>
        <w:pStyle w:val="FirstParagraph"/>
      </w:pPr>
      <w:r>
        <w:t xml:space="preserve">La plataforma deberá construir un grafo:</w:t>
      </w:r>
    </w:p>
    <w:p>
      <w:pPr>
        <w:pStyle w:val="BodyText"/>
      </w:pPr>
      <w:r>
        <w:rPr>
          <w:b/>
          <w:bCs/>
        </w:rPr>
        <w:t xml:space="preserve">Elemento de interfaz → variable frontend → solicitud → endpoint → servicio → tabla o tercero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Campo “Correo”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customer.email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/api/contact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ContactController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CRM SaaS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Tabla Leads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Plataforma de email marketing</w:t>
      </w:r>
    </w:p>
    <w:p>
      <w:pPr>
        <w:pStyle w:val="FirstParagraph"/>
      </w:pPr>
      <w:r>
        <w:t xml:space="preserve">Cada nodo deberá contener:</w:t>
      </w:r>
    </w:p>
    <w:p>
      <w:pPr>
        <w:pStyle w:val="Compact"/>
        <w:numPr>
          <w:ilvl w:val="0"/>
          <w:numId w:val="1058"/>
        </w:numPr>
      </w:pPr>
      <w:r>
        <w:t xml:space="preserve">Tipo.</w:t>
      </w:r>
    </w:p>
    <w:p>
      <w:pPr>
        <w:pStyle w:val="Compact"/>
        <w:numPr>
          <w:ilvl w:val="0"/>
          <w:numId w:val="1058"/>
        </w:numPr>
      </w:pPr>
      <w:r>
        <w:t xml:space="preserve">Sistema.</w:t>
      </w:r>
    </w:p>
    <w:p>
      <w:pPr>
        <w:pStyle w:val="Compact"/>
        <w:numPr>
          <w:ilvl w:val="0"/>
          <w:numId w:val="1058"/>
        </w:numPr>
      </w:pPr>
      <w:r>
        <w:t xml:space="preserve">Propietario.</w:t>
      </w:r>
    </w:p>
    <w:p>
      <w:pPr>
        <w:pStyle w:val="Compact"/>
        <w:numPr>
          <w:ilvl w:val="0"/>
          <w:numId w:val="1058"/>
        </w:numPr>
      </w:pPr>
      <w:r>
        <w:t xml:space="preserve">Evidencia.</w:t>
      </w:r>
    </w:p>
    <w:p>
      <w:pPr>
        <w:pStyle w:val="Compact"/>
        <w:numPr>
          <w:ilvl w:val="0"/>
          <w:numId w:val="1058"/>
        </w:numPr>
      </w:pPr>
      <w:r>
        <w:t xml:space="preserve">Categoría de dato.</w:t>
      </w:r>
    </w:p>
    <w:p>
      <w:pPr>
        <w:pStyle w:val="Compact"/>
        <w:numPr>
          <w:ilvl w:val="0"/>
          <w:numId w:val="1058"/>
        </w:numPr>
      </w:pPr>
      <w:r>
        <w:t xml:space="preserve">País o región.</w:t>
      </w:r>
    </w:p>
    <w:p>
      <w:pPr>
        <w:pStyle w:val="Compact"/>
        <w:numPr>
          <w:ilvl w:val="0"/>
          <w:numId w:val="1058"/>
        </w:numPr>
      </w:pPr>
      <w:r>
        <w:t xml:space="preserve">Estado de revisión.</w:t>
      </w:r>
    </w:p>
    <w:p>
      <w:pPr>
        <w:pStyle w:val="FirstParagraph"/>
      </w:pPr>
      <w:r>
        <w:t xml:space="preserve">La trazabilidad deberá distinguir:</w:t>
      </w:r>
    </w:p>
    <w:p>
      <w:pPr>
        <w:pStyle w:val="Compact"/>
        <w:numPr>
          <w:ilvl w:val="0"/>
          <w:numId w:val="1059"/>
        </w:numPr>
      </w:pPr>
      <w:r>
        <w:t xml:space="preserve">Recolección.</w:t>
      </w:r>
    </w:p>
    <w:p>
      <w:pPr>
        <w:pStyle w:val="Compact"/>
        <w:numPr>
          <w:ilvl w:val="0"/>
          <w:numId w:val="1059"/>
        </w:numPr>
      </w:pPr>
      <w:r>
        <w:t xml:space="preserve">Generación.</w:t>
      </w:r>
    </w:p>
    <w:p>
      <w:pPr>
        <w:pStyle w:val="Compact"/>
        <w:numPr>
          <w:ilvl w:val="0"/>
          <w:numId w:val="1059"/>
        </w:numPr>
      </w:pPr>
      <w:r>
        <w:t xml:space="preserve">Transmisión.</w:t>
      </w:r>
    </w:p>
    <w:p>
      <w:pPr>
        <w:pStyle w:val="Compact"/>
        <w:numPr>
          <w:ilvl w:val="0"/>
          <w:numId w:val="1059"/>
        </w:numPr>
      </w:pPr>
      <w:r>
        <w:t xml:space="preserve">Almacenamiento.</w:t>
      </w:r>
    </w:p>
    <w:p>
      <w:pPr>
        <w:pStyle w:val="Compact"/>
        <w:numPr>
          <w:ilvl w:val="0"/>
          <w:numId w:val="1059"/>
        </w:numPr>
      </w:pPr>
      <w:r>
        <w:t xml:space="preserve">Comunicación.</w:t>
      </w:r>
    </w:p>
    <w:p>
      <w:pPr>
        <w:pStyle w:val="Compact"/>
        <w:numPr>
          <w:ilvl w:val="0"/>
          <w:numId w:val="1059"/>
        </w:numPr>
      </w:pPr>
      <w:r>
        <w:t xml:space="preserve">Cesión.</w:t>
      </w:r>
    </w:p>
    <w:p>
      <w:pPr>
        <w:pStyle w:val="Compact"/>
        <w:numPr>
          <w:ilvl w:val="0"/>
          <w:numId w:val="1059"/>
        </w:numPr>
      </w:pPr>
      <w:r>
        <w:t xml:space="preserve">Eliminación.</w:t>
      </w:r>
    </w:p>
    <w:p>
      <w:pPr>
        <w:pStyle w:val="Compact"/>
        <w:numPr>
          <w:ilvl w:val="0"/>
          <w:numId w:val="1059"/>
        </w:numPr>
      </w:pPr>
      <w:r>
        <w:t xml:space="preserve">Anonimización.</w:t>
      </w:r>
    </w:p>
    <w:p>
      <w:r>
        <w:pict>
          <v:rect style="width:0;height:1.5pt" o:hralign="center" o:hrstd="t" o:hr="t"/>
        </w:pict>
      </w:r>
    </w:p>
    <w:bookmarkEnd w:id="89"/>
    <w:bookmarkStart w:id="96" w:name="resultados-y-reportes"/>
    <w:p>
      <w:pPr>
        <w:pStyle w:val="Heading1"/>
      </w:pPr>
      <w:r>
        <w:t xml:space="preserve">11. Resultados y reportes</w:t>
      </w:r>
    </w:p>
    <w:bookmarkStart w:id="90" w:name="rf-1101.-informe-ejecutivo"/>
    <w:p>
      <w:pPr>
        <w:pStyle w:val="Heading2"/>
      </w:pPr>
      <w:r>
        <w:t xml:space="preserve">RF-1101. Informe ejecutivo</w:t>
      </w:r>
    </w:p>
    <w:p>
      <w:pPr>
        <w:pStyle w:val="FirstParagraph"/>
      </w:pPr>
      <w:r>
        <w:t xml:space="preserve">Deberá incluir:</w:t>
      </w:r>
    </w:p>
    <w:p>
      <w:pPr>
        <w:pStyle w:val="Compact"/>
        <w:numPr>
          <w:ilvl w:val="0"/>
          <w:numId w:val="1060"/>
        </w:numPr>
      </w:pPr>
      <w:r>
        <w:t xml:space="preserve">Alcance.</w:t>
      </w:r>
    </w:p>
    <w:p>
      <w:pPr>
        <w:pStyle w:val="Compact"/>
        <w:numPr>
          <w:ilvl w:val="0"/>
          <w:numId w:val="1060"/>
        </w:numPr>
      </w:pPr>
      <w:r>
        <w:t xml:space="preserve">Modalidad de evaluación.</w:t>
      </w:r>
    </w:p>
    <w:p>
      <w:pPr>
        <w:pStyle w:val="Compact"/>
        <w:numPr>
          <w:ilvl w:val="0"/>
          <w:numId w:val="1060"/>
        </w:numPr>
      </w:pPr>
      <w:r>
        <w:t xml:space="preserve">Cobertura.</w:t>
      </w:r>
    </w:p>
    <w:p>
      <w:pPr>
        <w:pStyle w:val="Compact"/>
        <w:numPr>
          <w:ilvl w:val="0"/>
          <w:numId w:val="1060"/>
        </w:numPr>
      </w:pPr>
      <w:r>
        <w:t xml:space="preserve">Principales datos detectados.</w:t>
      </w:r>
    </w:p>
    <w:p>
      <w:pPr>
        <w:pStyle w:val="Compact"/>
        <w:numPr>
          <w:ilvl w:val="0"/>
          <w:numId w:val="1060"/>
        </w:numPr>
      </w:pPr>
      <w:r>
        <w:t xml:space="preserve">Presencia de datos sensibles.</w:t>
      </w:r>
    </w:p>
    <w:p>
      <w:pPr>
        <w:pStyle w:val="Compact"/>
        <w:numPr>
          <w:ilvl w:val="0"/>
          <w:numId w:val="1060"/>
        </w:numPr>
      </w:pPr>
      <w:r>
        <w:t xml:space="preserve">Terceros observados.</w:t>
      </w:r>
    </w:p>
    <w:p>
      <w:pPr>
        <w:pStyle w:val="Compact"/>
        <w:numPr>
          <w:ilvl w:val="0"/>
          <w:numId w:val="1060"/>
        </w:numPr>
      </w:pPr>
      <w:r>
        <w:t xml:space="preserve">Indicadores de consentimiento.</w:t>
      </w:r>
    </w:p>
    <w:p>
      <w:pPr>
        <w:pStyle w:val="Compact"/>
        <w:numPr>
          <w:ilvl w:val="0"/>
          <w:numId w:val="1060"/>
        </w:numPr>
      </w:pPr>
      <w:r>
        <w:t xml:space="preserve">Principales discrepancias.</w:t>
      </w:r>
    </w:p>
    <w:p>
      <w:pPr>
        <w:pStyle w:val="Compact"/>
        <w:numPr>
          <w:ilvl w:val="0"/>
          <w:numId w:val="1060"/>
        </w:numPr>
      </w:pPr>
      <w:r>
        <w:t xml:space="preserve">Riesgos prioritarios.</w:t>
      </w:r>
    </w:p>
    <w:p>
      <w:pPr>
        <w:pStyle w:val="Compact"/>
        <w:numPr>
          <w:ilvl w:val="0"/>
          <w:numId w:val="1060"/>
        </w:numPr>
      </w:pPr>
      <w:r>
        <w:t xml:space="preserve">Limitaciones de la evaluación.</w:t>
      </w:r>
    </w:p>
    <w:p>
      <w:pPr>
        <w:pStyle w:val="Compact"/>
        <w:numPr>
          <w:ilvl w:val="0"/>
          <w:numId w:val="1060"/>
        </w:numPr>
      </w:pPr>
      <w:r>
        <w:t xml:space="preserve">Recomendaciones.</w:t>
      </w:r>
    </w:p>
    <w:bookmarkEnd w:id="90"/>
    <w:bookmarkStart w:id="91" w:name="rf-1102.-inventario-de-captura"/>
    <w:p>
      <w:pPr>
        <w:pStyle w:val="Heading2"/>
      </w:pPr>
      <w:r>
        <w:t xml:space="preserve">RF-1102. Inventario de captura</w:t>
      </w:r>
    </w:p>
    <w:p>
      <w:pPr>
        <w:pStyle w:val="FirstParagraph"/>
      </w:pPr>
      <w:r>
        <w:t xml:space="preserve">Por cada dato:</w:t>
      </w:r>
    </w:p>
    <w:p>
      <w:pPr>
        <w:pStyle w:val="Compact"/>
        <w:numPr>
          <w:ilvl w:val="0"/>
          <w:numId w:val="1061"/>
        </w:numPr>
      </w:pPr>
      <w:r>
        <w:t xml:space="preserve">Categoría.</w:t>
      </w:r>
    </w:p>
    <w:p>
      <w:pPr>
        <w:pStyle w:val="Compact"/>
        <w:numPr>
          <w:ilvl w:val="0"/>
          <w:numId w:val="1061"/>
        </w:numPr>
      </w:pPr>
      <w:r>
        <w:t xml:space="preserve">Fuente.</w:t>
      </w:r>
    </w:p>
    <w:p>
      <w:pPr>
        <w:pStyle w:val="Compact"/>
        <w:numPr>
          <w:ilvl w:val="0"/>
          <w:numId w:val="1061"/>
        </w:numPr>
      </w:pPr>
      <w:r>
        <w:t xml:space="preserve">Página.</w:t>
      </w:r>
    </w:p>
    <w:p>
      <w:pPr>
        <w:pStyle w:val="Compact"/>
        <w:numPr>
          <w:ilvl w:val="0"/>
          <w:numId w:val="1061"/>
        </w:numPr>
      </w:pPr>
      <w:r>
        <w:t xml:space="preserve">Formulario.</w:t>
      </w:r>
    </w:p>
    <w:p>
      <w:pPr>
        <w:pStyle w:val="Compact"/>
        <w:numPr>
          <w:ilvl w:val="0"/>
          <w:numId w:val="1061"/>
        </w:numPr>
      </w:pPr>
      <w:r>
        <w:t xml:space="preserve">Campo.</w:t>
      </w:r>
    </w:p>
    <w:p>
      <w:pPr>
        <w:pStyle w:val="Compact"/>
        <w:numPr>
          <w:ilvl w:val="0"/>
          <w:numId w:val="1061"/>
        </w:numPr>
      </w:pPr>
      <w:r>
        <w:t xml:space="preserve">Estado de consentimiento.</w:t>
      </w:r>
    </w:p>
    <w:p>
      <w:pPr>
        <w:pStyle w:val="Compact"/>
        <w:numPr>
          <w:ilvl w:val="0"/>
          <w:numId w:val="1061"/>
        </w:numPr>
      </w:pPr>
      <w:r>
        <w:t xml:space="preserve">Endpoint.</w:t>
      </w:r>
    </w:p>
    <w:p>
      <w:pPr>
        <w:pStyle w:val="Compact"/>
        <w:numPr>
          <w:ilvl w:val="0"/>
          <w:numId w:val="1061"/>
        </w:numPr>
      </w:pPr>
      <w:r>
        <w:t xml:space="preserve">Destino.</w:t>
      </w:r>
    </w:p>
    <w:p>
      <w:pPr>
        <w:pStyle w:val="Compact"/>
        <w:numPr>
          <w:ilvl w:val="0"/>
          <w:numId w:val="1061"/>
        </w:numPr>
      </w:pPr>
      <w:r>
        <w:t xml:space="preserve">Tercero.</w:t>
      </w:r>
    </w:p>
    <w:p>
      <w:pPr>
        <w:pStyle w:val="Compact"/>
        <w:numPr>
          <w:ilvl w:val="0"/>
          <w:numId w:val="1061"/>
        </w:numPr>
      </w:pPr>
      <w:r>
        <w:t xml:space="preserve">Finalidad declarada.</w:t>
      </w:r>
    </w:p>
    <w:p>
      <w:pPr>
        <w:pStyle w:val="Compact"/>
        <w:numPr>
          <w:ilvl w:val="0"/>
          <w:numId w:val="1061"/>
        </w:numPr>
      </w:pPr>
      <w:r>
        <w:t xml:space="preserve">Base declarada.</w:t>
      </w:r>
    </w:p>
    <w:p>
      <w:pPr>
        <w:pStyle w:val="Compact"/>
        <w:numPr>
          <w:ilvl w:val="0"/>
          <w:numId w:val="1061"/>
        </w:numPr>
      </w:pPr>
      <w:r>
        <w:t xml:space="preserve">Evidencia.</w:t>
      </w:r>
    </w:p>
    <w:p>
      <w:pPr>
        <w:pStyle w:val="Compact"/>
        <w:numPr>
          <w:ilvl w:val="0"/>
          <w:numId w:val="1061"/>
        </w:numPr>
      </w:pPr>
      <w:r>
        <w:t xml:space="preserve">Confianza.</w:t>
      </w:r>
    </w:p>
    <w:p>
      <w:pPr>
        <w:pStyle w:val="Compact"/>
        <w:numPr>
          <w:ilvl w:val="0"/>
          <w:numId w:val="1061"/>
        </w:numPr>
      </w:pPr>
      <w:r>
        <w:t xml:space="preserve">Revisión requerida.</w:t>
      </w:r>
    </w:p>
    <w:bookmarkEnd w:id="91"/>
    <w:bookmarkStart w:id="92" w:name="rf-1103.-mapa-de-terceros"/>
    <w:p>
      <w:pPr>
        <w:pStyle w:val="Heading2"/>
      </w:pPr>
      <w:r>
        <w:t xml:space="preserve">RF-1103. Mapa de terceros</w:t>
      </w:r>
    </w:p>
    <w:p>
      <w:pPr>
        <w:pStyle w:val="Compact"/>
        <w:numPr>
          <w:ilvl w:val="0"/>
          <w:numId w:val="1062"/>
        </w:numPr>
      </w:pPr>
      <w:r>
        <w:t xml:space="preserve">Dominio.</w:t>
      </w:r>
    </w:p>
    <w:p>
      <w:pPr>
        <w:pStyle w:val="Compact"/>
        <w:numPr>
          <w:ilvl w:val="0"/>
          <w:numId w:val="1062"/>
        </w:numPr>
      </w:pPr>
      <w:r>
        <w:t xml:space="preserve">Organización probable.</w:t>
      </w:r>
    </w:p>
    <w:p>
      <w:pPr>
        <w:pStyle w:val="Compact"/>
        <w:numPr>
          <w:ilvl w:val="0"/>
          <w:numId w:val="1062"/>
        </w:numPr>
      </w:pPr>
      <w:r>
        <w:t xml:space="preserve">Función.</w:t>
      </w:r>
    </w:p>
    <w:p>
      <w:pPr>
        <w:pStyle w:val="Compact"/>
        <w:numPr>
          <w:ilvl w:val="0"/>
          <w:numId w:val="1062"/>
        </w:numPr>
      </w:pPr>
      <w:r>
        <w:t xml:space="preserve">Páginas donde aparece.</w:t>
      </w:r>
    </w:p>
    <w:p>
      <w:pPr>
        <w:pStyle w:val="Compact"/>
        <w:numPr>
          <w:ilvl w:val="0"/>
          <w:numId w:val="1062"/>
        </w:numPr>
      </w:pPr>
      <w:r>
        <w:t xml:space="preserve">Datos transmitidos.</w:t>
      </w:r>
    </w:p>
    <w:p>
      <w:pPr>
        <w:pStyle w:val="Compact"/>
        <w:numPr>
          <w:ilvl w:val="0"/>
          <w:numId w:val="1062"/>
        </w:numPr>
      </w:pPr>
      <w:r>
        <w:t xml:space="preserve">Estado de consentimiento.</w:t>
      </w:r>
    </w:p>
    <w:p>
      <w:pPr>
        <w:pStyle w:val="Compact"/>
        <w:numPr>
          <w:ilvl w:val="0"/>
          <w:numId w:val="1062"/>
        </w:numPr>
      </w:pPr>
      <w:r>
        <w:t xml:space="preserve">País o región probable.</w:t>
      </w:r>
    </w:p>
    <w:p>
      <w:pPr>
        <w:pStyle w:val="Compact"/>
        <w:numPr>
          <w:ilvl w:val="0"/>
          <w:numId w:val="1062"/>
        </w:numPr>
      </w:pPr>
      <w:r>
        <w:t xml:space="preserve">Política que lo menciona.</w:t>
      </w:r>
    </w:p>
    <w:p>
      <w:pPr>
        <w:pStyle w:val="Compact"/>
        <w:numPr>
          <w:ilvl w:val="0"/>
          <w:numId w:val="1062"/>
        </w:numPr>
      </w:pPr>
      <w:r>
        <w:t xml:space="preserve">Nivel de confianza.</w:t>
      </w:r>
    </w:p>
    <w:bookmarkEnd w:id="92"/>
    <w:bookmarkStart w:id="93" w:name="rf-1104.-reporte-técnico"/>
    <w:p>
      <w:pPr>
        <w:pStyle w:val="Heading2"/>
      </w:pPr>
      <w:r>
        <w:t xml:space="preserve">RF-1104. Reporte técnico</w:t>
      </w:r>
    </w:p>
    <w:p>
      <w:pPr>
        <w:pStyle w:val="Compact"/>
        <w:numPr>
          <w:ilvl w:val="0"/>
          <w:numId w:val="1063"/>
        </w:numPr>
      </w:pPr>
      <w:r>
        <w:t xml:space="preserve">URLs analizadas.</w:t>
      </w:r>
    </w:p>
    <w:p>
      <w:pPr>
        <w:pStyle w:val="Compact"/>
        <w:numPr>
          <w:ilvl w:val="0"/>
          <w:numId w:val="1063"/>
        </w:numPr>
      </w:pPr>
      <w:r>
        <w:t xml:space="preserve">Formularios.</w:t>
      </w:r>
    </w:p>
    <w:p>
      <w:pPr>
        <w:pStyle w:val="Compact"/>
        <w:numPr>
          <w:ilvl w:val="0"/>
          <w:numId w:val="1063"/>
        </w:numPr>
      </w:pPr>
      <w:r>
        <w:t xml:space="preserve">Endpoints.</w:t>
      </w:r>
    </w:p>
    <w:p>
      <w:pPr>
        <w:pStyle w:val="Compact"/>
        <w:numPr>
          <w:ilvl w:val="0"/>
          <w:numId w:val="1063"/>
        </w:numPr>
      </w:pPr>
      <w:r>
        <w:t xml:space="preserve">Cookies.</w:t>
      </w:r>
    </w:p>
    <w:p>
      <w:pPr>
        <w:pStyle w:val="Compact"/>
        <w:numPr>
          <w:ilvl w:val="0"/>
          <w:numId w:val="1063"/>
        </w:numPr>
      </w:pPr>
      <w:r>
        <w:t xml:space="preserve">Storage.</w:t>
      </w:r>
    </w:p>
    <w:p>
      <w:pPr>
        <w:pStyle w:val="Compact"/>
        <w:numPr>
          <w:ilvl w:val="0"/>
          <w:numId w:val="1063"/>
        </w:numPr>
      </w:pPr>
      <w:r>
        <w:t xml:space="preserve">Scripts.</w:t>
      </w:r>
    </w:p>
    <w:p>
      <w:pPr>
        <w:pStyle w:val="Compact"/>
        <w:numPr>
          <w:ilvl w:val="0"/>
          <w:numId w:val="1063"/>
        </w:numPr>
      </w:pPr>
      <w:r>
        <w:t xml:space="preserve">Tráfico.</w:t>
      </w:r>
    </w:p>
    <w:p>
      <w:pPr>
        <w:pStyle w:val="Compact"/>
        <w:numPr>
          <w:ilvl w:val="0"/>
          <w:numId w:val="1063"/>
        </w:numPr>
      </w:pPr>
      <w:r>
        <w:t xml:space="preserve">Código relacionado.</w:t>
      </w:r>
    </w:p>
    <w:p>
      <w:pPr>
        <w:pStyle w:val="Compact"/>
        <w:numPr>
          <w:ilvl w:val="0"/>
          <w:numId w:val="1063"/>
        </w:numPr>
      </w:pPr>
      <w:r>
        <w:t xml:space="preserve">Hallazgos.</w:t>
      </w:r>
    </w:p>
    <w:p>
      <w:pPr>
        <w:pStyle w:val="Compact"/>
        <w:numPr>
          <w:ilvl w:val="0"/>
          <w:numId w:val="1063"/>
        </w:numPr>
      </w:pPr>
      <w:r>
        <w:t xml:space="preserve">Evidencias.</w:t>
      </w:r>
    </w:p>
    <w:p>
      <w:pPr>
        <w:pStyle w:val="Compact"/>
        <w:numPr>
          <w:ilvl w:val="0"/>
          <w:numId w:val="1063"/>
        </w:numPr>
      </w:pPr>
      <w:r>
        <w:t xml:space="preserve">Pasos de reproducción.</w:t>
      </w:r>
    </w:p>
    <w:bookmarkEnd w:id="93"/>
    <w:bookmarkStart w:id="94" w:name="rf-1105.-paquete-de-evidencia"/>
    <w:p>
      <w:pPr>
        <w:pStyle w:val="Heading2"/>
      </w:pPr>
      <w:r>
        <w:t xml:space="preserve">RF-1105. Paquete de evidencia</w:t>
      </w:r>
    </w:p>
    <w:p>
      <w:pPr>
        <w:pStyle w:val="FirstParagraph"/>
      </w:pPr>
      <w:r>
        <w:t xml:space="preserve">Deberá poder exportarse:</w:t>
      </w:r>
    </w:p>
    <w:p>
      <w:pPr>
        <w:pStyle w:val="Compact"/>
        <w:numPr>
          <w:ilvl w:val="0"/>
          <w:numId w:val="1064"/>
        </w:numPr>
      </w:pPr>
      <w:r>
        <w:t xml:space="preserve">PDF.</w:t>
      </w:r>
    </w:p>
    <w:p>
      <w:pPr>
        <w:pStyle w:val="Compact"/>
        <w:numPr>
          <w:ilvl w:val="0"/>
          <w:numId w:val="1064"/>
        </w:numPr>
      </w:pPr>
      <w:r>
        <w:t xml:space="preserve">CSV.</w:t>
      </w:r>
    </w:p>
    <w:p>
      <w:pPr>
        <w:pStyle w:val="Compact"/>
        <w:numPr>
          <w:ilvl w:val="0"/>
          <w:numId w:val="1064"/>
        </w:numPr>
      </w:pPr>
      <w:r>
        <w:t xml:space="preserve">JSON.</w:t>
      </w:r>
    </w:p>
    <w:p>
      <w:pPr>
        <w:pStyle w:val="Compact"/>
        <w:numPr>
          <w:ilvl w:val="0"/>
          <w:numId w:val="1064"/>
        </w:numPr>
      </w:pPr>
      <w:r>
        <w:t xml:space="preserve">HAR sanitizado.</w:t>
      </w:r>
    </w:p>
    <w:p>
      <w:pPr>
        <w:pStyle w:val="Compact"/>
        <w:numPr>
          <w:ilvl w:val="0"/>
          <w:numId w:val="1064"/>
        </w:numPr>
      </w:pPr>
      <w:r>
        <w:t xml:space="preserve">Capturas.</w:t>
      </w:r>
    </w:p>
    <w:p>
      <w:pPr>
        <w:pStyle w:val="Compact"/>
        <w:numPr>
          <w:ilvl w:val="0"/>
          <w:numId w:val="1064"/>
        </w:numPr>
      </w:pPr>
      <w:r>
        <w:t xml:space="preserve">DOM.</w:t>
      </w:r>
    </w:p>
    <w:p>
      <w:pPr>
        <w:pStyle w:val="Compact"/>
        <w:numPr>
          <w:ilvl w:val="0"/>
          <w:numId w:val="1064"/>
        </w:numPr>
      </w:pPr>
      <w:r>
        <w:t xml:space="preserve">Inventario de cookies.</w:t>
      </w:r>
    </w:p>
    <w:p>
      <w:pPr>
        <w:pStyle w:val="Compact"/>
        <w:numPr>
          <w:ilvl w:val="0"/>
          <w:numId w:val="1064"/>
        </w:numPr>
      </w:pPr>
      <w:r>
        <w:t xml:space="preserve">Inventario de endpoints.</w:t>
      </w:r>
    </w:p>
    <w:p>
      <w:pPr>
        <w:pStyle w:val="Compact"/>
        <w:numPr>
          <w:ilvl w:val="0"/>
          <w:numId w:val="1064"/>
        </w:numPr>
      </w:pPr>
      <w:r>
        <w:t xml:space="preserve">Grafo de linaje.</w:t>
      </w:r>
    </w:p>
    <w:p>
      <w:pPr>
        <w:pStyle w:val="Compact"/>
        <w:numPr>
          <w:ilvl w:val="0"/>
          <w:numId w:val="1064"/>
        </w:numPr>
      </w:pPr>
      <w:r>
        <w:t xml:space="preserve">Fragmentos de código autorizados.</w:t>
      </w:r>
    </w:p>
    <w:p>
      <w:pPr>
        <w:pStyle w:val="Compact"/>
        <w:numPr>
          <w:ilvl w:val="0"/>
          <w:numId w:val="1064"/>
        </w:numPr>
      </w:pPr>
      <w:r>
        <w:t xml:space="preserve">Hashes de integridad.</w:t>
      </w:r>
    </w:p>
    <w:bookmarkEnd w:id="94"/>
    <w:bookmarkStart w:id="95" w:name="rf-1106.-tickets-de-remediación"/>
    <w:p>
      <w:pPr>
        <w:pStyle w:val="Heading2"/>
      </w:pPr>
      <w:r>
        <w:t xml:space="preserve">RF-1106. Tickets de remediación</w:t>
      </w:r>
    </w:p>
    <w:p>
      <w:pPr>
        <w:pStyle w:val="FirstParagraph"/>
      </w:pPr>
      <w:r>
        <w:t xml:space="preserve">Los hallazgos deberán exportarse a:</w:t>
      </w:r>
    </w:p>
    <w:p>
      <w:pPr>
        <w:pStyle w:val="Compact"/>
        <w:numPr>
          <w:ilvl w:val="0"/>
          <w:numId w:val="1065"/>
        </w:numPr>
      </w:pPr>
      <w:r>
        <w:t xml:space="preserve">Jira.</w:t>
      </w:r>
    </w:p>
    <w:p>
      <w:pPr>
        <w:pStyle w:val="Compact"/>
        <w:numPr>
          <w:ilvl w:val="0"/>
          <w:numId w:val="1065"/>
        </w:numPr>
      </w:pPr>
      <w:r>
        <w:t xml:space="preserve">Azure DevOps.</w:t>
      </w:r>
    </w:p>
    <w:p>
      <w:pPr>
        <w:pStyle w:val="Compact"/>
        <w:numPr>
          <w:ilvl w:val="0"/>
          <w:numId w:val="1065"/>
        </w:numPr>
      </w:pPr>
      <w:r>
        <w:t xml:space="preserve">GitHub Issues.</w:t>
      </w:r>
    </w:p>
    <w:p>
      <w:pPr>
        <w:pStyle w:val="Compact"/>
        <w:numPr>
          <w:ilvl w:val="0"/>
          <w:numId w:val="1065"/>
        </w:numPr>
      </w:pPr>
      <w:r>
        <w:t xml:space="preserve">CSV.</w:t>
      </w:r>
    </w:p>
    <w:p>
      <w:pPr>
        <w:pStyle w:val="Compact"/>
        <w:numPr>
          <w:ilvl w:val="0"/>
          <w:numId w:val="1065"/>
        </w:numPr>
      </w:pPr>
      <w:r>
        <w:t xml:space="preserve">API.</w:t>
      </w:r>
    </w:p>
    <w:p>
      <w:pPr>
        <w:pStyle w:val="FirstParagraph"/>
      </w:pPr>
      <w:r>
        <w:t xml:space="preserve">Cada ticket deberá incluir:</w:t>
      </w:r>
    </w:p>
    <w:p>
      <w:pPr>
        <w:pStyle w:val="Compact"/>
        <w:numPr>
          <w:ilvl w:val="0"/>
          <w:numId w:val="1066"/>
        </w:numPr>
      </w:pPr>
      <w:r>
        <w:t xml:space="preserve">Descripción.</w:t>
      </w:r>
    </w:p>
    <w:p>
      <w:pPr>
        <w:pStyle w:val="Compact"/>
        <w:numPr>
          <w:ilvl w:val="0"/>
          <w:numId w:val="1066"/>
        </w:numPr>
      </w:pPr>
      <w:r>
        <w:t xml:space="preserve">Evidencia.</w:t>
      </w:r>
    </w:p>
    <w:p>
      <w:pPr>
        <w:pStyle w:val="Compact"/>
        <w:numPr>
          <w:ilvl w:val="0"/>
          <w:numId w:val="1066"/>
        </w:numPr>
      </w:pPr>
      <w:r>
        <w:t xml:space="preserve">Riesgo.</w:t>
      </w:r>
    </w:p>
    <w:p>
      <w:pPr>
        <w:pStyle w:val="Compact"/>
        <w:numPr>
          <w:ilvl w:val="0"/>
          <w:numId w:val="1066"/>
        </w:numPr>
      </w:pPr>
      <w:r>
        <w:t xml:space="preserve">Sistema afectado.</w:t>
      </w:r>
    </w:p>
    <w:p>
      <w:pPr>
        <w:pStyle w:val="Compact"/>
        <w:numPr>
          <w:ilvl w:val="0"/>
          <w:numId w:val="1066"/>
        </w:numPr>
      </w:pPr>
      <w:r>
        <w:t xml:space="preserve">Recomendación.</w:t>
      </w:r>
    </w:p>
    <w:p>
      <w:pPr>
        <w:pStyle w:val="Compact"/>
        <w:numPr>
          <w:ilvl w:val="0"/>
          <w:numId w:val="1066"/>
        </w:numPr>
      </w:pPr>
      <w:r>
        <w:t xml:space="preserve">Responsable.</w:t>
      </w:r>
    </w:p>
    <w:p>
      <w:pPr>
        <w:pStyle w:val="Compact"/>
        <w:numPr>
          <w:ilvl w:val="0"/>
          <w:numId w:val="1066"/>
        </w:numPr>
      </w:pPr>
      <w:r>
        <w:t xml:space="preserve">Prioridad.</w:t>
      </w:r>
    </w:p>
    <w:p>
      <w:pPr>
        <w:pStyle w:val="Compact"/>
        <w:numPr>
          <w:ilvl w:val="0"/>
          <w:numId w:val="1066"/>
        </w:numPr>
      </w:pPr>
      <w:r>
        <w:t xml:space="preserve">Criterio de aceptación.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priorización-de-hallazgos"/>
    <w:p>
      <w:pPr>
        <w:pStyle w:val="Heading1"/>
      </w:pPr>
      <w:r>
        <w:t xml:space="preserve">12. Priorización de hallazgos</w:t>
      </w:r>
    </w:p>
    <w:p>
      <w:pPr>
        <w:pStyle w:val="FirstParagraph"/>
      </w:pPr>
      <w:r>
        <w:t xml:space="preserve">El sistema deberá combinar:</w:t>
      </w:r>
    </w:p>
    <w:p>
      <w:pPr>
        <w:pStyle w:val="Compact"/>
        <w:numPr>
          <w:ilvl w:val="0"/>
          <w:numId w:val="1067"/>
        </w:numPr>
      </w:pPr>
      <w:r>
        <w:t xml:space="preserve">Sensibilidad del dato.</w:t>
      </w:r>
    </w:p>
    <w:p>
      <w:pPr>
        <w:pStyle w:val="Compact"/>
        <w:numPr>
          <w:ilvl w:val="0"/>
          <w:numId w:val="1067"/>
        </w:numPr>
      </w:pPr>
      <w:r>
        <w:t xml:space="preserve">Cantidad de titulares potencialmente afectados.</w:t>
      </w:r>
    </w:p>
    <w:p>
      <w:pPr>
        <w:pStyle w:val="Compact"/>
        <w:numPr>
          <w:ilvl w:val="0"/>
          <w:numId w:val="1067"/>
        </w:numPr>
      </w:pPr>
      <w:r>
        <w:t xml:space="preserve">Evidencia de transmisión.</w:t>
      </w:r>
    </w:p>
    <w:p>
      <w:pPr>
        <w:pStyle w:val="Compact"/>
        <w:numPr>
          <w:ilvl w:val="0"/>
          <w:numId w:val="1067"/>
        </w:numPr>
      </w:pPr>
      <w:r>
        <w:t xml:space="preserve">Presencia de terceros.</w:t>
      </w:r>
    </w:p>
    <w:p>
      <w:pPr>
        <w:pStyle w:val="Compact"/>
        <w:numPr>
          <w:ilvl w:val="0"/>
          <w:numId w:val="1067"/>
        </w:numPr>
      </w:pPr>
      <w:r>
        <w:t xml:space="preserve">Captura previa a información o elección.</w:t>
      </w:r>
    </w:p>
    <w:p>
      <w:pPr>
        <w:pStyle w:val="Compact"/>
        <w:numPr>
          <w:ilvl w:val="0"/>
          <w:numId w:val="1067"/>
        </w:numPr>
      </w:pPr>
      <w:r>
        <w:t xml:space="preserve">Persistencia.</w:t>
      </w:r>
    </w:p>
    <w:p>
      <w:pPr>
        <w:pStyle w:val="Compact"/>
        <w:numPr>
          <w:ilvl w:val="0"/>
          <w:numId w:val="1067"/>
        </w:numPr>
      </w:pPr>
      <w:r>
        <w:t xml:space="preserve">Accesibilidad.</w:t>
      </w:r>
    </w:p>
    <w:p>
      <w:pPr>
        <w:pStyle w:val="Compact"/>
        <w:numPr>
          <w:ilvl w:val="0"/>
          <w:numId w:val="1067"/>
        </w:numPr>
      </w:pPr>
      <w:r>
        <w:t xml:space="preserve">Autenticación requerida.</w:t>
      </w:r>
    </w:p>
    <w:p>
      <w:pPr>
        <w:pStyle w:val="Compact"/>
        <w:numPr>
          <w:ilvl w:val="0"/>
          <w:numId w:val="1067"/>
        </w:numPr>
      </w:pPr>
      <w:r>
        <w:t xml:space="preserve">Exposición pública.</w:t>
      </w:r>
    </w:p>
    <w:p>
      <w:pPr>
        <w:pStyle w:val="Compact"/>
        <w:numPr>
          <w:ilvl w:val="0"/>
          <w:numId w:val="1067"/>
        </w:numPr>
      </w:pPr>
      <w:r>
        <w:t xml:space="preserve">Transferencia internacional.</w:t>
      </w:r>
    </w:p>
    <w:p>
      <w:pPr>
        <w:pStyle w:val="Compact"/>
        <w:numPr>
          <w:ilvl w:val="0"/>
          <w:numId w:val="1067"/>
        </w:numPr>
      </w:pPr>
      <w:r>
        <w:t xml:space="preserve">Uso en perfilamiento.</w:t>
      </w:r>
    </w:p>
    <w:p>
      <w:pPr>
        <w:pStyle w:val="Compact"/>
        <w:numPr>
          <w:ilvl w:val="0"/>
          <w:numId w:val="1067"/>
        </w:numPr>
      </w:pPr>
      <w:r>
        <w:t xml:space="preserve">Participación de niños o adolescentes.</w:t>
      </w:r>
    </w:p>
    <w:p>
      <w:pPr>
        <w:pStyle w:val="Compact"/>
        <w:numPr>
          <w:ilvl w:val="0"/>
          <w:numId w:val="1067"/>
        </w:numPr>
      </w:pPr>
      <w:r>
        <w:t xml:space="preserve">Posibilidad de daño.</w:t>
      </w:r>
    </w:p>
    <w:p>
      <w:pPr>
        <w:pStyle w:val="Compact"/>
        <w:numPr>
          <w:ilvl w:val="0"/>
          <w:numId w:val="1067"/>
        </w:numPr>
      </w:pPr>
      <w:r>
        <w:t xml:space="preserve">Nivel de confianza.</w:t>
      </w:r>
    </w:p>
    <w:bookmarkStart w:id="101" w:name="clasificación-recomendada"/>
    <w:p>
      <w:pPr>
        <w:pStyle w:val="Heading2"/>
      </w:pPr>
      <w:r>
        <w:t xml:space="preserve">Clasificación recomendada</w:t>
      </w:r>
    </w:p>
    <w:bookmarkStart w:id="97" w:name="crítico"/>
    <w:p>
      <w:pPr>
        <w:pStyle w:val="Heading3"/>
      </w:pPr>
      <w:r>
        <w:t xml:space="preserve">Crítico</w:t>
      </w:r>
    </w:p>
    <w:p>
      <w:pPr>
        <w:pStyle w:val="Compact"/>
        <w:numPr>
          <w:ilvl w:val="0"/>
          <w:numId w:val="1068"/>
        </w:numPr>
      </w:pPr>
      <w:r>
        <w:t xml:space="preserve">Datos sensibles transmitidos a un tercero no identificado.</w:t>
      </w:r>
    </w:p>
    <w:p>
      <w:pPr>
        <w:pStyle w:val="Compact"/>
        <w:numPr>
          <w:ilvl w:val="0"/>
          <w:numId w:val="1068"/>
        </w:numPr>
      </w:pPr>
      <w:r>
        <w:t xml:space="preserve">Credenciales o tokens expuestos.</w:t>
      </w:r>
    </w:p>
    <w:p>
      <w:pPr>
        <w:pStyle w:val="Compact"/>
        <w:numPr>
          <w:ilvl w:val="0"/>
          <w:numId w:val="1068"/>
        </w:numPr>
      </w:pPr>
      <w:r>
        <w:t xml:space="preserve">Captura de datos de menores con alta exposición.</w:t>
      </w:r>
    </w:p>
    <w:p>
      <w:pPr>
        <w:pStyle w:val="Compact"/>
        <w:numPr>
          <w:ilvl w:val="0"/>
          <w:numId w:val="1068"/>
        </w:numPr>
      </w:pPr>
      <w:r>
        <w:t xml:space="preserve">Datos reales incluidos en URLs públicas.</w:t>
      </w:r>
    </w:p>
    <w:p>
      <w:pPr>
        <w:pStyle w:val="Compact"/>
        <w:numPr>
          <w:ilvl w:val="0"/>
          <w:numId w:val="1068"/>
        </w:numPr>
      </w:pPr>
      <w:r>
        <w:t xml:space="preserve">Persistencia pública de archivos con datos personales.</w:t>
      </w:r>
    </w:p>
    <w:bookmarkEnd w:id="97"/>
    <w:bookmarkStart w:id="98" w:name="alto"/>
    <w:p>
      <w:pPr>
        <w:pStyle w:val="Heading3"/>
      </w:pPr>
      <w:r>
        <w:t xml:space="preserve">Alto</w:t>
      </w:r>
    </w:p>
    <w:p>
      <w:pPr>
        <w:pStyle w:val="Compact"/>
        <w:numPr>
          <w:ilvl w:val="0"/>
          <w:numId w:val="1069"/>
        </w:numPr>
      </w:pPr>
      <w:r>
        <w:t xml:space="preserve">Tracking no esencial posterior al rechazo.</w:t>
      </w:r>
    </w:p>
    <w:p>
      <w:pPr>
        <w:pStyle w:val="Compact"/>
        <w:numPr>
          <w:ilvl w:val="0"/>
          <w:numId w:val="1069"/>
        </w:numPr>
      </w:pPr>
      <w:r>
        <w:t xml:space="preserve">Datos sensibles solicitados sin información contextual.</w:t>
      </w:r>
    </w:p>
    <w:p>
      <w:pPr>
        <w:pStyle w:val="Compact"/>
        <w:numPr>
          <w:ilvl w:val="0"/>
          <w:numId w:val="1069"/>
        </w:numPr>
      </w:pPr>
      <w:r>
        <w:t xml:space="preserve">Campos personales registrados íntegramente en logs.</w:t>
      </w:r>
    </w:p>
    <w:p>
      <w:pPr>
        <w:pStyle w:val="Compact"/>
        <w:numPr>
          <w:ilvl w:val="0"/>
          <w:numId w:val="1069"/>
        </w:numPr>
      </w:pPr>
      <w:r>
        <w:t xml:space="preserve">Discrepancia clara entre política y comportamiento.</w:t>
      </w:r>
    </w:p>
    <w:p>
      <w:pPr>
        <w:pStyle w:val="Compact"/>
        <w:numPr>
          <w:ilvl w:val="0"/>
          <w:numId w:val="1069"/>
        </w:numPr>
      </w:pPr>
      <w:r>
        <w:t xml:space="preserve">Datos enviados a terceros antes de la elección.</w:t>
      </w:r>
    </w:p>
    <w:bookmarkEnd w:id="98"/>
    <w:bookmarkStart w:id="99" w:name="medio"/>
    <w:p>
      <w:pPr>
        <w:pStyle w:val="Heading3"/>
      </w:pPr>
      <w:r>
        <w:t xml:space="preserve">Medio</w:t>
      </w:r>
    </w:p>
    <w:p>
      <w:pPr>
        <w:pStyle w:val="Compact"/>
        <w:numPr>
          <w:ilvl w:val="0"/>
          <w:numId w:val="1070"/>
        </w:numPr>
      </w:pPr>
      <w:r>
        <w:t xml:space="preserve">Finalidad genérica.</w:t>
      </w:r>
    </w:p>
    <w:p>
      <w:pPr>
        <w:pStyle w:val="Compact"/>
        <w:numPr>
          <w:ilvl w:val="0"/>
          <w:numId w:val="1070"/>
        </w:numPr>
      </w:pPr>
      <w:r>
        <w:t xml:space="preserve">Política sin versión.</w:t>
      </w:r>
    </w:p>
    <w:p>
      <w:pPr>
        <w:pStyle w:val="Compact"/>
        <w:numPr>
          <w:ilvl w:val="0"/>
          <w:numId w:val="1070"/>
        </w:numPr>
      </w:pPr>
      <w:r>
        <w:t xml:space="preserve">Retención no informada.</w:t>
      </w:r>
    </w:p>
    <w:p>
      <w:pPr>
        <w:pStyle w:val="Compact"/>
        <w:numPr>
          <w:ilvl w:val="0"/>
          <w:numId w:val="1070"/>
        </w:numPr>
      </w:pPr>
      <w:r>
        <w:t xml:space="preserve">Campos obligatorios no diferenciados.</w:t>
      </w:r>
    </w:p>
    <w:p>
      <w:pPr>
        <w:pStyle w:val="Compact"/>
        <w:numPr>
          <w:ilvl w:val="0"/>
          <w:numId w:val="1070"/>
        </w:numPr>
      </w:pPr>
      <w:r>
        <w:t xml:space="preserve">Consentimientos agrupados.</w:t>
      </w:r>
    </w:p>
    <w:bookmarkEnd w:id="99"/>
    <w:bookmarkStart w:id="100" w:name="bajo-o-informativo"/>
    <w:p>
      <w:pPr>
        <w:pStyle w:val="Heading3"/>
      </w:pPr>
      <w:r>
        <w:t xml:space="preserve">Bajo o informativo</w:t>
      </w:r>
    </w:p>
    <w:p>
      <w:pPr>
        <w:pStyle w:val="Compact"/>
        <w:numPr>
          <w:ilvl w:val="0"/>
          <w:numId w:val="1071"/>
        </w:numPr>
      </w:pPr>
      <w:r>
        <w:t xml:space="preserve">Tecnología instalada pero no ejecutada.</w:t>
      </w:r>
    </w:p>
    <w:p>
      <w:pPr>
        <w:pStyle w:val="Compact"/>
        <w:numPr>
          <w:ilvl w:val="0"/>
          <w:numId w:val="1071"/>
        </w:numPr>
      </w:pPr>
      <w:r>
        <w:t xml:space="preserve">Campo potencialmente personal con baja confianza.</w:t>
      </w:r>
    </w:p>
    <w:p>
      <w:pPr>
        <w:pStyle w:val="Compact"/>
        <w:numPr>
          <w:ilvl w:val="0"/>
          <w:numId w:val="1071"/>
        </w:numPr>
      </w:pPr>
      <w:r>
        <w:t xml:space="preserve">Política localizada, pero difícil de encontrar.</w:t>
      </w:r>
    </w:p>
    <w:p>
      <w:pPr>
        <w:pStyle w:val="Compact"/>
        <w:numPr>
          <w:ilvl w:val="0"/>
          <w:numId w:val="1071"/>
        </w:numPr>
      </w:pPr>
      <w:r>
        <w:t xml:space="preserve">Recomendación de mejora documental.</w:t>
      </w:r>
    </w:p>
    <w:p>
      <w:pPr>
        <w:pStyle w:val="FirstParagraph"/>
      </w:pPr>
      <w:r>
        <w:t xml:space="preserve">La severidad deberá ser editable por el analista.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1" w:name="requerimientos-no-funcionales"/>
    <w:p>
      <w:pPr>
        <w:pStyle w:val="Heading1"/>
      </w:pPr>
      <w:r>
        <w:t xml:space="preserve">13. Requerimientos no funcionales</w:t>
      </w:r>
    </w:p>
    <w:bookmarkStart w:id="103" w:name="rnf-01.-seguridad"/>
    <w:p>
      <w:pPr>
        <w:pStyle w:val="Heading2"/>
      </w:pPr>
      <w:r>
        <w:t xml:space="preserve">RNF-01. Seguridad</w:t>
      </w:r>
    </w:p>
    <w:p>
      <w:pPr>
        <w:pStyle w:val="Compact"/>
        <w:numPr>
          <w:ilvl w:val="0"/>
          <w:numId w:val="1072"/>
        </w:numPr>
      </w:pPr>
      <w:r>
        <w:t xml:space="preserve">Cifrado en tránsito y reposo.</w:t>
      </w:r>
    </w:p>
    <w:p>
      <w:pPr>
        <w:pStyle w:val="Compact"/>
        <w:numPr>
          <w:ilvl w:val="0"/>
          <w:numId w:val="1072"/>
        </w:numPr>
      </w:pPr>
      <w:r>
        <w:t xml:space="preserve">MFA para usuarios administrativos.</w:t>
      </w:r>
    </w:p>
    <w:p>
      <w:pPr>
        <w:pStyle w:val="Compact"/>
        <w:numPr>
          <w:ilvl w:val="0"/>
          <w:numId w:val="1072"/>
        </w:numPr>
      </w:pPr>
      <w:r>
        <w:t xml:space="preserve">Control basado en roles.</w:t>
      </w:r>
    </w:p>
    <w:p>
      <w:pPr>
        <w:pStyle w:val="Compact"/>
        <w:numPr>
          <w:ilvl w:val="0"/>
          <w:numId w:val="1072"/>
        </w:numPr>
      </w:pPr>
      <w:r>
        <w:t xml:space="preserve">Segregación por cliente.</w:t>
      </w:r>
    </w:p>
    <w:p>
      <w:pPr>
        <w:pStyle w:val="Compact"/>
        <w:numPr>
          <w:ilvl w:val="0"/>
          <w:numId w:val="1072"/>
        </w:numPr>
      </w:pPr>
      <w:r>
        <w:t xml:space="preserve">Bóveda de secretos.</w:t>
      </w:r>
    </w:p>
    <w:p>
      <w:pPr>
        <w:pStyle w:val="Compact"/>
        <w:numPr>
          <w:ilvl w:val="0"/>
          <w:numId w:val="1072"/>
        </w:numPr>
      </w:pPr>
      <w:r>
        <w:t xml:space="preserve">Logs inmutables.</w:t>
      </w:r>
    </w:p>
    <w:p>
      <w:pPr>
        <w:pStyle w:val="Compact"/>
        <w:numPr>
          <w:ilvl w:val="0"/>
          <w:numId w:val="1072"/>
        </w:numPr>
      </w:pPr>
      <w:r>
        <w:t xml:space="preserve">Enmascaramiento de datos.</w:t>
      </w:r>
    </w:p>
    <w:p>
      <w:pPr>
        <w:pStyle w:val="Compact"/>
        <w:numPr>
          <w:ilvl w:val="0"/>
          <w:numId w:val="1072"/>
        </w:numPr>
      </w:pPr>
      <w:r>
        <w:t xml:space="preserve">Gestión de vulnerabilidades.</w:t>
      </w:r>
    </w:p>
    <w:p>
      <w:pPr>
        <w:pStyle w:val="Compact"/>
        <w:numPr>
          <w:ilvl w:val="0"/>
          <w:numId w:val="1072"/>
        </w:numPr>
      </w:pPr>
      <w:r>
        <w:t xml:space="preserve">Análisis de dependencias.</w:t>
      </w:r>
    </w:p>
    <w:p>
      <w:pPr>
        <w:pStyle w:val="Compact"/>
        <w:numPr>
          <w:ilvl w:val="0"/>
          <w:numId w:val="1072"/>
        </w:numPr>
      </w:pPr>
      <w:r>
        <w:t xml:space="preserve">Pruebas de seguridad.</w:t>
      </w:r>
    </w:p>
    <w:p>
      <w:pPr>
        <w:pStyle w:val="Compact"/>
        <w:numPr>
          <w:ilvl w:val="0"/>
          <w:numId w:val="1072"/>
        </w:numPr>
      </w:pPr>
      <w:r>
        <w:t xml:space="preserve">Respaldos cifrados.</w:t>
      </w:r>
    </w:p>
    <w:p>
      <w:pPr>
        <w:pStyle w:val="Compact"/>
        <w:numPr>
          <w:ilvl w:val="0"/>
          <w:numId w:val="1072"/>
        </w:numPr>
      </w:pPr>
      <w:r>
        <w:t xml:space="preserve">Eliminación segura.</w:t>
      </w:r>
    </w:p>
    <w:p>
      <w:pPr>
        <w:pStyle w:val="FirstParagraph"/>
      </w:pPr>
      <w:r>
        <w:t xml:space="preserve">La seguridad del producto deberá basarse en OWASP ASVS 5.0 y en prácticas de desarrollo seguro. ASVS proporciona una base para verificar controles técnicos de aplicaciones y una lista de requerimientos para desarrollo seguro.</w:t>
      </w:r>
    </w:p>
    <w:p>
      <w:pPr>
        <w:pStyle w:val="BodyText"/>
      </w:pPr>
      <w:r>
        <w:t xml:space="preserve">Como referencia de ciclo de desarrollo, NIST mantiene como versión final del SSDF la 1.1, mientras que la versión 1.2 se encontraba como borrador inicial.</w:t>
      </w:r>
    </w:p>
    <w:bookmarkEnd w:id="103"/>
    <w:bookmarkStart w:id="104" w:name="rnf-02.-privacidad-del-propio-escáner"/>
    <w:p>
      <w:pPr>
        <w:pStyle w:val="Heading2"/>
      </w:pPr>
      <w:r>
        <w:t xml:space="preserve">RNF-02. Privacidad del propio escáner</w:t>
      </w:r>
    </w:p>
    <w:p>
      <w:pPr>
        <w:pStyle w:val="FirstParagraph"/>
      </w:pPr>
      <w:r>
        <w:t xml:space="preserve">La plataforma deberá aplicar minimización:</w:t>
      </w:r>
    </w:p>
    <w:p>
      <w:pPr>
        <w:pStyle w:val="Compact"/>
        <w:numPr>
          <w:ilvl w:val="0"/>
          <w:numId w:val="1073"/>
        </w:numPr>
      </w:pPr>
      <w:r>
        <w:t xml:space="preserve">No conservar valores completos cuando no sean necesarios.</w:t>
      </w:r>
    </w:p>
    <w:p>
      <w:pPr>
        <w:pStyle w:val="Compact"/>
        <w:numPr>
          <w:ilvl w:val="0"/>
          <w:numId w:val="1073"/>
        </w:numPr>
      </w:pPr>
      <w:r>
        <w:t xml:space="preserve">Enmascarar automáticamente.</w:t>
      </w:r>
    </w:p>
    <w:p>
      <w:pPr>
        <w:pStyle w:val="Compact"/>
        <w:numPr>
          <w:ilvl w:val="0"/>
          <w:numId w:val="1073"/>
        </w:numPr>
      </w:pPr>
      <w:r>
        <w:t xml:space="preserve">Permitir capturar sólo nombres de campos.</w:t>
      </w:r>
    </w:p>
    <w:p>
      <w:pPr>
        <w:pStyle w:val="Compact"/>
        <w:numPr>
          <w:ilvl w:val="0"/>
          <w:numId w:val="1073"/>
        </w:numPr>
      </w:pPr>
      <w:r>
        <w:t xml:space="preserve">Configurar retención por proyecto.</w:t>
      </w:r>
    </w:p>
    <w:p>
      <w:pPr>
        <w:pStyle w:val="Compact"/>
        <w:numPr>
          <w:ilvl w:val="0"/>
          <w:numId w:val="1073"/>
        </w:numPr>
      </w:pPr>
      <w:r>
        <w:t xml:space="preserve">Eliminar evidencias al terminar el contrato.</w:t>
      </w:r>
    </w:p>
    <w:p>
      <w:pPr>
        <w:pStyle w:val="Compact"/>
        <w:numPr>
          <w:ilvl w:val="0"/>
          <w:numId w:val="1073"/>
        </w:numPr>
      </w:pPr>
      <w:r>
        <w:t xml:space="preserve">No utilizar evidencias de un cliente para entrenar modelos.</w:t>
      </w:r>
    </w:p>
    <w:p>
      <w:pPr>
        <w:pStyle w:val="Compact"/>
        <w:numPr>
          <w:ilvl w:val="0"/>
          <w:numId w:val="1073"/>
        </w:numPr>
      </w:pPr>
      <w:r>
        <w:t xml:space="preserve">Mantener separación estricta entre organizaciones.</w:t>
      </w:r>
    </w:p>
    <w:p>
      <w:pPr>
        <w:pStyle w:val="Compact"/>
        <w:numPr>
          <w:ilvl w:val="0"/>
          <w:numId w:val="1073"/>
        </w:numPr>
      </w:pPr>
      <w:r>
        <w:t xml:space="preserve">Permitir despliegue privado.</w:t>
      </w:r>
    </w:p>
    <w:p>
      <w:pPr>
        <w:pStyle w:val="FirstParagraph"/>
      </w:pPr>
      <w:r>
        <w:t xml:space="preserve">El NIST Privacy Framework puede utilizarse como referencia complementaria para gestión de riesgos de privacidad, al ser un marco voluntario orientado a identificar y gestionar dichos riesgos.</w:t>
      </w:r>
    </w:p>
    <w:bookmarkEnd w:id="104"/>
    <w:bookmarkStart w:id="105" w:name="rnf-03.-despliegue"/>
    <w:p>
      <w:pPr>
        <w:pStyle w:val="Heading2"/>
      </w:pPr>
      <w:r>
        <w:t xml:space="preserve">RNF-03. Despliegue</w:t>
      </w:r>
    </w:p>
    <w:p>
      <w:pPr>
        <w:pStyle w:val="FirstParagraph"/>
      </w:pPr>
      <w:r>
        <w:t xml:space="preserve">Deberán contemplarse:</w:t>
      </w:r>
    </w:p>
    <w:p>
      <w:pPr>
        <w:pStyle w:val="Compact"/>
        <w:numPr>
          <w:ilvl w:val="0"/>
          <w:numId w:val="1074"/>
        </w:numPr>
      </w:pPr>
      <w:r>
        <w:t xml:space="preserve">SaaS multicliente.</w:t>
      </w:r>
    </w:p>
    <w:p>
      <w:pPr>
        <w:pStyle w:val="Compact"/>
        <w:numPr>
          <w:ilvl w:val="0"/>
          <w:numId w:val="1074"/>
        </w:numPr>
      </w:pPr>
      <w:r>
        <w:t xml:space="preserve">Instancia dedicada.</w:t>
      </w:r>
    </w:p>
    <w:p>
      <w:pPr>
        <w:pStyle w:val="Compact"/>
        <w:numPr>
          <w:ilvl w:val="0"/>
          <w:numId w:val="1074"/>
        </w:numPr>
      </w:pPr>
      <w:r>
        <w:t xml:space="preserve">Despliegue en nube del cliente.</w:t>
      </w:r>
    </w:p>
    <w:p>
      <w:pPr>
        <w:pStyle w:val="Compact"/>
        <w:numPr>
          <w:ilvl w:val="0"/>
          <w:numId w:val="1074"/>
        </w:numPr>
      </w:pPr>
      <w:r>
        <w:t xml:space="preserve">Despliegue on-premise.</w:t>
      </w:r>
    </w:p>
    <w:p>
      <w:pPr>
        <w:pStyle w:val="Compact"/>
        <w:numPr>
          <w:ilvl w:val="0"/>
          <w:numId w:val="1074"/>
        </w:numPr>
      </w:pPr>
      <w:r>
        <w:t xml:space="preserve">Worker temporal dentro de la red del cliente.</w:t>
      </w:r>
    </w:p>
    <w:p>
      <w:pPr>
        <w:pStyle w:val="Compact"/>
        <w:numPr>
          <w:ilvl w:val="0"/>
          <w:numId w:val="1074"/>
        </w:numPr>
      </w:pPr>
      <w:r>
        <w:t xml:space="preserve">Ejecución aislada sin salida a internet, salvo destinos autorizados.</w:t>
      </w:r>
    </w:p>
    <w:bookmarkEnd w:id="105"/>
    <w:bookmarkStart w:id="106" w:name="rnf-04.-rendimiento"/>
    <w:p>
      <w:pPr>
        <w:pStyle w:val="Heading2"/>
      </w:pPr>
      <w:r>
        <w:t xml:space="preserve">RNF-04. Rendimiento</w:t>
      </w:r>
    </w:p>
    <w:p>
      <w:pPr>
        <w:pStyle w:val="FirstParagraph"/>
      </w:pPr>
      <w:r>
        <w:t xml:space="preserve">El sistema deberá permitir configurar:</w:t>
      </w:r>
    </w:p>
    <w:p>
      <w:pPr>
        <w:pStyle w:val="Compact"/>
        <w:numPr>
          <w:ilvl w:val="0"/>
          <w:numId w:val="1075"/>
        </w:numPr>
      </w:pPr>
      <w:r>
        <w:t xml:space="preserve">Máximo de páginas.</w:t>
      </w:r>
    </w:p>
    <w:p>
      <w:pPr>
        <w:pStyle w:val="Compact"/>
        <w:numPr>
          <w:ilvl w:val="0"/>
          <w:numId w:val="1075"/>
        </w:numPr>
      </w:pPr>
      <w:r>
        <w:t xml:space="preserve">Máximo de profundidad.</w:t>
      </w:r>
    </w:p>
    <w:p>
      <w:pPr>
        <w:pStyle w:val="Compact"/>
        <w:numPr>
          <w:ilvl w:val="0"/>
          <w:numId w:val="1075"/>
        </w:numPr>
      </w:pPr>
      <w:r>
        <w:t xml:space="preserve">Máximo de solicitudes.</w:t>
      </w:r>
    </w:p>
    <w:p>
      <w:pPr>
        <w:pStyle w:val="Compact"/>
        <w:numPr>
          <w:ilvl w:val="0"/>
          <w:numId w:val="1075"/>
        </w:numPr>
      </w:pPr>
      <w:r>
        <w:t xml:space="preserve">Concurrencia.</w:t>
      </w:r>
    </w:p>
    <w:p>
      <w:pPr>
        <w:pStyle w:val="Compact"/>
        <w:numPr>
          <w:ilvl w:val="0"/>
          <w:numId w:val="1075"/>
        </w:numPr>
      </w:pPr>
      <w:r>
        <w:t xml:space="preserve">Espera entre acciones.</w:t>
      </w:r>
    </w:p>
    <w:p>
      <w:pPr>
        <w:pStyle w:val="Compact"/>
        <w:numPr>
          <w:ilvl w:val="0"/>
          <w:numId w:val="1075"/>
        </w:numPr>
      </w:pPr>
      <w:r>
        <w:t xml:space="preserve">Tamaño máximo de respuestas.</w:t>
      </w:r>
    </w:p>
    <w:p>
      <w:pPr>
        <w:pStyle w:val="Compact"/>
        <w:numPr>
          <w:ilvl w:val="0"/>
          <w:numId w:val="1075"/>
        </w:numPr>
      </w:pPr>
      <w:r>
        <w:t xml:space="preserve">Duración máxima.</w:t>
      </w:r>
    </w:p>
    <w:p>
      <w:pPr>
        <w:pStyle w:val="Compact"/>
        <w:numPr>
          <w:ilvl w:val="0"/>
          <w:numId w:val="1075"/>
        </w:numPr>
      </w:pPr>
      <w:r>
        <w:t xml:space="preserve">Cantidad de roles.</w:t>
      </w:r>
    </w:p>
    <w:p>
      <w:pPr>
        <w:pStyle w:val="Compact"/>
        <w:numPr>
          <w:ilvl w:val="0"/>
          <w:numId w:val="1075"/>
        </w:numPr>
      </w:pPr>
      <w:r>
        <w:t xml:space="preserve">Cantidad de estados de consentimiento.</w:t>
      </w:r>
    </w:p>
    <w:bookmarkEnd w:id="106"/>
    <w:bookmarkStart w:id="107" w:name="rnf-05.-reproducibilidad"/>
    <w:p>
      <w:pPr>
        <w:pStyle w:val="Heading2"/>
      </w:pPr>
      <w:r>
        <w:t xml:space="preserve">RNF-05. Reproducibilidad</w:t>
      </w:r>
    </w:p>
    <w:p>
      <w:pPr>
        <w:pStyle w:val="FirstParagraph"/>
      </w:pPr>
      <w:r>
        <w:t xml:space="preserve">Dos ejecuciones con la misma versión, configuración y estado deberán producir resultados comparables.</w:t>
      </w:r>
    </w:p>
    <w:p>
      <w:pPr>
        <w:pStyle w:val="BodyText"/>
      </w:pPr>
      <w:r>
        <w:t xml:space="preserve">Deberá registrarse:</w:t>
      </w:r>
    </w:p>
    <w:p>
      <w:pPr>
        <w:pStyle w:val="Compact"/>
        <w:numPr>
          <w:ilvl w:val="0"/>
          <w:numId w:val="1076"/>
        </w:numPr>
      </w:pPr>
      <w:r>
        <w:t xml:space="preserve">Versión del motor.</w:t>
      </w:r>
    </w:p>
    <w:p>
      <w:pPr>
        <w:pStyle w:val="Compact"/>
        <w:numPr>
          <w:ilvl w:val="0"/>
          <w:numId w:val="1076"/>
        </w:numPr>
      </w:pPr>
      <w:r>
        <w:t xml:space="preserve">Navegador.</w:t>
      </w:r>
    </w:p>
    <w:p>
      <w:pPr>
        <w:pStyle w:val="Compact"/>
        <w:numPr>
          <w:ilvl w:val="0"/>
          <w:numId w:val="1076"/>
        </w:numPr>
      </w:pPr>
      <w:r>
        <w:t xml:space="preserve">Sistema operativo.</w:t>
      </w:r>
    </w:p>
    <w:p>
      <w:pPr>
        <w:pStyle w:val="Compact"/>
        <w:numPr>
          <w:ilvl w:val="0"/>
          <w:numId w:val="1076"/>
        </w:numPr>
      </w:pPr>
      <w:r>
        <w:t xml:space="preserve">Fecha.</w:t>
      </w:r>
    </w:p>
    <w:p>
      <w:pPr>
        <w:pStyle w:val="Compact"/>
        <w:numPr>
          <w:ilvl w:val="0"/>
          <w:numId w:val="1076"/>
        </w:numPr>
      </w:pPr>
      <w:r>
        <w:t xml:space="preserve">Región.</w:t>
      </w:r>
    </w:p>
    <w:p>
      <w:pPr>
        <w:pStyle w:val="Compact"/>
        <w:numPr>
          <w:ilvl w:val="0"/>
          <w:numId w:val="1076"/>
        </w:numPr>
      </w:pPr>
      <w:r>
        <w:t xml:space="preserve">Configuración.</w:t>
      </w:r>
    </w:p>
    <w:p>
      <w:pPr>
        <w:pStyle w:val="Compact"/>
        <w:numPr>
          <w:ilvl w:val="0"/>
          <w:numId w:val="1076"/>
        </w:numPr>
      </w:pPr>
      <w:r>
        <w:t xml:space="preserve">Reglas.</w:t>
      </w:r>
    </w:p>
    <w:p>
      <w:pPr>
        <w:pStyle w:val="Compact"/>
        <w:numPr>
          <w:ilvl w:val="0"/>
          <w:numId w:val="1076"/>
        </w:numPr>
      </w:pPr>
      <w:r>
        <w:t xml:space="preserve">Modelo de IA.</w:t>
      </w:r>
    </w:p>
    <w:p>
      <w:pPr>
        <w:pStyle w:val="Compact"/>
        <w:numPr>
          <w:ilvl w:val="0"/>
          <w:numId w:val="1076"/>
        </w:numPr>
      </w:pPr>
      <w:r>
        <w:t xml:space="preserve">Estado inicial.</w:t>
      </w:r>
    </w:p>
    <w:p>
      <w:pPr>
        <w:pStyle w:val="Compact"/>
        <w:numPr>
          <w:ilvl w:val="0"/>
          <w:numId w:val="1076"/>
        </w:numPr>
      </w:pPr>
      <w:r>
        <w:t xml:space="preserve">Datos sintéticos utilizados.</w:t>
      </w:r>
    </w:p>
    <w:bookmarkEnd w:id="107"/>
    <w:bookmarkStart w:id="108" w:name="rnf-06.-explicabilidad"/>
    <w:p>
      <w:pPr>
        <w:pStyle w:val="Heading2"/>
      </w:pPr>
      <w:r>
        <w:t xml:space="preserve">RNF-06. Explicabilidad</w:t>
      </w:r>
    </w:p>
    <w:p>
      <w:pPr>
        <w:pStyle w:val="FirstParagraph"/>
      </w:pPr>
      <w:r>
        <w:t xml:space="preserve">Todo hallazgo deberá mostrar:</w:t>
      </w:r>
    </w:p>
    <w:p>
      <w:pPr>
        <w:pStyle w:val="Compact"/>
        <w:numPr>
          <w:ilvl w:val="0"/>
          <w:numId w:val="1077"/>
        </w:numPr>
      </w:pPr>
      <w:r>
        <w:t xml:space="preserve">Qué se observó.</w:t>
      </w:r>
    </w:p>
    <w:p>
      <w:pPr>
        <w:pStyle w:val="Compact"/>
        <w:numPr>
          <w:ilvl w:val="0"/>
          <w:numId w:val="1077"/>
        </w:numPr>
      </w:pPr>
      <w:r>
        <w:t xml:space="preserve">Dónde.</w:t>
      </w:r>
    </w:p>
    <w:p>
      <w:pPr>
        <w:pStyle w:val="Compact"/>
        <w:numPr>
          <w:ilvl w:val="0"/>
          <w:numId w:val="1077"/>
        </w:numPr>
      </w:pPr>
      <w:r>
        <w:t xml:space="preserve">Cuándo.</w:t>
      </w:r>
    </w:p>
    <w:p>
      <w:pPr>
        <w:pStyle w:val="Compact"/>
        <w:numPr>
          <w:ilvl w:val="0"/>
          <w:numId w:val="1077"/>
        </w:numPr>
      </w:pPr>
      <w:r>
        <w:t xml:space="preserve">Cómo se detectó.</w:t>
      </w:r>
    </w:p>
    <w:p>
      <w:pPr>
        <w:pStyle w:val="Compact"/>
        <w:numPr>
          <w:ilvl w:val="0"/>
          <w:numId w:val="1077"/>
        </w:numPr>
      </w:pPr>
      <w:r>
        <w:t xml:space="preserve">Por qué fue clasificado.</w:t>
      </w:r>
    </w:p>
    <w:p>
      <w:pPr>
        <w:pStyle w:val="Compact"/>
        <w:numPr>
          <w:ilvl w:val="0"/>
          <w:numId w:val="1077"/>
        </w:numPr>
      </w:pPr>
      <w:r>
        <w:t xml:space="preserve">Qué parte requiere revisión humana.</w:t>
      </w:r>
    </w:p>
    <w:p>
      <w:pPr>
        <w:pStyle w:val="Compact"/>
        <w:numPr>
          <w:ilvl w:val="0"/>
          <w:numId w:val="1077"/>
        </w:numPr>
      </w:pPr>
      <w:r>
        <w:t xml:space="preserve">Qué limitaciones existen.</w:t>
      </w:r>
    </w:p>
    <w:bookmarkEnd w:id="108"/>
    <w:bookmarkStart w:id="109" w:name="rnf-07.-accesibilidad"/>
    <w:p>
      <w:pPr>
        <w:pStyle w:val="Heading2"/>
      </w:pPr>
      <w:r>
        <w:t xml:space="preserve">RNF-07. Accesibilidad</w:t>
      </w:r>
    </w:p>
    <w:p>
      <w:pPr>
        <w:pStyle w:val="FirstParagraph"/>
      </w:pPr>
      <w:r>
        <w:t xml:space="preserve">La interfaz deberá cumplir estándares de accesibilidad y permitir:</w:t>
      </w:r>
    </w:p>
    <w:p>
      <w:pPr>
        <w:pStyle w:val="Compact"/>
        <w:numPr>
          <w:ilvl w:val="0"/>
          <w:numId w:val="1078"/>
        </w:numPr>
      </w:pPr>
      <w:r>
        <w:t xml:space="preserve">Navegación por teclado.</w:t>
      </w:r>
    </w:p>
    <w:p>
      <w:pPr>
        <w:pStyle w:val="Compact"/>
        <w:numPr>
          <w:ilvl w:val="0"/>
          <w:numId w:val="1078"/>
        </w:numPr>
      </w:pPr>
      <w:r>
        <w:t xml:space="preserve">Lectores de pantalla.</w:t>
      </w:r>
    </w:p>
    <w:p>
      <w:pPr>
        <w:pStyle w:val="Compact"/>
        <w:numPr>
          <w:ilvl w:val="0"/>
          <w:numId w:val="1078"/>
        </w:numPr>
      </w:pPr>
      <w:r>
        <w:t xml:space="preserve">Contraste suficiente.</w:t>
      </w:r>
    </w:p>
    <w:p>
      <w:pPr>
        <w:pStyle w:val="Compact"/>
        <w:numPr>
          <w:ilvl w:val="0"/>
          <w:numId w:val="1078"/>
        </w:numPr>
      </w:pPr>
      <w:r>
        <w:t xml:space="preserve">Exportaciones legibles.</w:t>
      </w:r>
    </w:p>
    <w:p>
      <w:pPr>
        <w:pStyle w:val="Compact"/>
        <w:numPr>
          <w:ilvl w:val="0"/>
          <w:numId w:val="1078"/>
        </w:numPr>
      </w:pPr>
      <w:r>
        <w:t xml:space="preserve">Descripciones alternativas de evidencias.</w:t>
      </w:r>
    </w:p>
    <w:bookmarkEnd w:id="109"/>
    <w:bookmarkStart w:id="110" w:name="rnf-08.-idiomas"/>
    <w:p>
      <w:pPr>
        <w:pStyle w:val="Heading2"/>
      </w:pPr>
      <w:r>
        <w:t xml:space="preserve">RNF-08. Idiomas</w:t>
      </w:r>
    </w:p>
    <w:p>
      <w:pPr>
        <w:pStyle w:val="FirstParagraph"/>
      </w:pPr>
      <w:r>
        <w:t xml:space="preserve">Inicialmente:</w:t>
      </w:r>
    </w:p>
    <w:p>
      <w:pPr>
        <w:pStyle w:val="Compact"/>
        <w:numPr>
          <w:ilvl w:val="0"/>
          <w:numId w:val="1079"/>
        </w:numPr>
      </w:pPr>
      <w:r>
        <w:t xml:space="preserve">Español de Chile.</w:t>
      </w:r>
    </w:p>
    <w:p>
      <w:pPr>
        <w:pStyle w:val="Compact"/>
        <w:numPr>
          <w:ilvl w:val="0"/>
          <w:numId w:val="1079"/>
        </w:numPr>
      </w:pPr>
      <w:r>
        <w:t xml:space="preserve">Inglés técnico.</w:t>
      </w:r>
    </w:p>
    <w:p>
      <w:pPr>
        <w:pStyle w:val="FirstParagraph"/>
      </w:pPr>
      <w:r>
        <w:t xml:space="preserve">Las taxonomías y textos deberán ser configurables.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arquitectura-lógica-propuesta"/>
    <w:p>
      <w:pPr>
        <w:pStyle w:val="Heading1"/>
      </w:pPr>
      <w:r>
        <w:t xml:space="preserve">14. Arquitectura lógica propuesta</w:t>
      </w:r>
    </w:p>
    <w:p>
      <w:pPr>
        <w:pStyle w:val="SourceCode"/>
      </w:pPr>
      <w:r>
        <w:rPr>
          <w:rStyle w:val="VerbatimChar"/>
        </w:rPr>
        <w:t xml:space="preserve">Portal de gestión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Gestor de alcance y autorizaciones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Orquestador de evaluaciones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Crawler pasivo</w:t>
      </w:r>
      <w:r>
        <w:br/>
      </w:r>
      <w:r>
        <w:rPr>
          <w:rStyle w:val="VerbatimChar"/>
        </w:rPr>
        <w:t xml:space="preserve">       ├── Navegador automatizado</w:t>
      </w:r>
      <w:r>
        <w:br/>
      </w:r>
      <w:r>
        <w:rPr>
          <w:rStyle w:val="VerbatimChar"/>
        </w:rPr>
        <w:t xml:space="preserve">       ├── Capturador de red</w:t>
      </w:r>
      <w:r>
        <w:br/>
      </w:r>
      <w:r>
        <w:rPr>
          <w:rStyle w:val="VerbatimChar"/>
        </w:rPr>
        <w:t xml:space="preserve">       ├── Analizador de cookies y storage</w:t>
      </w:r>
      <w:r>
        <w:br/>
      </w:r>
      <w:r>
        <w:rPr>
          <w:rStyle w:val="VerbatimChar"/>
        </w:rPr>
        <w:t xml:space="preserve">       ├── Analizador de políticas</w:t>
      </w:r>
      <w:r>
        <w:br/>
      </w:r>
      <w:r>
        <w:rPr>
          <w:rStyle w:val="VerbatimChar"/>
        </w:rPr>
        <w:t xml:space="preserve">       ├── Escáner frontend</w:t>
      </w:r>
      <w:r>
        <w:br/>
      </w:r>
      <w:r>
        <w:rPr>
          <w:rStyle w:val="VerbatimChar"/>
        </w:rPr>
        <w:t xml:space="preserve">       ├── Escáner backend</w:t>
      </w:r>
      <w:r>
        <w:br/>
      </w:r>
      <w:r>
        <w:rPr>
          <w:rStyle w:val="VerbatimChar"/>
        </w:rPr>
        <w:t xml:space="preserve">       ├── Escáner API</w:t>
      </w:r>
      <w:r>
        <w:br/>
      </w:r>
      <w:r>
        <w:rPr>
          <w:rStyle w:val="VerbatimChar"/>
        </w:rPr>
        <w:t xml:space="preserve">       └── Escáner de infraestructura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Normalizador de evidencias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Motor de clasificación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Motor de correlación y linaje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Revisión humana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Reportes, dashboards y tickets</w:t>
      </w:r>
    </w:p>
    <w:bookmarkStart w:id="118" w:name="componentes"/>
    <w:p>
      <w:pPr>
        <w:pStyle w:val="Heading2"/>
      </w:pPr>
      <w:r>
        <w:t xml:space="preserve">Componentes</w:t>
      </w:r>
    </w:p>
    <w:bookmarkStart w:id="112" w:name="a.-gestor-de-proyectos"/>
    <w:p>
      <w:pPr>
        <w:pStyle w:val="Heading3"/>
      </w:pPr>
      <w:r>
        <w:t xml:space="preserve">A. Gestor de proyectos</w:t>
      </w:r>
    </w:p>
    <w:p>
      <w:pPr>
        <w:pStyle w:val="Compact"/>
        <w:numPr>
          <w:ilvl w:val="0"/>
          <w:numId w:val="1080"/>
        </w:numPr>
      </w:pPr>
      <w:r>
        <w:t xml:space="preserve">Clientes.</w:t>
      </w:r>
    </w:p>
    <w:p>
      <w:pPr>
        <w:pStyle w:val="Compact"/>
        <w:numPr>
          <w:ilvl w:val="0"/>
          <w:numId w:val="1080"/>
        </w:numPr>
      </w:pPr>
      <w:r>
        <w:t xml:space="preserve">Sitios.</w:t>
      </w:r>
    </w:p>
    <w:p>
      <w:pPr>
        <w:pStyle w:val="Compact"/>
        <w:numPr>
          <w:ilvl w:val="0"/>
          <w:numId w:val="1080"/>
        </w:numPr>
      </w:pPr>
      <w:r>
        <w:t xml:space="preserve">Alcances.</w:t>
      </w:r>
    </w:p>
    <w:p>
      <w:pPr>
        <w:pStyle w:val="Compact"/>
        <w:numPr>
          <w:ilvl w:val="0"/>
          <w:numId w:val="1080"/>
        </w:numPr>
      </w:pPr>
      <w:r>
        <w:t xml:space="preserve">Autorizaciones.</w:t>
      </w:r>
    </w:p>
    <w:p>
      <w:pPr>
        <w:pStyle w:val="Compact"/>
        <w:numPr>
          <w:ilvl w:val="0"/>
          <w:numId w:val="1080"/>
        </w:numPr>
      </w:pPr>
      <w:r>
        <w:t xml:space="preserve">Usuarios.</w:t>
      </w:r>
    </w:p>
    <w:p>
      <w:pPr>
        <w:pStyle w:val="Compact"/>
        <w:numPr>
          <w:ilvl w:val="0"/>
          <w:numId w:val="1080"/>
        </w:numPr>
      </w:pPr>
      <w:r>
        <w:t xml:space="preserve">Roles.</w:t>
      </w:r>
    </w:p>
    <w:p>
      <w:pPr>
        <w:pStyle w:val="Compact"/>
        <w:numPr>
          <w:ilvl w:val="0"/>
          <w:numId w:val="1080"/>
        </w:numPr>
      </w:pPr>
      <w:r>
        <w:t xml:space="preserve">Ejecuciones.</w:t>
      </w:r>
    </w:p>
    <w:bookmarkEnd w:id="112"/>
    <w:bookmarkStart w:id="113" w:name="b.-orquestador"/>
    <w:p>
      <w:pPr>
        <w:pStyle w:val="Heading3"/>
      </w:pPr>
      <w:r>
        <w:t xml:space="preserve">B. Orquestador</w:t>
      </w:r>
    </w:p>
    <w:p>
      <w:pPr>
        <w:pStyle w:val="Compact"/>
        <w:numPr>
          <w:ilvl w:val="0"/>
          <w:numId w:val="1081"/>
        </w:numPr>
      </w:pPr>
      <w:r>
        <w:t xml:space="preserve">Programación.</w:t>
      </w:r>
    </w:p>
    <w:p>
      <w:pPr>
        <w:pStyle w:val="Compact"/>
        <w:numPr>
          <w:ilvl w:val="0"/>
          <w:numId w:val="1081"/>
        </w:numPr>
      </w:pPr>
      <w:r>
        <w:t xml:space="preserve">Colas.</w:t>
      </w:r>
    </w:p>
    <w:p>
      <w:pPr>
        <w:pStyle w:val="Compact"/>
        <w:numPr>
          <w:ilvl w:val="0"/>
          <w:numId w:val="1081"/>
        </w:numPr>
      </w:pPr>
      <w:r>
        <w:t xml:space="preserve">Prioridades.</w:t>
      </w:r>
    </w:p>
    <w:p>
      <w:pPr>
        <w:pStyle w:val="Compact"/>
        <w:numPr>
          <w:ilvl w:val="0"/>
          <w:numId w:val="1081"/>
        </w:numPr>
      </w:pPr>
      <w:r>
        <w:t xml:space="preserve">Reintentos.</w:t>
      </w:r>
    </w:p>
    <w:p>
      <w:pPr>
        <w:pStyle w:val="Compact"/>
        <w:numPr>
          <w:ilvl w:val="0"/>
          <w:numId w:val="1081"/>
        </w:numPr>
      </w:pPr>
      <w:r>
        <w:t xml:space="preserve">Timeout.</w:t>
      </w:r>
    </w:p>
    <w:p>
      <w:pPr>
        <w:pStyle w:val="Compact"/>
        <w:numPr>
          <w:ilvl w:val="0"/>
          <w:numId w:val="1081"/>
        </w:numPr>
      </w:pPr>
      <w:r>
        <w:t xml:space="preserve">Detención.</w:t>
      </w:r>
    </w:p>
    <w:p>
      <w:pPr>
        <w:pStyle w:val="Compact"/>
        <w:numPr>
          <w:ilvl w:val="0"/>
          <w:numId w:val="1081"/>
        </w:numPr>
      </w:pPr>
      <w:r>
        <w:t xml:space="preserve">Aislamiento.</w:t>
      </w:r>
    </w:p>
    <w:bookmarkEnd w:id="113"/>
    <w:bookmarkStart w:id="114" w:name="c.-browser-workers"/>
    <w:p>
      <w:pPr>
        <w:pStyle w:val="Heading3"/>
      </w:pPr>
      <w:r>
        <w:t xml:space="preserve">C. Browser workers</w:t>
      </w:r>
    </w:p>
    <w:p>
      <w:pPr>
        <w:pStyle w:val="Compact"/>
        <w:numPr>
          <w:ilvl w:val="0"/>
          <w:numId w:val="1082"/>
        </w:numPr>
      </w:pPr>
      <w:r>
        <w:t xml:space="preserve">Navegación.</w:t>
      </w:r>
    </w:p>
    <w:p>
      <w:pPr>
        <w:pStyle w:val="Compact"/>
        <w:numPr>
          <w:ilvl w:val="0"/>
          <w:numId w:val="1082"/>
        </w:numPr>
      </w:pPr>
      <w:r>
        <w:t xml:space="preserve">Consentimiento.</w:t>
      </w:r>
    </w:p>
    <w:p>
      <w:pPr>
        <w:pStyle w:val="Compact"/>
        <w:numPr>
          <w:ilvl w:val="0"/>
          <w:numId w:val="1082"/>
        </w:numPr>
      </w:pPr>
      <w:r>
        <w:t xml:space="preserve">Formularios.</w:t>
      </w:r>
    </w:p>
    <w:p>
      <w:pPr>
        <w:pStyle w:val="Compact"/>
        <w:numPr>
          <w:ilvl w:val="0"/>
          <w:numId w:val="1082"/>
        </w:numPr>
      </w:pPr>
      <w:r>
        <w:t xml:space="preserve">Capturas.</w:t>
      </w:r>
    </w:p>
    <w:p>
      <w:pPr>
        <w:pStyle w:val="Compact"/>
        <w:numPr>
          <w:ilvl w:val="0"/>
          <w:numId w:val="1082"/>
        </w:numPr>
      </w:pPr>
      <w:r>
        <w:t xml:space="preserve">Red.</w:t>
      </w:r>
    </w:p>
    <w:p>
      <w:pPr>
        <w:pStyle w:val="Compact"/>
        <w:numPr>
          <w:ilvl w:val="0"/>
          <w:numId w:val="1082"/>
        </w:numPr>
      </w:pPr>
      <w:r>
        <w:t xml:space="preserve">Storage.</w:t>
      </w:r>
    </w:p>
    <w:bookmarkEnd w:id="114"/>
    <w:bookmarkStart w:id="115" w:name="d.-source-scanners"/>
    <w:p>
      <w:pPr>
        <w:pStyle w:val="Heading3"/>
      </w:pPr>
      <w:r>
        <w:t xml:space="preserve">D. Source scanners</w:t>
      </w:r>
    </w:p>
    <w:p>
      <w:pPr>
        <w:pStyle w:val="Compact"/>
        <w:numPr>
          <w:ilvl w:val="0"/>
          <w:numId w:val="1083"/>
        </w:numPr>
      </w:pPr>
      <w:r>
        <w:t xml:space="preserve">Análisis de AST.</w:t>
      </w:r>
    </w:p>
    <w:p>
      <w:pPr>
        <w:pStyle w:val="Compact"/>
        <w:numPr>
          <w:ilvl w:val="0"/>
          <w:numId w:val="1083"/>
        </w:numPr>
      </w:pPr>
      <w:r>
        <w:t xml:space="preserve">Reglas Semgrep o equivalentes.</w:t>
      </w:r>
    </w:p>
    <w:p>
      <w:pPr>
        <w:pStyle w:val="Compact"/>
        <w:numPr>
          <w:ilvl w:val="0"/>
          <w:numId w:val="1083"/>
        </w:numPr>
      </w:pPr>
      <w:r>
        <w:t xml:space="preserve">Tree-sitter o equivalente.</w:t>
      </w:r>
    </w:p>
    <w:p>
      <w:pPr>
        <w:pStyle w:val="Compact"/>
        <w:numPr>
          <w:ilvl w:val="0"/>
          <w:numId w:val="1083"/>
        </w:numPr>
      </w:pPr>
      <w:r>
        <w:t xml:space="preserve">Detección de dependencias.</w:t>
      </w:r>
    </w:p>
    <w:p>
      <w:pPr>
        <w:pStyle w:val="Compact"/>
        <w:numPr>
          <w:ilvl w:val="0"/>
          <w:numId w:val="1083"/>
        </w:numPr>
      </w:pPr>
      <w:r>
        <w:t xml:space="preserve">Detección de flujos.</w:t>
      </w:r>
    </w:p>
    <w:bookmarkEnd w:id="115"/>
    <w:bookmarkStart w:id="116" w:name="e.-motor-legal-técnico"/>
    <w:p>
      <w:pPr>
        <w:pStyle w:val="Heading3"/>
      </w:pPr>
      <w:r>
        <w:t xml:space="preserve">E. Motor legal-técnico</w:t>
      </w:r>
    </w:p>
    <w:p>
      <w:pPr>
        <w:pStyle w:val="Compact"/>
        <w:numPr>
          <w:ilvl w:val="0"/>
          <w:numId w:val="1084"/>
        </w:numPr>
      </w:pPr>
      <w:r>
        <w:t xml:space="preserve">Taxonomía chilena.</w:t>
      </w:r>
    </w:p>
    <w:p>
      <w:pPr>
        <w:pStyle w:val="Compact"/>
        <w:numPr>
          <w:ilvl w:val="0"/>
          <w:numId w:val="1084"/>
        </w:numPr>
      </w:pPr>
      <w:r>
        <w:t xml:space="preserve">Reglas de evidencia.</w:t>
      </w:r>
    </w:p>
    <w:p>
      <w:pPr>
        <w:pStyle w:val="Compact"/>
        <w:numPr>
          <w:ilvl w:val="0"/>
          <w:numId w:val="1084"/>
        </w:numPr>
      </w:pPr>
      <w:r>
        <w:t xml:space="preserve">Extracción documental.</w:t>
      </w:r>
    </w:p>
    <w:p>
      <w:pPr>
        <w:pStyle w:val="Compact"/>
        <w:numPr>
          <w:ilvl w:val="0"/>
          <w:numId w:val="1084"/>
        </w:numPr>
      </w:pPr>
      <w:r>
        <w:t xml:space="preserve">Correlación.</w:t>
      </w:r>
    </w:p>
    <w:p>
      <w:pPr>
        <w:pStyle w:val="Compact"/>
        <w:numPr>
          <w:ilvl w:val="0"/>
          <w:numId w:val="1084"/>
        </w:numPr>
      </w:pPr>
      <w:r>
        <w:t xml:space="preserve">Clasificación.</w:t>
      </w:r>
    </w:p>
    <w:bookmarkEnd w:id="116"/>
    <w:bookmarkStart w:id="117" w:name="f.-repositorio"/>
    <w:p>
      <w:pPr>
        <w:pStyle w:val="Heading3"/>
      </w:pPr>
      <w:r>
        <w:t xml:space="preserve">F. Repositorio</w:t>
      </w:r>
    </w:p>
    <w:p>
      <w:pPr>
        <w:pStyle w:val="Compact"/>
        <w:numPr>
          <w:ilvl w:val="0"/>
          <w:numId w:val="1085"/>
        </w:numPr>
      </w:pPr>
      <w:r>
        <w:t xml:space="preserve">PostgreSQL para metadatos.</w:t>
      </w:r>
    </w:p>
    <w:p>
      <w:pPr>
        <w:pStyle w:val="Compact"/>
        <w:numPr>
          <w:ilvl w:val="0"/>
          <w:numId w:val="1085"/>
        </w:numPr>
      </w:pPr>
      <w:r>
        <w:t xml:space="preserve">Almacenamiento de objetos para evidencia.</w:t>
      </w:r>
    </w:p>
    <w:p>
      <w:pPr>
        <w:pStyle w:val="Compact"/>
        <w:numPr>
          <w:ilvl w:val="0"/>
          <w:numId w:val="1085"/>
        </w:numPr>
      </w:pPr>
      <w:r>
        <w:t xml:space="preserve">Índice de búsqueda.</w:t>
      </w:r>
    </w:p>
    <w:p>
      <w:pPr>
        <w:pStyle w:val="Compact"/>
        <w:numPr>
          <w:ilvl w:val="0"/>
          <w:numId w:val="1085"/>
        </w:numPr>
      </w:pPr>
      <w:r>
        <w:t xml:space="preserve">Grafo para linaje, opcional.</w:t>
      </w:r>
    </w:p>
    <w:p>
      <w:pPr>
        <w:pStyle w:val="Compact"/>
        <w:numPr>
          <w:ilvl w:val="0"/>
          <w:numId w:val="1085"/>
        </w:numPr>
      </w:pPr>
      <w:r>
        <w:t xml:space="preserve">Bóveda de secretos.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0" w:name="restricciones-de-seguridad-y-uso-ético"/>
    <w:p>
      <w:pPr>
        <w:pStyle w:val="Heading1"/>
      </w:pPr>
      <w:r>
        <w:t xml:space="preserve">15. Restricciones de seguridad y uso ético</w:t>
      </w:r>
    </w:p>
    <w:p>
      <w:pPr>
        <w:pStyle w:val="FirstParagraph"/>
      </w:pPr>
      <w:r>
        <w:t xml:space="preserve">El sistema no deberá incluir en su modalidad estándar:</w:t>
      </w:r>
    </w:p>
    <w:p>
      <w:pPr>
        <w:pStyle w:val="Compact"/>
        <w:numPr>
          <w:ilvl w:val="0"/>
          <w:numId w:val="1086"/>
        </w:numPr>
      </w:pPr>
      <w:r>
        <w:t xml:space="preserve">Fuerza bruta.</w:t>
      </w:r>
    </w:p>
    <w:p>
      <w:pPr>
        <w:pStyle w:val="Compact"/>
        <w:numPr>
          <w:ilvl w:val="0"/>
          <w:numId w:val="1086"/>
        </w:numPr>
      </w:pPr>
      <w:r>
        <w:t xml:space="preserve">Ataques de contraseñas.</w:t>
      </w:r>
    </w:p>
    <w:p>
      <w:pPr>
        <w:pStyle w:val="Compact"/>
        <w:numPr>
          <w:ilvl w:val="0"/>
          <w:numId w:val="1086"/>
        </w:numPr>
      </w:pPr>
      <w:r>
        <w:t xml:space="preserve">Explotación de vulnerabilidades.</w:t>
      </w:r>
    </w:p>
    <w:p>
      <w:pPr>
        <w:pStyle w:val="Compact"/>
        <w:numPr>
          <w:ilvl w:val="0"/>
          <w:numId w:val="1086"/>
        </w:numPr>
      </w:pPr>
      <w:r>
        <w:t xml:space="preserve">SQL injection activa.</w:t>
      </w:r>
    </w:p>
    <w:p>
      <w:pPr>
        <w:pStyle w:val="Compact"/>
        <w:numPr>
          <w:ilvl w:val="0"/>
          <w:numId w:val="1086"/>
        </w:numPr>
      </w:pPr>
      <w:r>
        <w:t xml:space="preserve">XSS activo.</w:t>
      </w:r>
    </w:p>
    <w:p>
      <w:pPr>
        <w:pStyle w:val="Compact"/>
        <w:numPr>
          <w:ilvl w:val="0"/>
          <w:numId w:val="1086"/>
        </w:numPr>
      </w:pPr>
      <w:r>
        <w:t xml:space="preserve">Denegación de servicio.</w:t>
      </w:r>
    </w:p>
    <w:p>
      <w:pPr>
        <w:pStyle w:val="Compact"/>
        <w:numPr>
          <w:ilvl w:val="0"/>
          <w:numId w:val="1086"/>
        </w:numPr>
      </w:pPr>
      <w:r>
        <w:t xml:space="preserve">Evasión de controles.</w:t>
      </w:r>
    </w:p>
    <w:p>
      <w:pPr>
        <w:pStyle w:val="Compact"/>
        <w:numPr>
          <w:ilvl w:val="0"/>
          <w:numId w:val="1086"/>
        </w:numPr>
      </w:pPr>
      <w:r>
        <w:t xml:space="preserve">Escalada de privilegios.</w:t>
      </w:r>
    </w:p>
    <w:p>
      <w:pPr>
        <w:pStyle w:val="Compact"/>
        <w:numPr>
          <w:ilvl w:val="0"/>
          <w:numId w:val="1086"/>
        </w:numPr>
      </w:pPr>
      <w:r>
        <w:t xml:space="preserve">Extracción masiva.</w:t>
      </w:r>
    </w:p>
    <w:p>
      <w:pPr>
        <w:pStyle w:val="Compact"/>
        <w:numPr>
          <w:ilvl w:val="0"/>
          <w:numId w:val="1086"/>
        </w:numPr>
      </w:pPr>
      <w:r>
        <w:t xml:space="preserve">Enumeración indiscriminada de usuarios.</w:t>
      </w:r>
    </w:p>
    <w:p>
      <w:pPr>
        <w:pStyle w:val="Compact"/>
        <w:numPr>
          <w:ilvl w:val="0"/>
          <w:numId w:val="1086"/>
        </w:numPr>
      </w:pPr>
      <w:r>
        <w:t xml:space="preserve">Modificación de registros.</w:t>
      </w:r>
    </w:p>
    <w:p>
      <w:pPr>
        <w:pStyle w:val="Compact"/>
        <w:numPr>
          <w:ilvl w:val="0"/>
          <w:numId w:val="1086"/>
        </w:numPr>
      </w:pPr>
      <w:r>
        <w:t xml:space="preserve">Compra o pago real.</w:t>
      </w:r>
    </w:p>
    <w:p>
      <w:pPr>
        <w:pStyle w:val="Compact"/>
        <w:numPr>
          <w:ilvl w:val="0"/>
          <w:numId w:val="1086"/>
        </w:numPr>
      </w:pPr>
      <w:r>
        <w:t xml:space="preserve">Publicación real.</w:t>
      </w:r>
    </w:p>
    <w:p>
      <w:pPr>
        <w:pStyle w:val="Compact"/>
        <w:numPr>
          <w:ilvl w:val="0"/>
          <w:numId w:val="1086"/>
        </w:numPr>
      </w:pPr>
      <w:r>
        <w:t xml:space="preserve">Envío masivo de formularios.</w:t>
      </w:r>
    </w:p>
    <w:p>
      <w:pPr>
        <w:pStyle w:val="Compact"/>
        <w:numPr>
          <w:ilvl w:val="0"/>
          <w:numId w:val="1086"/>
        </w:numPr>
      </w:pPr>
      <w:r>
        <w:t xml:space="preserve">Acceso fuera del alcance autorizado.</w:t>
      </w:r>
    </w:p>
    <w:p>
      <w:pPr>
        <w:pStyle w:val="FirstParagraph"/>
      </w:pPr>
      <w:r>
        <w:t xml:space="preserve">La plataforma no debe convertirse accidentalmente en una herramienta de pentesting ofensivo. Las pruebas de seguridad profunda deberán constituir un módulo independiente, sujeto a una autorización distinta.</w:t>
      </w:r>
    </w:p>
    <w:p>
      <w:r>
        <w:pict>
          <v:rect style="width:0;height:1.5pt" o:hralign="center" o:hrstd="t" o:hr="t"/>
        </w:pict>
      </w:r>
    </w:p>
    <w:bookmarkEnd w:id="120"/>
    <w:bookmarkStart w:id="128" w:name="criterios-de-aceptación-principales"/>
    <w:p>
      <w:pPr>
        <w:pStyle w:val="Heading1"/>
      </w:pPr>
      <w:r>
        <w:t xml:space="preserve">16. Criterios de aceptación principales</w:t>
      </w:r>
    </w:p>
    <w:bookmarkStart w:id="121" w:name="ca-01.-campo-personal-visible"/>
    <w:p>
      <w:pPr>
        <w:pStyle w:val="Heading2"/>
      </w:pPr>
      <w:r>
        <w:t xml:space="preserve">CA-01. Campo personal visible</w:t>
      </w:r>
    </w:p>
    <w:p>
      <w:pPr>
        <w:pStyle w:val="FirstParagraph"/>
      </w:pPr>
      <w:r>
        <w:t xml:space="preserve">Dado un formulario con nombre, RUT, correo y teléfono, el sistema deberá:</w:t>
      </w:r>
    </w:p>
    <w:p>
      <w:pPr>
        <w:pStyle w:val="Compact"/>
        <w:numPr>
          <w:ilvl w:val="0"/>
          <w:numId w:val="1087"/>
        </w:numPr>
      </w:pPr>
      <w:r>
        <w:t xml:space="preserve">Detectar los cuatro campos.</w:t>
      </w:r>
    </w:p>
    <w:p>
      <w:pPr>
        <w:pStyle w:val="Compact"/>
        <w:numPr>
          <w:ilvl w:val="0"/>
          <w:numId w:val="1087"/>
        </w:numPr>
      </w:pPr>
      <w:r>
        <w:t xml:space="preserve">Clasificarlos correctamente.</w:t>
      </w:r>
    </w:p>
    <w:p>
      <w:pPr>
        <w:pStyle w:val="Compact"/>
        <w:numPr>
          <w:ilvl w:val="0"/>
          <w:numId w:val="1087"/>
        </w:numPr>
      </w:pPr>
      <w:r>
        <w:t xml:space="preserve">Identificar cuáles son obligatorios.</w:t>
      </w:r>
    </w:p>
    <w:p>
      <w:pPr>
        <w:pStyle w:val="Compact"/>
        <w:numPr>
          <w:ilvl w:val="0"/>
          <w:numId w:val="1087"/>
        </w:numPr>
      </w:pPr>
      <w:r>
        <w:t xml:space="preserve">Asociarlos al endpoint.</w:t>
      </w:r>
    </w:p>
    <w:p>
      <w:pPr>
        <w:pStyle w:val="Compact"/>
        <w:numPr>
          <w:ilvl w:val="0"/>
          <w:numId w:val="1087"/>
        </w:numPr>
      </w:pPr>
      <w:r>
        <w:t xml:space="preserve">Capturar el texto informativo cercano.</w:t>
      </w:r>
    </w:p>
    <w:p>
      <w:pPr>
        <w:pStyle w:val="Compact"/>
        <w:numPr>
          <w:ilvl w:val="0"/>
          <w:numId w:val="1087"/>
        </w:numPr>
      </w:pPr>
      <w:r>
        <w:t xml:space="preserve">Generar evidencia reproducible.</w:t>
      </w:r>
    </w:p>
    <w:bookmarkEnd w:id="121"/>
    <w:bookmarkStart w:id="122" w:name="ca-02.-campo-oculto"/>
    <w:p>
      <w:pPr>
        <w:pStyle w:val="Heading2"/>
      </w:pPr>
      <w:r>
        <w:t xml:space="preserve">CA-02. Campo oculto</w:t>
      </w:r>
    </w:p>
    <w:p>
      <w:pPr>
        <w:pStyle w:val="FirstParagraph"/>
      </w:pPr>
      <w:r>
        <w:t xml:space="preserve">Dado un campo oculto con un identificador de usuario, deberá:</w:t>
      </w:r>
    </w:p>
    <w:p>
      <w:pPr>
        <w:pStyle w:val="Compact"/>
        <w:numPr>
          <w:ilvl w:val="0"/>
          <w:numId w:val="1088"/>
        </w:numPr>
      </w:pPr>
      <w:r>
        <w:t xml:space="preserve">Detectarlo.</w:t>
      </w:r>
    </w:p>
    <w:p>
      <w:pPr>
        <w:pStyle w:val="Compact"/>
        <w:numPr>
          <w:ilvl w:val="0"/>
          <w:numId w:val="1088"/>
        </w:numPr>
      </w:pPr>
      <w:r>
        <w:t xml:space="preserve">Clasificarlo.</w:t>
      </w:r>
    </w:p>
    <w:p>
      <w:pPr>
        <w:pStyle w:val="Compact"/>
        <w:numPr>
          <w:ilvl w:val="0"/>
          <w:numId w:val="1088"/>
        </w:numPr>
      </w:pPr>
      <w:r>
        <w:t xml:space="preserve">Mostrar que no es visible.</w:t>
      </w:r>
    </w:p>
    <w:p>
      <w:pPr>
        <w:pStyle w:val="Compact"/>
        <w:numPr>
          <w:ilvl w:val="0"/>
          <w:numId w:val="1088"/>
        </w:numPr>
      </w:pPr>
      <w:r>
        <w:t xml:space="preserve">Identificar cuándo se transmite.</w:t>
      </w:r>
    </w:p>
    <w:bookmarkEnd w:id="122"/>
    <w:bookmarkStart w:id="123" w:name="ca-03.-tracking-previo"/>
    <w:p>
      <w:pPr>
        <w:pStyle w:val="Heading2"/>
      </w:pPr>
      <w:r>
        <w:t xml:space="preserve">CA-03. Tracking previo</w:t>
      </w:r>
    </w:p>
    <w:p>
      <w:pPr>
        <w:pStyle w:val="FirstParagraph"/>
      </w:pPr>
      <w:r>
        <w:t xml:space="preserve">Dado un sitio que ejecuta analítica antes del consentimiento, deberá:</w:t>
      </w:r>
    </w:p>
    <w:p>
      <w:pPr>
        <w:pStyle w:val="Compact"/>
        <w:numPr>
          <w:ilvl w:val="0"/>
          <w:numId w:val="1089"/>
        </w:numPr>
      </w:pPr>
      <w:r>
        <w:t xml:space="preserve">Capturar la solicitud.</w:t>
      </w:r>
    </w:p>
    <w:p>
      <w:pPr>
        <w:pStyle w:val="Compact"/>
        <w:numPr>
          <w:ilvl w:val="0"/>
          <w:numId w:val="1089"/>
        </w:numPr>
      </w:pPr>
      <w:r>
        <w:t xml:space="preserve">Identificar el dominio.</w:t>
      </w:r>
    </w:p>
    <w:p>
      <w:pPr>
        <w:pStyle w:val="Compact"/>
        <w:numPr>
          <w:ilvl w:val="0"/>
          <w:numId w:val="1089"/>
        </w:numPr>
      </w:pPr>
      <w:r>
        <w:t xml:space="preserve">Asociarla al estado</w:t>
      </w:r>
      <w:r>
        <w:t xml:space="preserve"> </w:t>
      </w:r>
      <w:r>
        <w:t xml:space="preserve">“sin interacción”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t xml:space="preserve">Compararla con el estado</w:t>
      </w:r>
      <w:r>
        <w:t xml:space="preserve"> </w:t>
      </w:r>
      <w:r>
        <w:t xml:space="preserve">“rechazar”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t xml:space="preserve">Emitir un indicador de revisión.</w:t>
      </w:r>
    </w:p>
    <w:bookmarkEnd w:id="123"/>
    <w:bookmarkStart w:id="124" w:name="ca-04.-rechazo-efectivo"/>
    <w:p>
      <w:pPr>
        <w:pStyle w:val="Heading2"/>
      </w:pPr>
      <w:r>
        <w:t xml:space="preserve">CA-04. Rechazo efectivo</w:t>
      </w:r>
    </w:p>
    <w:p>
      <w:pPr>
        <w:pStyle w:val="FirstParagraph"/>
      </w:pPr>
      <w:r>
        <w:t xml:space="preserve">Dado un sitio que deshabilita correctamente el tracking al rechazar, deberá:</w:t>
      </w:r>
    </w:p>
    <w:p>
      <w:pPr>
        <w:pStyle w:val="Compact"/>
        <w:numPr>
          <w:ilvl w:val="0"/>
          <w:numId w:val="1090"/>
        </w:numPr>
      </w:pPr>
      <w:r>
        <w:t xml:space="preserve">Mostrar la diferencia.</w:t>
      </w:r>
    </w:p>
    <w:p>
      <w:pPr>
        <w:pStyle w:val="Compact"/>
        <w:numPr>
          <w:ilvl w:val="0"/>
          <w:numId w:val="1090"/>
        </w:numPr>
      </w:pPr>
      <w:r>
        <w:t xml:space="preserve">No generar un falso hallazgo de ejecución posterior.</w:t>
      </w:r>
    </w:p>
    <w:p>
      <w:pPr>
        <w:pStyle w:val="Compact"/>
        <w:numPr>
          <w:ilvl w:val="0"/>
          <w:numId w:val="1090"/>
        </w:numPr>
      </w:pPr>
      <w:r>
        <w:t xml:space="preserve">Conservar evidencia de ambas sesiones.</w:t>
      </w:r>
    </w:p>
    <w:bookmarkEnd w:id="124"/>
    <w:bookmarkStart w:id="125" w:name="ca-05.-política-incompleta"/>
    <w:p>
      <w:pPr>
        <w:pStyle w:val="Heading2"/>
      </w:pPr>
      <w:r>
        <w:t xml:space="preserve">CA-05. Política incompleta</w:t>
      </w:r>
    </w:p>
    <w:p>
      <w:pPr>
        <w:pStyle w:val="FirstParagraph"/>
      </w:pPr>
      <w:r>
        <w:t xml:space="preserve">Dado un dato observado que no aparece en la política, deberá:</w:t>
      </w:r>
    </w:p>
    <w:p>
      <w:pPr>
        <w:pStyle w:val="Compact"/>
        <w:numPr>
          <w:ilvl w:val="0"/>
          <w:numId w:val="1091"/>
        </w:numPr>
      </w:pPr>
      <w:r>
        <w:t xml:space="preserve">Relacionar la evidencia técnica.</w:t>
      </w:r>
    </w:p>
    <w:p>
      <w:pPr>
        <w:pStyle w:val="Compact"/>
        <w:numPr>
          <w:ilvl w:val="0"/>
          <w:numId w:val="1091"/>
        </w:numPr>
      </w:pPr>
      <w:r>
        <w:t xml:space="preserve">Mostrar la ausencia de coincidencia.</w:t>
      </w:r>
    </w:p>
    <w:p>
      <w:pPr>
        <w:pStyle w:val="Compact"/>
        <w:numPr>
          <w:ilvl w:val="0"/>
          <w:numId w:val="1091"/>
        </w:numPr>
      </w:pPr>
      <w:r>
        <w:t xml:space="preserve">Indicar que puede existir información en otra fuente no analizada.</w:t>
      </w:r>
    </w:p>
    <w:p>
      <w:pPr>
        <w:pStyle w:val="Compact"/>
        <w:numPr>
          <w:ilvl w:val="0"/>
          <w:numId w:val="1091"/>
        </w:numPr>
      </w:pPr>
      <w:r>
        <w:t xml:space="preserve">Solicitar revisión humana.</w:t>
      </w:r>
    </w:p>
    <w:bookmarkEnd w:id="125"/>
    <w:bookmarkStart w:id="126" w:name="ca-06.-código-fuente"/>
    <w:p>
      <w:pPr>
        <w:pStyle w:val="Heading2"/>
      </w:pPr>
      <w:r>
        <w:t xml:space="preserve">CA-06. Código fuente</w:t>
      </w:r>
    </w:p>
    <w:p>
      <w:pPr>
        <w:pStyle w:val="FirstParagraph"/>
      </w:pPr>
      <w:r>
        <w:t xml:space="preserve">Dado un endpoint que recibe un correo y lo guarda en una tabla:</w:t>
      </w:r>
    </w:p>
    <w:p>
      <w:pPr>
        <w:pStyle w:val="Compact"/>
        <w:numPr>
          <w:ilvl w:val="0"/>
          <w:numId w:val="1092"/>
        </w:numPr>
      </w:pPr>
      <w:r>
        <w:t xml:space="preserve">Deberá identificar el DTO.</w:t>
      </w:r>
    </w:p>
    <w:p>
      <w:pPr>
        <w:pStyle w:val="Compact"/>
        <w:numPr>
          <w:ilvl w:val="0"/>
          <w:numId w:val="1092"/>
        </w:numPr>
      </w:pPr>
      <w:r>
        <w:t xml:space="preserve">Identificar el controlador.</w:t>
      </w:r>
    </w:p>
    <w:p>
      <w:pPr>
        <w:pStyle w:val="Compact"/>
        <w:numPr>
          <w:ilvl w:val="0"/>
          <w:numId w:val="1092"/>
        </w:numPr>
      </w:pPr>
      <w:r>
        <w:t xml:space="preserve">Identificar el servicio.</w:t>
      </w:r>
    </w:p>
    <w:p>
      <w:pPr>
        <w:pStyle w:val="Compact"/>
        <w:numPr>
          <w:ilvl w:val="0"/>
          <w:numId w:val="1092"/>
        </w:numPr>
      </w:pPr>
      <w:r>
        <w:t xml:space="preserve">Identificar la entidad.</w:t>
      </w:r>
    </w:p>
    <w:p>
      <w:pPr>
        <w:pStyle w:val="Compact"/>
        <w:numPr>
          <w:ilvl w:val="0"/>
          <w:numId w:val="1092"/>
        </w:numPr>
      </w:pPr>
      <w:r>
        <w:t xml:space="preserve">Construir el linaje.</w:t>
      </w:r>
    </w:p>
    <w:p>
      <w:pPr>
        <w:pStyle w:val="Compact"/>
        <w:numPr>
          <w:ilvl w:val="0"/>
          <w:numId w:val="1092"/>
        </w:numPr>
      </w:pPr>
      <w:r>
        <w:t xml:space="preserve">Relacionarlo con el campo frontend cuando sea posible.</w:t>
      </w:r>
    </w:p>
    <w:bookmarkEnd w:id="126"/>
    <w:bookmarkStart w:id="127" w:name="ca-07.-protección-de-evidencia"/>
    <w:p>
      <w:pPr>
        <w:pStyle w:val="Heading2"/>
      </w:pPr>
      <w:r>
        <w:t xml:space="preserve">CA-07. Protección de evidencia</w:t>
      </w:r>
    </w:p>
    <w:p>
      <w:pPr>
        <w:pStyle w:val="FirstParagraph"/>
      </w:pPr>
      <w:r>
        <w:t xml:space="preserve">Dada una solicitud con contraseña o token:</w:t>
      </w:r>
    </w:p>
    <w:p>
      <w:pPr>
        <w:pStyle w:val="Compact"/>
        <w:numPr>
          <w:ilvl w:val="0"/>
          <w:numId w:val="1093"/>
        </w:numPr>
      </w:pPr>
      <w:r>
        <w:t xml:space="preserve">El reporte no deberá mostrar el valor completo.</w:t>
      </w:r>
    </w:p>
    <w:p>
      <w:pPr>
        <w:pStyle w:val="Compact"/>
        <w:numPr>
          <w:ilvl w:val="0"/>
          <w:numId w:val="1093"/>
        </w:numPr>
      </w:pPr>
      <w:r>
        <w:t xml:space="preserve">La evidencia deberá almacenarse cifrada o enmascarada.</w:t>
      </w:r>
    </w:p>
    <w:p>
      <w:pPr>
        <w:pStyle w:val="Compact"/>
        <w:numPr>
          <w:ilvl w:val="0"/>
          <w:numId w:val="1093"/>
        </w:numPr>
      </w:pPr>
      <w:r>
        <w:t xml:space="preserve">El acceso deberá quedar auditado.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indicadores-de-calidad"/>
    <w:p>
      <w:pPr>
        <w:pStyle w:val="Heading1"/>
      </w:pPr>
      <w:r>
        <w:t xml:space="preserve">17. Indicadores de calidad</w:t>
      </w:r>
    </w:p>
    <w:p>
      <w:pPr>
        <w:pStyle w:val="FirstParagraph"/>
      </w:pPr>
      <w:r>
        <w:t xml:space="preserve">El producto deberá medir:</w:t>
      </w:r>
    </w:p>
    <w:p>
      <w:pPr>
        <w:pStyle w:val="Compact"/>
        <w:numPr>
          <w:ilvl w:val="0"/>
          <w:numId w:val="1094"/>
        </w:numPr>
      </w:pPr>
      <w:r>
        <w:t xml:space="preserve">Cobertura de páginas.</w:t>
      </w:r>
    </w:p>
    <w:p>
      <w:pPr>
        <w:pStyle w:val="Compact"/>
        <w:numPr>
          <w:ilvl w:val="0"/>
          <w:numId w:val="1094"/>
        </w:numPr>
      </w:pPr>
      <w:r>
        <w:t xml:space="preserve">Cobertura de flujos.</w:t>
      </w:r>
    </w:p>
    <w:p>
      <w:pPr>
        <w:pStyle w:val="Compact"/>
        <w:numPr>
          <w:ilvl w:val="0"/>
          <w:numId w:val="1094"/>
        </w:numPr>
      </w:pPr>
      <w:r>
        <w:t xml:space="preserve">Cobertura de roles.</w:t>
      </w:r>
    </w:p>
    <w:p>
      <w:pPr>
        <w:pStyle w:val="Compact"/>
        <w:numPr>
          <w:ilvl w:val="0"/>
          <w:numId w:val="1094"/>
        </w:numPr>
      </w:pPr>
      <w:r>
        <w:t xml:space="preserve">Formularios descubiertos.</w:t>
      </w:r>
    </w:p>
    <w:p>
      <w:pPr>
        <w:pStyle w:val="Compact"/>
        <w:numPr>
          <w:ilvl w:val="0"/>
          <w:numId w:val="1094"/>
        </w:numPr>
      </w:pPr>
      <w:r>
        <w:t xml:space="preserve">Endpoints descubiertos.</w:t>
      </w:r>
    </w:p>
    <w:p>
      <w:pPr>
        <w:pStyle w:val="Compact"/>
        <w:numPr>
          <w:ilvl w:val="0"/>
          <w:numId w:val="1094"/>
        </w:numPr>
      </w:pPr>
      <w:r>
        <w:t xml:space="preserve">Porcentaje de campos clasificados.</w:t>
      </w:r>
    </w:p>
    <w:p>
      <w:pPr>
        <w:pStyle w:val="Compact"/>
        <w:numPr>
          <w:ilvl w:val="0"/>
          <w:numId w:val="1094"/>
        </w:numPr>
      </w:pPr>
      <w:r>
        <w:t xml:space="preserve">Precisión confirmada por analistas.</w:t>
      </w:r>
    </w:p>
    <w:p>
      <w:pPr>
        <w:pStyle w:val="Compact"/>
        <w:numPr>
          <w:ilvl w:val="0"/>
          <w:numId w:val="1094"/>
        </w:numPr>
      </w:pPr>
      <w:r>
        <w:t xml:space="preserve">Falsos positivos.</w:t>
      </w:r>
    </w:p>
    <w:p>
      <w:pPr>
        <w:pStyle w:val="Compact"/>
        <w:numPr>
          <w:ilvl w:val="0"/>
          <w:numId w:val="1094"/>
        </w:numPr>
      </w:pPr>
      <w:r>
        <w:t xml:space="preserve">Falsos negativos conocidos.</w:t>
      </w:r>
    </w:p>
    <w:p>
      <w:pPr>
        <w:pStyle w:val="Compact"/>
        <w:numPr>
          <w:ilvl w:val="0"/>
          <w:numId w:val="1094"/>
        </w:numPr>
      </w:pPr>
      <w:r>
        <w:t xml:space="preserve">Terceros detectados.</w:t>
      </w:r>
    </w:p>
    <w:p>
      <w:pPr>
        <w:pStyle w:val="Compact"/>
        <w:numPr>
          <w:ilvl w:val="0"/>
          <w:numId w:val="1094"/>
        </w:numPr>
      </w:pPr>
      <w:r>
        <w:t xml:space="preserve">Porcentaje de hallazgos con evidencia.</w:t>
      </w:r>
    </w:p>
    <w:p>
      <w:pPr>
        <w:pStyle w:val="Compact"/>
        <w:numPr>
          <w:ilvl w:val="0"/>
          <w:numId w:val="1094"/>
        </w:numPr>
      </w:pPr>
      <w:r>
        <w:t xml:space="preserve">Porcentaje de linajes completos.</w:t>
      </w:r>
    </w:p>
    <w:p>
      <w:pPr>
        <w:pStyle w:val="Compact"/>
        <w:numPr>
          <w:ilvl w:val="0"/>
          <w:numId w:val="1094"/>
        </w:numPr>
      </w:pPr>
      <w:r>
        <w:t xml:space="preserve">Diferencias entre evaluaciones.</w:t>
      </w:r>
    </w:p>
    <w:p>
      <w:pPr>
        <w:pStyle w:val="FirstParagraph"/>
      </w:pPr>
      <w:r>
        <w:t xml:space="preserve">Para el MVP se recomienda buscar:</w:t>
      </w:r>
    </w:p>
    <w:p>
      <w:pPr>
        <w:pStyle w:val="Compact"/>
        <w:numPr>
          <w:ilvl w:val="0"/>
          <w:numId w:val="1095"/>
        </w:numPr>
      </w:pPr>
      <w:r>
        <w:t xml:space="preserve">Precisión superior al 90 % para campos explícitos.</w:t>
      </w:r>
    </w:p>
    <w:p>
      <w:pPr>
        <w:pStyle w:val="Compact"/>
        <w:numPr>
          <w:ilvl w:val="0"/>
          <w:numId w:val="1095"/>
        </w:numPr>
      </w:pPr>
      <w:r>
        <w:t xml:space="preserve">Evidencia técnica en el 100 % de los hallazgos de alta severidad.</w:t>
      </w:r>
    </w:p>
    <w:p>
      <w:pPr>
        <w:pStyle w:val="Compact"/>
        <w:numPr>
          <w:ilvl w:val="0"/>
          <w:numId w:val="1095"/>
        </w:numPr>
      </w:pPr>
      <w:r>
        <w:t xml:space="preserve">Cero exposición de secretos en reportes.</w:t>
      </w:r>
    </w:p>
    <w:p>
      <w:pPr>
        <w:pStyle w:val="Compact"/>
        <w:numPr>
          <w:ilvl w:val="0"/>
          <w:numId w:val="1095"/>
        </w:numPr>
      </w:pPr>
      <w:r>
        <w:t xml:space="preserve">Repetibilidad de resultados sobre un corpus controlado.</w:t>
      </w:r>
    </w:p>
    <w:p>
      <w:pPr>
        <w:pStyle w:val="Compact"/>
        <w:numPr>
          <w:ilvl w:val="0"/>
          <w:numId w:val="1095"/>
        </w:numPr>
      </w:pPr>
      <w:r>
        <w:t xml:space="preserve">Posibilidad de corrección humana en todas las clasificaciones.</w:t>
      </w:r>
    </w:p>
    <w:p>
      <w:r>
        <w:pict>
          <v:rect style="width:0;height:1.5pt" o:hralign="center" o:hrstd="t" o:hr="t"/>
        </w:pict>
      </w:r>
    </w:p>
    <w:bookmarkEnd w:id="129"/>
    <w:bookmarkStart w:id="135" w:name="roadmap-recomendado"/>
    <w:p>
      <w:pPr>
        <w:pStyle w:val="Heading1"/>
      </w:pPr>
      <w:r>
        <w:t xml:space="preserve">18. Roadmap recomendado</w:t>
      </w:r>
    </w:p>
    <w:bookmarkStart w:id="130" w:name="mvp-1-descubrimiento-externo"/>
    <w:p>
      <w:pPr>
        <w:pStyle w:val="Heading2"/>
      </w:pPr>
      <w:r>
        <w:t xml:space="preserve">MVP 1 — Descubrimiento externo</w:t>
      </w:r>
    </w:p>
    <w:p>
      <w:pPr>
        <w:pStyle w:val="Compact"/>
        <w:numPr>
          <w:ilvl w:val="0"/>
          <w:numId w:val="1096"/>
        </w:numPr>
      </w:pPr>
      <w:r>
        <w:t xml:space="preserve">Gestión de alcance.</w:t>
      </w:r>
    </w:p>
    <w:p>
      <w:pPr>
        <w:pStyle w:val="Compact"/>
        <w:numPr>
          <w:ilvl w:val="0"/>
          <w:numId w:val="1096"/>
        </w:numPr>
      </w:pPr>
      <w:r>
        <w:t xml:space="preserve">Crawler.</w:t>
      </w:r>
    </w:p>
    <w:p>
      <w:pPr>
        <w:pStyle w:val="Compact"/>
        <w:numPr>
          <w:ilvl w:val="0"/>
          <w:numId w:val="1096"/>
        </w:numPr>
      </w:pPr>
      <w:r>
        <w:t xml:space="preserve">Formularios.</w:t>
      </w:r>
    </w:p>
    <w:p>
      <w:pPr>
        <w:pStyle w:val="Compact"/>
        <w:numPr>
          <w:ilvl w:val="0"/>
          <w:numId w:val="1096"/>
        </w:numPr>
      </w:pPr>
      <w:r>
        <w:t xml:space="preserve">Clasificación de campos.</w:t>
      </w:r>
    </w:p>
    <w:p>
      <w:pPr>
        <w:pStyle w:val="Compact"/>
        <w:numPr>
          <w:ilvl w:val="0"/>
          <w:numId w:val="1096"/>
        </w:numPr>
      </w:pPr>
      <w:r>
        <w:t xml:space="preserve">Browser automation.</w:t>
      </w:r>
    </w:p>
    <w:p>
      <w:pPr>
        <w:pStyle w:val="Compact"/>
        <w:numPr>
          <w:ilvl w:val="0"/>
          <w:numId w:val="1096"/>
        </w:numPr>
      </w:pPr>
      <w:r>
        <w:t xml:space="preserve">Cookies.</w:t>
      </w:r>
    </w:p>
    <w:p>
      <w:pPr>
        <w:pStyle w:val="Compact"/>
        <w:numPr>
          <w:ilvl w:val="0"/>
          <w:numId w:val="1096"/>
        </w:numPr>
      </w:pPr>
      <w:r>
        <w:t xml:space="preserve">Storage.</w:t>
      </w:r>
    </w:p>
    <w:p>
      <w:pPr>
        <w:pStyle w:val="Compact"/>
        <w:numPr>
          <w:ilvl w:val="0"/>
          <w:numId w:val="1096"/>
        </w:numPr>
      </w:pPr>
      <w:r>
        <w:t xml:space="preserve">Captura de red.</w:t>
      </w:r>
    </w:p>
    <w:p>
      <w:pPr>
        <w:pStyle w:val="Compact"/>
        <w:numPr>
          <w:ilvl w:val="0"/>
          <w:numId w:val="1096"/>
        </w:numPr>
      </w:pPr>
      <w:r>
        <w:t xml:space="preserve">Terceros.</w:t>
      </w:r>
    </w:p>
    <w:p>
      <w:pPr>
        <w:pStyle w:val="Compact"/>
        <w:numPr>
          <w:ilvl w:val="0"/>
          <w:numId w:val="1096"/>
        </w:numPr>
      </w:pPr>
      <w:r>
        <w:t xml:space="preserve">Evidencias.</w:t>
      </w:r>
    </w:p>
    <w:p>
      <w:pPr>
        <w:pStyle w:val="Compact"/>
        <w:numPr>
          <w:ilvl w:val="0"/>
          <w:numId w:val="1096"/>
        </w:numPr>
      </w:pPr>
      <w:r>
        <w:t xml:space="preserve">Reporte básico.</w:t>
      </w:r>
    </w:p>
    <w:bookmarkEnd w:id="130"/>
    <w:bookmarkStart w:id="131" w:name="mvp-2-consentimiento-y-políticas"/>
    <w:p>
      <w:pPr>
        <w:pStyle w:val="Heading2"/>
      </w:pPr>
      <w:r>
        <w:t xml:space="preserve">MVP 2 — Consentimiento y políticas</w:t>
      </w:r>
    </w:p>
    <w:p>
      <w:pPr>
        <w:pStyle w:val="Compact"/>
        <w:numPr>
          <w:ilvl w:val="0"/>
          <w:numId w:val="1097"/>
        </w:numPr>
      </w:pPr>
      <w:r>
        <w:t xml:space="preserve">Estados de consentimiento.</w:t>
      </w:r>
    </w:p>
    <w:p>
      <w:pPr>
        <w:pStyle w:val="Compact"/>
        <w:numPr>
          <w:ilvl w:val="0"/>
          <w:numId w:val="1097"/>
        </w:numPr>
      </w:pPr>
      <w:r>
        <w:t xml:space="preserve">Comparación aceptar/rechazar.</w:t>
      </w:r>
    </w:p>
    <w:p>
      <w:pPr>
        <w:pStyle w:val="Compact"/>
        <w:numPr>
          <w:ilvl w:val="0"/>
          <w:numId w:val="1097"/>
        </w:numPr>
      </w:pPr>
      <w:r>
        <w:t xml:space="preserve">Detección de CMP.</w:t>
      </w:r>
    </w:p>
    <w:p>
      <w:pPr>
        <w:pStyle w:val="Compact"/>
        <w:numPr>
          <w:ilvl w:val="0"/>
          <w:numId w:val="1097"/>
        </w:numPr>
      </w:pPr>
      <w:r>
        <w:t xml:space="preserve">Análisis de política.</w:t>
      </w:r>
    </w:p>
    <w:p>
      <w:pPr>
        <w:pStyle w:val="Compact"/>
        <w:numPr>
          <w:ilvl w:val="0"/>
          <w:numId w:val="1097"/>
        </w:numPr>
      </w:pPr>
      <w:r>
        <w:t xml:space="preserve">Matriz dato–finalidad–consentimiento.</w:t>
      </w:r>
    </w:p>
    <w:p>
      <w:pPr>
        <w:pStyle w:val="Compact"/>
        <w:numPr>
          <w:ilvl w:val="0"/>
          <w:numId w:val="1097"/>
        </w:numPr>
      </w:pPr>
      <w:r>
        <w:t xml:space="preserve">Revisión humana.</w:t>
      </w:r>
    </w:p>
    <w:p>
      <w:pPr>
        <w:pStyle w:val="Compact"/>
        <w:numPr>
          <w:ilvl w:val="0"/>
          <w:numId w:val="1097"/>
        </w:numPr>
      </w:pPr>
      <w:r>
        <w:t xml:space="preserve">Dashboard.</w:t>
      </w:r>
    </w:p>
    <w:bookmarkEnd w:id="131"/>
    <w:bookmarkStart w:id="132" w:name="mvp-3-evaluación-autenticada"/>
    <w:p>
      <w:pPr>
        <w:pStyle w:val="Heading2"/>
      </w:pPr>
      <w:r>
        <w:t xml:space="preserve">MVP 3 — Evaluación autenticada</w:t>
      </w:r>
    </w:p>
    <w:p>
      <w:pPr>
        <w:pStyle w:val="Compact"/>
        <w:numPr>
          <w:ilvl w:val="0"/>
          <w:numId w:val="1098"/>
        </w:numPr>
      </w:pPr>
      <w:r>
        <w:t xml:space="preserve">Credenciales seguras.</w:t>
      </w:r>
    </w:p>
    <w:p>
      <w:pPr>
        <w:pStyle w:val="Compact"/>
        <w:numPr>
          <w:ilvl w:val="0"/>
          <w:numId w:val="1098"/>
        </w:numPr>
      </w:pPr>
      <w:r>
        <w:t xml:space="preserve">Flujos por rol.</w:t>
      </w:r>
    </w:p>
    <w:p>
      <w:pPr>
        <w:pStyle w:val="Compact"/>
        <w:numPr>
          <w:ilvl w:val="0"/>
          <w:numId w:val="1098"/>
        </w:numPr>
      </w:pPr>
      <w:r>
        <w:t xml:space="preserve">Extranet e intranet.</w:t>
      </w:r>
    </w:p>
    <w:p>
      <w:pPr>
        <w:pStyle w:val="Compact"/>
        <w:numPr>
          <w:ilvl w:val="0"/>
          <w:numId w:val="1098"/>
        </w:numPr>
      </w:pPr>
      <w:r>
        <w:t xml:space="preserve">Carga de documentos.</w:t>
      </w:r>
    </w:p>
    <w:p>
      <w:pPr>
        <w:pStyle w:val="Compact"/>
        <w:numPr>
          <w:ilvl w:val="0"/>
          <w:numId w:val="1098"/>
        </w:numPr>
      </w:pPr>
      <w:r>
        <w:t xml:space="preserve">Sesiones autenticadas.</w:t>
      </w:r>
    </w:p>
    <w:p>
      <w:pPr>
        <w:pStyle w:val="Compact"/>
        <w:numPr>
          <w:ilvl w:val="0"/>
          <w:numId w:val="1098"/>
        </w:numPr>
      </w:pPr>
      <w:r>
        <w:t xml:space="preserve">Recorridos definidos por el cliente.</w:t>
      </w:r>
    </w:p>
    <w:bookmarkEnd w:id="132"/>
    <w:bookmarkStart w:id="133" w:name="mvp-4-código-fuente"/>
    <w:p>
      <w:pPr>
        <w:pStyle w:val="Heading2"/>
      </w:pPr>
      <w:r>
        <w:t xml:space="preserve">MVP 4 — Código fuente</w:t>
      </w:r>
    </w:p>
    <w:p>
      <w:pPr>
        <w:pStyle w:val="Compact"/>
        <w:numPr>
          <w:ilvl w:val="0"/>
          <w:numId w:val="1099"/>
        </w:numPr>
      </w:pPr>
      <w:r>
        <w:t xml:space="preserve">Repositorios.</w:t>
      </w:r>
    </w:p>
    <w:p>
      <w:pPr>
        <w:pStyle w:val="Compact"/>
        <w:numPr>
          <w:ilvl w:val="0"/>
          <w:numId w:val="1099"/>
        </w:numPr>
      </w:pPr>
      <w:r>
        <w:t xml:space="preserve">Frontend.</w:t>
      </w:r>
    </w:p>
    <w:p>
      <w:pPr>
        <w:pStyle w:val="Compact"/>
        <w:numPr>
          <w:ilvl w:val="0"/>
          <w:numId w:val="1099"/>
        </w:numPr>
      </w:pPr>
      <w:r>
        <w:t xml:space="preserve">Backend.</w:t>
      </w:r>
    </w:p>
    <w:p>
      <w:pPr>
        <w:pStyle w:val="Compact"/>
        <w:numPr>
          <w:ilvl w:val="0"/>
          <w:numId w:val="1099"/>
        </w:numPr>
      </w:pPr>
      <w:r>
        <w:t xml:space="preserve">OpenAPI.</w:t>
      </w:r>
    </w:p>
    <w:p>
      <w:pPr>
        <w:pStyle w:val="Compact"/>
        <w:numPr>
          <w:ilvl w:val="0"/>
          <w:numId w:val="1099"/>
        </w:numPr>
      </w:pPr>
      <w:r>
        <w:t xml:space="preserve">GraphQL.</w:t>
      </w:r>
    </w:p>
    <w:p>
      <w:pPr>
        <w:pStyle w:val="Compact"/>
        <w:numPr>
          <w:ilvl w:val="0"/>
          <w:numId w:val="1099"/>
        </w:numPr>
      </w:pPr>
      <w:r>
        <w:t xml:space="preserve">Bases de datos.</w:t>
      </w:r>
    </w:p>
    <w:p>
      <w:pPr>
        <w:pStyle w:val="Compact"/>
        <w:numPr>
          <w:ilvl w:val="0"/>
          <w:numId w:val="1099"/>
        </w:numPr>
      </w:pPr>
      <w:r>
        <w:t xml:space="preserve">Logs.</w:t>
      </w:r>
    </w:p>
    <w:p>
      <w:pPr>
        <w:pStyle w:val="Compact"/>
        <w:numPr>
          <w:ilvl w:val="0"/>
          <w:numId w:val="1099"/>
        </w:numPr>
      </w:pPr>
      <w:r>
        <w:t xml:space="preserve">Linaje técnico.</w:t>
      </w:r>
    </w:p>
    <w:bookmarkEnd w:id="133"/>
    <w:bookmarkStart w:id="134" w:name="mvp-5-monitoreo-continuo"/>
    <w:p>
      <w:pPr>
        <w:pStyle w:val="Heading2"/>
      </w:pPr>
      <w:r>
        <w:t xml:space="preserve">MVP 5 — Monitoreo continuo</w:t>
      </w:r>
    </w:p>
    <w:p>
      <w:pPr>
        <w:pStyle w:val="Compact"/>
        <w:numPr>
          <w:ilvl w:val="0"/>
          <w:numId w:val="1100"/>
        </w:numPr>
      </w:pPr>
      <w:r>
        <w:t xml:space="preserve">Revaluaciones programadas.</w:t>
      </w:r>
    </w:p>
    <w:p>
      <w:pPr>
        <w:pStyle w:val="Compact"/>
        <w:numPr>
          <w:ilvl w:val="0"/>
          <w:numId w:val="1100"/>
        </w:numPr>
      </w:pPr>
      <w:r>
        <w:t xml:space="preserve">Comparación entre versiones.</w:t>
      </w:r>
    </w:p>
    <w:p>
      <w:pPr>
        <w:pStyle w:val="Compact"/>
        <w:numPr>
          <w:ilvl w:val="0"/>
          <w:numId w:val="1100"/>
        </w:numPr>
      </w:pPr>
      <w:r>
        <w:t xml:space="preserve">Alertas por nuevas cookies.</w:t>
      </w:r>
    </w:p>
    <w:p>
      <w:pPr>
        <w:pStyle w:val="Compact"/>
        <w:numPr>
          <w:ilvl w:val="0"/>
          <w:numId w:val="1100"/>
        </w:numPr>
      </w:pPr>
      <w:r>
        <w:t xml:space="preserve">Alertas por nuevos campos.</w:t>
      </w:r>
    </w:p>
    <w:p>
      <w:pPr>
        <w:pStyle w:val="Compact"/>
        <w:numPr>
          <w:ilvl w:val="0"/>
          <w:numId w:val="1100"/>
        </w:numPr>
      </w:pPr>
      <w:r>
        <w:t xml:space="preserve">Alertas por nuevos terceros.</w:t>
      </w:r>
    </w:p>
    <w:p>
      <w:pPr>
        <w:pStyle w:val="Compact"/>
        <w:numPr>
          <w:ilvl w:val="0"/>
          <w:numId w:val="1100"/>
        </w:numPr>
      </w:pPr>
      <w:r>
        <w:t xml:space="preserve">Integración CI/CD.</w:t>
      </w:r>
    </w:p>
    <w:p>
      <w:pPr>
        <w:pStyle w:val="Compact"/>
        <w:numPr>
          <w:ilvl w:val="0"/>
          <w:numId w:val="1100"/>
        </w:numPr>
      </w:pPr>
      <w:r>
        <w:t xml:space="preserve">Bloqueo de despliegues según políticas configuradas.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recomendación-de-producto"/>
    <w:p>
      <w:pPr>
        <w:pStyle w:val="Heading1"/>
      </w:pPr>
      <w:r>
        <w:t xml:space="preserve">19. Recomendación de producto</w:t>
      </w:r>
    </w:p>
    <w:p>
      <w:pPr>
        <w:pStyle w:val="FirstParagraph"/>
      </w:pPr>
      <w:r>
        <w:t xml:space="preserve">La primera versión no debería intentar</w:t>
      </w:r>
      <w:r>
        <w:t xml:space="preserve"> </w:t>
      </w:r>
      <w:r>
        <w:t xml:space="preserve">“leer toda la aplicación”</w:t>
      </w:r>
      <w:r>
        <w:t xml:space="preserve"> </w:t>
      </w:r>
      <w:r>
        <w:t xml:space="preserve">ni resolver jurídicamente todos los casos.</w:t>
      </w:r>
    </w:p>
    <w:p>
      <w:pPr>
        <w:pStyle w:val="BodyText"/>
      </w:pPr>
      <w:r>
        <w:t xml:space="preserve">El producto inicial debería especializarse en cuatro resultados confiables: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Qué datos solicita la interfaz.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Qué datos genera o almacena el navegador.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Qué datos transmite realmente la aplicación y hacia dónde.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Qué información o consentimiento se muestra antes de esa captura.</w:t>
      </w:r>
    </w:p>
    <w:p>
      <w:pPr>
        <w:pStyle w:val="FirstParagraph"/>
      </w:pPr>
      <w:r>
        <w:t xml:space="preserve">La capacidad más diferenciadora sería la comparación empírica entre estados:</w:t>
      </w:r>
    </w:p>
    <w:p>
      <w:pPr>
        <w:pStyle w:val="SourceCode"/>
      </w:pPr>
      <w:r>
        <w:rPr>
          <w:rStyle w:val="VerbatimChar"/>
        </w:rPr>
        <w:t xml:space="preserve">Sin interactuar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Rechazar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Aceptar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Revocar</w:t>
      </w:r>
    </w:p>
    <w:p>
      <w:pPr>
        <w:pStyle w:val="FirstParagraph"/>
      </w:pPr>
      <w:r>
        <w:t xml:space="preserve">Esto permitiría pasar de una revisión meramente documental a una evaluación basada en evidencia técnica.</w:t>
      </w:r>
    </w:p>
    <w:p>
      <w:r>
        <w:pict>
          <v:rect style="width:0;height:1.5pt" o:hralign="center" o:hrstd="t" o:hr="t"/>
        </w:pict>
      </w:r>
    </w:p>
    <w:bookmarkEnd w:id="136"/>
    <w:bookmarkStart w:id="137" w:name="definición-final-del-producto"/>
    <w:p>
      <w:pPr>
        <w:pStyle w:val="Heading1"/>
      </w:pPr>
      <w:r>
        <w:t xml:space="preserve">20. Definición final del producto</w:t>
      </w:r>
    </w:p>
    <w:p>
      <w:pPr>
        <w:pStyle w:val="FirstParagraph"/>
      </w:pPr>
      <w:r>
        <w:t xml:space="preserve">La plataforma deberá presentarse como:</w:t>
      </w:r>
    </w:p>
    <w:p>
      <w:pPr>
        <w:pStyle w:val="BlockText"/>
      </w:pPr>
      <w:r>
        <w:t xml:space="preserve">Una herramienta de apoyo al levantamiento, diagnóstico y auditoría de tratamientos de datos personales en aplicaciones web, que combina observación externa, automatización de navegador, análisis de tráfico, revisión de políticas, análisis de código y construcción de trazabilidad, manteniendo evidencia verificable y revisión humana.</w:t>
      </w:r>
    </w:p>
    <w:p>
      <w:pPr>
        <w:pStyle w:val="FirstParagraph"/>
      </w:pPr>
      <w:r>
        <w:t xml:space="preserve">No deberá presentarse como:</w:t>
      </w:r>
    </w:p>
    <w:p>
      <w:pPr>
        <w:pStyle w:val="Compact"/>
        <w:numPr>
          <w:ilvl w:val="0"/>
          <w:numId w:val="1102"/>
        </w:numPr>
      </w:pPr>
      <w:r>
        <w:t xml:space="preserve">Certificador automático de cumplimiento.</w:t>
      </w:r>
    </w:p>
    <w:p>
      <w:pPr>
        <w:pStyle w:val="Compact"/>
        <w:numPr>
          <w:ilvl w:val="0"/>
          <w:numId w:val="1102"/>
        </w:numPr>
      </w:pPr>
      <w:r>
        <w:t xml:space="preserve">Sustituto de asesoría jurídica.</w:t>
      </w:r>
    </w:p>
    <w:p>
      <w:pPr>
        <w:pStyle w:val="Compact"/>
        <w:numPr>
          <w:ilvl w:val="0"/>
          <w:numId w:val="1102"/>
        </w:numPr>
      </w:pPr>
      <w:r>
        <w:t xml:space="preserve">Herramienta de vigilancia de personas.</w:t>
      </w:r>
    </w:p>
    <w:p>
      <w:pPr>
        <w:pStyle w:val="Compact"/>
        <w:numPr>
          <w:ilvl w:val="0"/>
          <w:numId w:val="1102"/>
        </w:numPr>
      </w:pPr>
      <w:r>
        <w:t xml:space="preserve">Escáner ofensivo.</w:t>
      </w:r>
    </w:p>
    <w:p>
      <w:pPr>
        <w:pStyle w:val="Compact"/>
        <w:numPr>
          <w:ilvl w:val="0"/>
          <w:numId w:val="1102"/>
        </w:numPr>
      </w:pPr>
      <w:r>
        <w:t xml:space="preserve">Prueba concluyente de que un sitio cumple o incumple la ley.</w:t>
      </w:r>
    </w:p>
    <w:p>
      <w:pPr>
        <w:pStyle w:val="FirstParagraph"/>
      </w:pPr>
      <w:r>
        <w:t xml:space="preserve">Su valor estará en reducir drásticamente el trabajo manual necesario para descubrir y documentar la captura de datos, evidenciar discrepancias y orientar la revisión legal, funcional, de procesos y de ciberseguridad.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2026-07-26T16:05:00Z</dcterms:created>
  <dcterms:modified xsi:type="dcterms:W3CDTF">2026-07-26T16:05:00Z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