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492c775ca7382d0e71b5c99de16e1c05b342e53"/>
    <w:p>
      <w:pPr>
        <w:pStyle w:val="Heading1"/>
      </w:pPr>
      <w:r>
        <w:rPr>
          <w:bCs/>
          <w:b/>
        </w:rPr>
        <w:t xml:space="preserve">Orientaciones para el acceso a las comunidades y la legitimación de la Cruz Roja Venezolana en el terreno</w:t>
      </w:r>
    </w:p>
    <w:p>
      <w:pPr>
        <w:pStyle w:val="FirstParagraph"/>
      </w:pPr>
    </w:p>
    <w:p>
      <w:pPr>
        <w:pStyle w:val="BodyText"/>
      </w:pPr>
      <w:r>
        <w:t xml:space="preserve">Esta hoja de ruta establece puntos críticos, protocolos de seguridad, herramientas de análisis social y técnicas de comunicación adaptadas del Manual Ampliado AVCA. Está estructurada en cuatro fases para facilitar a las filiales una inmersión responsable en las comunidades.</w:t>
      </w:r>
    </w:p>
    <w:p>
      <w:pPr>
        <w:pStyle w:val="BodyText"/>
      </w:pPr>
      <w:r>
        <w:t xml:space="preserve">Los datos que se produzcan deben nacer de un acuerdo entre la filial y la comunidad. En ese sentido, los instrumentos de medición que se empleen son herramientas de partida para facilitar el diálogo.</w:t>
      </w:r>
    </w:p>
    <w:bookmarkStart w:id="20" w:name="fase-1-pre-despliegue"/>
    <w:p>
      <w:pPr>
        <w:pStyle w:val="Heading4"/>
      </w:pPr>
      <w:r>
        <w:rPr>
          <w:bCs/>
          <w:b/>
        </w:rPr>
        <w:t xml:space="preserve">Fase 1: Pre-despliegue</w:t>
      </w:r>
    </w:p>
    <w:p>
      <w:pPr>
        <w:pStyle w:val="FirstParagraph"/>
      </w:pPr>
      <w:r>
        <w:t xml:space="preserve">La filial investiga sobre la comunidad para obtener un perfil preliminar sobre actividades económicas, dinámicas sociales y patrones culturales, con el ánimo de evitar rechazos y reducir errores de aproximación.</w:t>
      </w:r>
    </w:p>
    <w:bookmarkEnd w:id="20"/>
    <w:bookmarkStart w:id="21" w:name="fase-2-aproximación-y-legitimación"/>
    <w:p>
      <w:pPr>
        <w:pStyle w:val="Heading4"/>
      </w:pPr>
      <w:r>
        <w:rPr>
          <w:bCs/>
          <w:b/>
        </w:rPr>
        <w:t xml:space="preserve">Fase 2: Aproximación y legitimación</w:t>
      </w:r>
    </w:p>
    <w:p>
      <w:pPr>
        <w:pStyle w:val="FirstParagraph"/>
      </w:pPr>
      <w:r>
        <w:t xml:space="preserve">Primer contacto físico orientado a obtener el aval operativo de los líderes comunitarios e información sobre los modos en que las comunidades se organizan para cumplir sus funciones sociales y económicas.</w:t>
      </w:r>
    </w:p>
    <w:bookmarkEnd w:id="21"/>
    <w:bookmarkStart w:id="22" w:name="fase-3-inmersión-y-profundización"/>
    <w:p>
      <w:pPr>
        <w:pStyle w:val="Heading4"/>
      </w:pPr>
      <w:r>
        <w:rPr>
          <w:bCs/>
          <w:b/>
        </w:rPr>
        <w:t xml:space="preserve">Fase 3: Inmersión y profundización</w:t>
      </w:r>
    </w:p>
    <w:p>
      <w:pPr>
        <w:pStyle w:val="FirstParagraph"/>
      </w:pPr>
      <w:r>
        <w:t xml:space="preserve">Etapa de operación en terreno donde se levanta información sobre dinámicas sociales mediante herramientas de trabajo comunitario y validación cultural con autoridades y líderes.</w:t>
      </w:r>
    </w:p>
    <w:bookmarkEnd w:id="22"/>
    <w:bookmarkStart w:id="23" w:name="fase-4-consolidación"/>
    <w:p>
      <w:pPr>
        <w:pStyle w:val="Heading4"/>
      </w:pPr>
      <w:r>
        <w:rPr>
          <w:bCs/>
          <w:b/>
        </w:rPr>
        <w:t xml:space="preserve">Fase 4: Consolidación</w:t>
      </w:r>
    </w:p>
    <w:p>
      <w:pPr>
        <w:pStyle w:val="FirstParagraph"/>
      </w:pPr>
      <w:r>
        <w:t xml:space="preserve">Sistematización de hallazgos para la toma de decisiones presupuestarias y de seguridad, aplicando triangulación de datos entre entrevistas, noticias y datos de autoridades.</w:t>
      </w:r>
    </w:p>
    <w:bookmarkEnd w:id="23"/>
    <w:bookmarkEnd w:id="24"/>
    <w:bookmarkStart w:id="33" w:name="fase-1-pre-despliegue-5-secciones"/>
    <w:p>
      <w:pPr>
        <w:pStyle w:val="Heading1"/>
      </w:pPr>
      <w:r>
        <w:rPr>
          <w:bCs/>
          <w:b/>
        </w:rPr>
        <w:t xml:space="preserve">Fase 1: Pre-despliegue</w:t>
      </w:r>
      <w:r>
        <w:t xml:space="preserve"> </w:t>
      </w:r>
      <w:r>
        <w:t xml:space="preserve">5 secciones</w:t>
      </w:r>
    </w:p>
    <w:p>
      <w:pPr>
        <w:pStyle w:val="FirstParagraph"/>
      </w:pPr>
      <w:r>
        <w:rPr>
          <w:bCs/>
          <w:b/>
        </w:rPr>
        <w:t xml:space="preserve">Objetivo:</w:t>
      </w:r>
      <w:r>
        <w:t xml:space="preserve"> </w:t>
      </w:r>
      <w:r>
        <w:t xml:space="preserve">Establecer una aproximación segura a la comunidad.</w:t>
      </w:r>
    </w:p>
    <w:bookmarkStart w:id="25" w:name="Xeb55db41f031d84d91881b97d5ff0402833e77e"/>
    <w:p>
      <w:pPr>
        <w:pStyle w:val="Heading3"/>
      </w:pPr>
      <w:r>
        <w:rPr>
          <w:bCs/>
          <w:b/>
        </w:rPr>
        <w:t xml:space="preserve">1. Protocolo de priorización y selección de comunidades</w:t>
      </w:r>
    </w:p>
    <w:p>
      <w:pPr>
        <w:pStyle w:val="FirstParagraph"/>
      </w:pPr>
      <w:r>
        <w:rPr>
          <w:bCs/>
          <w:b/>
        </w:rPr>
        <w:t xml:space="preserve">Acción:</w:t>
      </w:r>
      <w:r>
        <w:t xml:space="preserve"> </w:t>
      </w:r>
      <w:r>
        <w:t xml:space="preserve">Antes de iniciar cualquier análisis de datos secundarios, la filial debe justificar formalmente la selección de la comunidad a intervenir. Esta decisión no debe basarse en criterios informales como la facilidad de acceso, la existencia de un contacto previo o el</w:t>
      </w:r>
    </w:p>
    <w:p>
      <w:pPr>
        <w:pStyle w:val="BodyText"/>
      </w:pPr>
      <w:r>
        <w:t xml:space="preserve">hecho de que la comunidad haya contactado a la filial. La selección debe estar orientada por al menos tres de los siguientes criterios:</w:t>
      </w:r>
    </w:p>
    <w:p>
      <w:pPr>
        <w:numPr>
          <w:ilvl w:val="0"/>
          <w:numId w:val="1001"/>
        </w:numPr>
      </w:pPr>
      <w:r>
        <w:rPr>
          <w:bCs/>
          <w:b/>
        </w:rPr>
        <w:t xml:space="preserve">Vulnerabilidad documentada:</w:t>
      </w:r>
      <w:r>
        <w:t xml:space="preserve"> </w:t>
      </w:r>
      <w:r>
        <w:t xml:space="preserve">Existen datos secundarios, reportes institucionales o historia de eventos que confirman una condición de riesgo en la comunidad. •</w:t>
      </w:r>
    </w:p>
    <w:p>
      <w:pPr>
        <w:numPr>
          <w:ilvl w:val="0"/>
          <w:numId w:val="1001"/>
        </w:numPr>
      </w:pPr>
      <w:r>
        <w:rPr>
          <w:bCs/>
          <w:b/>
        </w:rPr>
        <w:t xml:space="preserve">Historia de trabajo previo:</w:t>
      </w:r>
      <w:r>
        <w:t xml:space="preserve"> </w:t>
      </w:r>
      <w:r>
        <w:t xml:space="preserve">La comunidad está ubicada preferentemente en un radio de 10 km de la filial. •</w:t>
      </w:r>
    </w:p>
    <w:p>
      <w:pPr>
        <w:numPr>
          <w:ilvl w:val="0"/>
          <w:numId w:val="1001"/>
        </w:numPr>
      </w:pPr>
      <w:r>
        <w:rPr>
          <w:bCs/>
          <w:b/>
        </w:rPr>
        <w:t xml:space="preserve">Historia de trabajo previo:</w:t>
      </w:r>
      <w:r>
        <w:t xml:space="preserve"> </w:t>
      </w:r>
      <w:r>
        <w:t xml:space="preserve">La filial o la CRV ha tenido presencia anterior en la comunidad, lo que facilita la legitimación y reduce los tiempos de aproximación. •</w:t>
      </w:r>
    </w:p>
    <w:p>
      <w:pPr>
        <w:numPr>
          <w:ilvl w:val="0"/>
          <w:numId w:val="1001"/>
        </w:numPr>
      </w:pPr>
      <w:r>
        <w:rPr>
          <w:bCs/>
          <w:b/>
        </w:rPr>
        <w:t xml:space="preserve">Capacidad operativa de la filial:</w:t>
      </w:r>
      <w:r>
        <w:t xml:space="preserve"> </w:t>
      </w:r>
      <w:r>
        <w:t xml:space="preserve">La filial cuenta con los recursos humanos, técnicos y logísticos mínimos para sostener el trabajo por el tiempo necesario para generar los cambios deseados. •</w:t>
      </w:r>
    </w:p>
    <w:p>
      <w:pPr>
        <w:numPr>
          <w:ilvl w:val="0"/>
          <w:numId w:val="1001"/>
        </w:numPr>
      </w:pPr>
      <w:r>
        <w:rPr>
          <w:bCs/>
          <w:b/>
        </w:rPr>
        <w:t xml:space="preserve">Cohesión social mínima:</w:t>
      </w:r>
      <w:r>
        <w:t xml:space="preserve"> </w:t>
      </w:r>
      <w:r>
        <w:t xml:space="preserve">Existen indicios de organización comunitaria activa —liderazgo identificable, historia de acción colectiva, participación en iniciativas anteriores— que permitan anticipar condiciones básicas para la convocatoria y la participación sostenida. •</w:t>
      </w:r>
    </w:p>
    <w:p>
      <w:pPr>
        <w:numPr>
          <w:ilvl w:val="0"/>
          <w:numId w:val="1001"/>
        </w:numPr>
      </w:pPr>
      <w:r>
        <w:rPr>
          <w:bCs/>
          <w:b/>
        </w:rPr>
        <w:t xml:space="preserve">Pertinencia con el mandato:</w:t>
      </w:r>
      <w:r>
        <w:t xml:space="preserve"> </w:t>
      </w:r>
      <w:r>
        <w:t xml:space="preserve">El problema que se busca atender está dentro del mandato y las competencias técnicas de la filial. •</w:t>
      </w:r>
    </w:p>
    <w:p>
      <w:pPr>
        <w:numPr>
          <w:ilvl w:val="0"/>
          <w:numId w:val="1001"/>
        </w:numPr>
      </w:pPr>
      <w:r>
        <w:rPr>
          <w:bCs/>
          <w:b/>
        </w:rPr>
        <w:t xml:space="preserve">Historia de desastre reciente:</w:t>
      </w:r>
      <w:r>
        <w:t xml:space="preserve"> </w:t>
      </w:r>
      <w:r>
        <w:t xml:space="preserve">Las comunidades que han vivido un evento de desastre muestran mayor disposición a participar, mejor convocatoria y mayor capacidad de replicar lo aprendido. Si existen comunidades candidatas con condiciones operativas comparables, priorizar aquellas con historia reciente de desastre como punto de entrada. •</w:t>
      </w:r>
    </w:p>
    <w:p>
      <w:pPr>
        <w:pStyle w:val="FirstParagraph"/>
      </w:pPr>
      <w:r>
        <w:rPr>
          <w:bCs/>
          <w:b/>
        </w:rPr>
        <w:t xml:space="preserve">Punto crítico:</w:t>
      </w:r>
      <w:r>
        <w:t xml:space="preserve"> </w:t>
      </w:r>
      <w:r>
        <w:t xml:space="preserve">La selección basada únicamente en acceso fácil o redes de contacto introduce sesgos sistemáticos: se trabaja donde es cómodo, no necesariamente donde la necesidad es mayor. Documentar y justificar la selección fortalece la coherencia entre el mandato institucional y la práctica operativa, y respalda a la filial ante cualquier instancia de rendición de cuentas.</w:t>
      </w:r>
    </w:p>
    <w:p>
      <w:pPr>
        <w:pStyle w:val="BodyText"/>
      </w:pPr>
      <w:r>
        <w:rPr>
          <w:bCs/>
          <w:b/>
        </w:rPr>
        <w:t xml:space="preserve">Estrategia de campo:</w:t>
      </w:r>
      <w:r>
        <w:t xml:space="preserve"> </w:t>
      </w:r>
      <w:r>
        <w:t xml:space="preserve">Si la comunidad fue seleccionada por una instancia externa a la filial —sede central, un cooperante, autoridades locales u otra instancia institucional—, verificar que cumple al menos tres de los criterios anteriores antes de avanzar. Si no los cumple, documentar las brechas y comunicarlas formalmente antes de iniciar el despliegue.</w:t>
      </w:r>
    </w:p>
    <w:bookmarkEnd w:id="25"/>
    <w:bookmarkStart w:id="27" w:name="Xbbe386252cbf1a0707b233550f5d2005e9b2c95"/>
    <w:p>
      <w:pPr>
        <w:pStyle w:val="Heading3"/>
      </w:pPr>
      <w:r>
        <w:rPr>
          <w:bCs/>
          <w:b/>
        </w:rPr>
        <w:t xml:space="preserve">2. Articulación interna previa al despliegue</w:t>
      </w:r>
    </w:p>
    <w:p>
      <w:pPr>
        <w:pStyle w:val="FirstParagraph"/>
      </w:pPr>
      <w:r>
        <w:rPr>
          <w:bCs/>
          <w:b/>
        </w:rPr>
        <w:t xml:space="preserve">Acción:</w:t>
      </w:r>
      <w:r>
        <w:t xml:space="preserve"> </w:t>
      </w:r>
      <w:r>
        <w:t xml:space="preserve">Antes de iniciar el análisis de datos secundarios, la filial debe verificar internamente si la CRV tiene o ha tenido presencia en esa comunidad. Esta consulta interna evita duplicidades, mensajes contradictorios y diagnósticos fragmentados.</w:t>
      </w:r>
    </w:p>
    <w:bookmarkStart w:id="26" w:name="preguntas-de-articulación-interna"/>
    <w:p>
      <w:pPr>
        <w:pStyle w:val="Heading4"/>
      </w:pPr>
      <w:r>
        <w:rPr>
          <w:bCs/>
          <w:b/>
        </w:rPr>
        <w:t xml:space="preserve">Preguntas de articulación interna:</w:t>
      </w:r>
    </w:p>
    <w:p>
      <w:pPr>
        <w:numPr>
          <w:ilvl w:val="0"/>
          <w:numId w:val="1002"/>
        </w:numPr>
        <w:pStyle w:val="Compact"/>
      </w:pPr>
      <w:r>
        <w:t xml:space="preserve">¿Qué programas de la filial han trabajado o trabajan actualmente en esta comunidad? •</w:t>
      </w:r>
    </w:p>
    <w:p>
      <w:pPr>
        <w:numPr>
          <w:ilvl w:val="0"/>
          <w:numId w:val="1002"/>
        </w:numPr>
        <w:pStyle w:val="Compact"/>
      </w:pPr>
      <w:r>
        <w:t xml:space="preserve">¿Qué diagnósticos o evaluaciones se han realizado previamente y están disponibles? •</w:t>
      </w:r>
    </w:p>
    <w:p>
      <w:pPr>
        <w:numPr>
          <w:ilvl w:val="0"/>
          <w:numId w:val="1002"/>
        </w:numPr>
        <w:pStyle w:val="Compact"/>
      </w:pPr>
      <w:r>
        <w:t xml:space="preserve">¿Qué vínculos institucionales existen con actores de esa comunidad? •</w:t>
      </w:r>
    </w:p>
    <w:p>
      <w:pPr>
        <w:pStyle w:val="FirstParagraph"/>
      </w:pPr>
      <w:r>
        <w:t xml:space="preserve">¿Hay actividades planificadas por otras áreas que puedan coincidir con el período de despliegue? •</w:t>
      </w:r>
    </w:p>
    <w:p>
      <w:pPr>
        <w:pStyle w:val="BodyText"/>
      </w:pPr>
      <w:r>
        <w:rPr>
          <w:bCs/>
          <w:b/>
        </w:rPr>
        <w:t xml:space="preserve">Punto crítico:</w:t>
      </w:r>
      <w:r>
        <w:t xml:space="preserve"> </w:t>
      </w:r>
      <w:r>
        <w:t xml:space="preserve">Los diagnósticos comunitarios realizados por distintas áreas de forma aislada generan información fragmentada, duplican el esfuerzo de campo y envían señales confusas sobre la articulación interna en la CRV. La articulación interna previa al despliegue es condición para presentar una imagen institucional coherente.</w:t>
      </w:r>
    </w:p>
    <w:p>
      <w:pPr>
        <w:pStyle w:val="BodyText"/>
      </w:pPr>
      <w:r>
        <w:rPr>
          <w:bCs/>
          <w:b/>
        </w:rPr>
        <w:t xml:space="preserve">Estrategia de campo:</w:t>
      </w:r>
      <w:r>
        <w:t xml:space="preserve"> </w:t>
      </w:r>
      <w:r>
        <w:t xml:space="preserve">Si existen diagnósticos previos de otras áreas, incorporarlos como insumo del análisis de datos secundarios antes de planificar nuevas visitas. Coordinar con las áreas activas para definir cómo se presentará la CRV y cuál será el rol de cada programa durante el despliegue.</w:t>
      </w:r>
    </w:p>
    <w:bookmarkEnd w:id="26"/>
    <w:bookmarkEnd w:id="27"/>
    <w:bookmarkStart w:id="28" w:name="auditoría-de-datos-secundarios-y-sesgos"/>
    <w:p>
      <w:pPr>
        <w:pStyle w:val="Heading3"/>
      </w:pPr>
      <w:r>
        <w:rPr>
          <w:bCs/>
          <w:b/>
        </w:rPr>
        <w:t xml:space="preserve">3. Auditoría de datos secundarios y sesgos</w:t>
      </w:r>
    </w:p>
    <w:p>
      <w:pPr>
        <w:pStyle w:val="FirstParagraph"/>
      </w:pPr>
      <w:r>
        <w:rPr>
          <w:bCs/>
          <w:b/>
        </w:rPr>
        <w:t xml:space="preserve">Acción:</w:t>
      </w:r>
      <w:r>
        <w:t xml:space="preserve"> </w:t>
      </w:r>
      <w:r>
        <w:t xml:space="preserve">Recopilar información sobre la comunidad: noticias, redes sociales, estadísticas oficiales y mapas.</w:t>
      </w:r>
    </w:p>
    <w:p>
      <w:pPr>
        <w:pStyle w:val="BodyText"/>
      </w:pPr>
      <w:r>
        <w:rPr>
          <w:bCs/>
          <w:b/>
        </w:rPr>
        <w:t xml:space="preserve">Punto crítico:</w:t>
      </w:r>
      <w:r>
        <w:t xml:space="preserve"> </w:t>
      </w:r>
      <w:r>
        <w:t xml:space="preserve">Reconocer la imagen que los medios de comunicación, el Estado y las redes sociales han proyectado sobre la comunidad:</w:t>
      </w:r>
    </w:p>
    <w:p>
      <w:pPr>
        <w:numPr>
          <w:ilvl w:val="0"/>
          <w:numId w:val="1003"/>
        </w:numPr>
        <w:pStyle w:val="Compact"/>
      </w:pPr>
      <w:r>
        <w:t xml:space="preserve">¿Es positiva o negativa? ¿Respetuosa o discriminatoria? ¿Refuerza prejuicios, estereotipos o exclusión social? •</w:t>
      </w:r>
    </w:p>
    <w:p>
      <w:pPr>
        <w:numPr>
          <w:ilvl w:val="0"/>
          <w:numId w:val="1003"/>
        </w:numPr>
        <w:pStyle w:val="Compact"/>
      </w:pPr>
      <w:r>
        <w:t xml:space="preserve">¿Qué información falta o no fue proporcionada por la comunidad? (por ej.: minorías, violencia de género). •</w:t>
      </w:r>
    </w:p>
    <w:p>
      <w:pPr>
        <w:pStyle w:val="FirstParagraph"/>
      </w:pPr>
      <w:r>
        <w:rPr>
          <w:bCs/>
          <w:b/>
        </w:rPr>
        <w:t xml:space="preserve">Acción:</w:t>
      </w:r>
      <w:r>
        <w:t xml:space="preserve"> </w:t>
      </w:r>
      <w:r>
        <w:t xml:space="preserve">Preguntar si la comunidad participó anteriormente en proyectos parecidos, si tuvieron éxito o si hubo conflictos.</w:t>
      </w:r>
    </w:p>
    <w:p>
      <w:pPr>
        <w:pStyle w:val="BodyText"/>
      </w:pPr>
      <w:r>
        <w:rPr>
          <w:bCs/>
          <w:b/>
        </w:rPr>
        <w:t xml:space="preserve">Estrategia de campo:</w:t>
      </w:r>
      <w:r>
        <w:t xml:space="preserve"> </w:t>
      </w:r>
      <w:r>
        <w:t xml:space="preserve">Anticipar estrategias para gestionar la desconfianza si hubo malas experiencias previas.</w:t>
      </w:r>
    </w:p>
    <w:bookmarkEnd w:id="28"/>
    <w:bookmarkStart w:id="29" w:name="evaluación-preliminar-de-cohesión-social"/>
    <w:p>
      <w:pPr>
        <w:pStyle w:val="Heading3"/>
      </w:pPr>
      <w:r>
        <w:rPr>
          <w:bCs/>
          <w:b/>
        </w:rPr>
        <w:t xml:space="preserve">4. Evaluación preliminar de cohesión social</w:t>
      </w:r>
    </w:p>
    <w:p>
      <w:pPr>
        <w:pStyle w:val="FirstParagraph"/>
      </w:pPr>
      <w:r>
        <w:rPr>
          <w:bCs/>
          <w:b/>
        </w:rPr>
        <w:t xml:space="preserve">Acción:</w:t>
      </w:r>
      <w:r>
        <w:t xml:space="preserve"> </w:t>
      </w:r>
      <w:r>
        <w:t xml:space="preserve">Como parte del análisis previo, la filial debe construir una estimación de la cohesión social de la comunidad utilizando fuentes secundarias. Este indicador permite anticipar las condiciones de convocatoria, participación y sostenibilidad del proyecto antes de la primera visita.</w:t>
      </w:r>
    </w:p>
    <w:bookmarkEnd w:id="29"/>
    <w:bookmarkStart w:id="30" w:name="indicadores-evaluables-de-forma-remota"/>
    <w:p>
      <w:pPr>
        <w:pStyle w:val="Heading3"/>
      </w:pPr>
      <w:r>
        <w:rPr>
          <w:bCs/>
          <w:b/>
        </w:rPr>
        <w:t xml:space="preserve">Indicadores evaluables de forma remota:</w:t>
      </w:r>
    </w:p>
    <w:p>
      <w:pPr>
        <w:numPr>
          <w:ilvl w:val="0"/>
          <w:numId w:val="1004"/>
        </w:numPr>
        <w:pStyle w:val="Compact"/>
      </w:pPr>
      <w:r>
        <w:t xml:space="preserve">Existencia de organizaciones comunitarias activas: juntas de vecinos, comités de salud, grupos religiosos, equipos deportivos u otras. •</w:t>
      </w:r>
    </w:p>
    <w:p>
      <w:pPr>
        <w:numPr>
          <w:ilvl w:val="0"/>
          <w:numId w:val="1004"/>
        </w:numPr>
        <w:pStyle w:val="Compact"/>
      </w:pPr>
      <w:r>
        <w:t xml:space="preserve">Historia de acción colectiva ante problemas comunes: festividades, jornadas de trabajo, respuestas ante emergencias. •</w:t>
      </w:r>
    </w:p>
    <w:p>
      <w:pPr>
        <w:numPr>
          <w:ilvl w:val="0"/>
          <w:numId w:val="1004"/>
        </w:numPr>
        <w:pStyle w:val="Compact"/>
      </w:pPr>
      <w:r>
        <w:t xml:space="preserve">Presencia de redes de comunicación interna: grupos de mensajería, radios comunitarias, carteleras. •</w:t>
      </w:r>
    </w:p>
    <w:p>
      <w:pPr>
        <w:numPr>
          <w:ilvl w:val="0"/>
          <w:numId w:val="1004"/>
        </w:numPr>
        <w:pStyle w:val="Compact"/>
      </w:pPr>
      <w:r>
        <w:t xml:space="preserve">Ausencia de conflictos públicos documentados entre facciones o sectores de la comunidad. •</w:t>
      </w:r>
    </w:p>
    <w:bookmarkEnd w:id="30"/>
    <w:bookmarkStart w:id="31" w:name="X08f7fac7bed3e085f08ddbcfc4662f80e921506"/>
    <w:p>
      <w:pPr>
        <w:pStyle w:val="Heading3"/>
      </w:pPr>
      <w:r>
        <w:rPr>
          <w:bCs/>
          <w:b/>
        </w:rPr>
        <w:t xml:space="preserve">Ajuste estratégico según el nivel detectado:</w:t>
      </w:r>
    </w:p>
    <w:tbl>
      <w:tblPr>
        <w:tblStyle w:val="Table"/>
        <w:tblW w:type="pct" w:w="5000"/>
        <w:tblLook w:firstRow="1" w:lastRow="0" w:firstColumn="0" w:lastColumn="0" w:noHBand="0" w:noVBand="0" w:val="0020"/>
        <w:jc w:val="start"/>
        <w:tblBorders>
          <w:top w:val="single" w:sz="4" w:space="0" w:color="0F4761"/>
          <w:left w:val="single" w:sz="4" w:space="0" w:color="0F4761"/>
          <w:bottom w:val="single" w:sz="4" w:space="0" w:color="0F4761"/>
          <w:right w:val="single" w:sz="4" w:space="0" w:color="0F4761"/>
          <w:insideH w:val="single" w:sz="4" w:space="0" w:color="0F4761"/>
          <w:insideV w:val="single" w:sz="4" w:space="0" w:color="0F4761"/>
        </w:tblBorders>
      </w:tblPr>
      <w:tblGrid>
        <w:gridCol w:w="556"/>
        <w:gridCol w:w="2277"/>
        <w:gridCol w:w="5086"/>
      </w:tblGrid>
      <w:tr>
        <w:trPr>
          <w:tblHeader w:val="true"/>
        </w:trPr>
        <w:tc>
          <w:tcPr>
            <w:shd w:val="clear" w:color="auto" w:fill="0F4761"/>
          </w:tcPr>
          <w:p>
            <w:pPr>
              <w:pStyle w:val="Compact"/>
              <w:jc w:val="center"/>
            </w:pPr>
            <w:r>
              <w:rPr>
                <w:b/>
                <w:color w:val="FFFFFF"/>
                <w:sz w:val="18"/>
              </w:rPr>
              <w:t xml:space="preserve">Nivel de</w:t>
            </w:r>
            <w:r>
              <w:rPr>
                <w:b/>
                <w:color w:val="FFFFFF"/>
                <w:sz w:val="18"/>
              </w:rPr>
              <w:t xml:space="preserve">cohesión</w:t>
            </w:r>
          </w:p>
        </w:tc>
        <w:tc>
          <w:tcPr>
            <w:shd w:val="clear" w:color="auto" w:fill="0F4761"/>
          </w:tcPr>
          <w:p>
            <w:pPr>
              <w:pStyle w:val="Compact"/>
              <w:jc w:val="center"/>
            </w:pPr>
            <w:r>
              <w:rPr>
                <w:b/>
                <w:color w:val="FFFFFF"/>
                <w:sz w:val="18"/>
              </w:rPr>
              <w:t xml:space="preserve">Señales observadas</w:t>
            </w:r>
          </w:p>
        </w:tc>
        <w:tc>
          <w:tcPr>
            <w:shd w:val="clear" w:color="auto" w:fill="0F4761"/>
          </w:tcPr>
          <w:p>
            <w:pPr>
              <w:pStyle w:val="Compact"/>
              <w:jc w:val="center"/>
            </w:pPr>
            <w:r>
              <w:rPr>
                <w:b/>
                <w:color w:val="FFFFFF"/>
                <w:sz w:val="18"/>
              </w:rPr>
              <w:t xml:space="preserve">Ajuste</w:t>
            </w:r>
          </w:p>
        </w:tc>
      </w:tr>
      <w:tr>
        <w:tc>
          <w:tcPr/>
          <w:p>
            <w:pPr>
              <w:pStyle w:val="Compact"/>
              <w:jc w:val="left"/>
            </w:pPr>
            <w:r>
              <w:rPr>
                <w:sz w:val="18"/>
              </w:rPr>
              <w:t xml:space="preserve">Alta</w:t>
            </w:r>
          </w:p>
        </w:tc>
        <w:tc>
          <w:tcPr/>
          <w:p>
            <w:pPr>
              <w:pStyle w:val="Compact"/>
              <w:jc w:val="left"/>
            </w:pPr>
            <w:r>
              <w:rPr>
                <w:sz w:val="18"/>
              </w:rPr>
              <w:t xml:space="preserve">Múltiples organizaciones</w:t>
            </w:r>
            <w:r>
              <w:rPr>
                <w:sz w:val="18"/>
              </w:rPr>
              <w:t xml:space="preserve">activas, historia de acción</w:t>
            </w:r>
            <w:r>
              <w:rPr>
                <w:sz w:val="18"/>
              </w:rPr>
              <w:t xml:space="preserve">colectiva, liderazgo diverso</w:t>
            </w:r>
          </w:p>
        </w:tc>
        <w:tc>
          <w:tcPr/>
          <w:p>
            <w:pPr>
              <w:pStyle w:val="Compact"/>
              <w:jc w:val="left"/>
            </w:pPr>
            <w:r>
              <w:rPr>
                <w:sz w:val="18"/>
              </w:rPr>
              <w:t xml:space="preserve">Estrategia estándar de entrada. La convocatoria</w:t>
            </w:r>
            <w:r>
              <w:rPr>
                <w:sz w:val="18"/>
              </w:rPr>
              <w:t xml:space="preserve">puede apoyarse con mayor confianza en el</w:t>
            </w:r>
            <w:r>
              <w:rPr>
                <w:sz w:val="18"/>
              </w:rPr>
              <w:t xml:space="preserve">liderazgo.</w:t>
            </w:r>
          </w:p>
        </w:tc>
      </w:tr>
      <w:tr>
        <w:tc>
          <w:tcPr/>
          <w:p>
            <w:pPr>
              <w:pStyle w:val="Compact"/>
              <w:jc w:val="left"/>
            </w:pPr>
            <w:r>
              <w:rPr>
                <w:sz w:val="18"/>
              </w:rPr>
              <w:t xml:space="preserve">Media</w:t>
            </w:r>
          </w:p>
        </w:tc>
        <w:tc>
          <w:tcPr/>
          <w:p>
            <w:pPr>
              <w:pStyle w:val="Compact"/>
              <w:jc w:val="left"/>
            </w:pPr>
            <w:r>
              <w:rPr>
                <w:sz w:val="18"/>
              </w:rPr>
              <w:t xml:space="preserve">Alguna organización activa</w:t>
            </w:r>
            <w:r>
              <w:rPr>
                <w:sz w:val="18"/>
              </w:rPr>
              <w:t xml:space="preserve">pero con alcance limitado,</w:t>
            </w:r>
            <w:r>
              <w:rPr>
                <w:sz w:val="18"/>
              </w:rPr>
              <w:t xml:space="preserve">liderazgo concentrado</w:t>
            </w:r>
          </w:p>
        </w:tc>
        <w:tc>
          <w:tcPr/>
          <w:p>
            <w:pPr>
              <w:pStyle w:val="Compact"/>
              <w:jc w:val="left"/>
            </w:pPr>
            <w:r>
              <w:rPr>
                <w:sz w:val="18"/>
              </w:rPr>
              <w:t xml:space="preserve">Diversificar estrategias de convocatoria desde el</w:t>
            </w:r>
            <w:r>
              <w:rPr>
                <w:sz w:val="18"/>
              </w:rPr>
              <w:t xml:space="preserve">inicio. No depender de un solo líder.</w:t>
            </w:r>
          </w:p>
        </w:tc>
      </w:tr>
      <w:tr>
        <w:tc>
          <w:tcPr/>
          <w:p>
            <w:pPr>
              <w:pStyle w:val="Compact"/>
              <w:jc w:val="left"/>
            </w:pPr>
            <w:r>
              <w:rPr>
                <w:sz w:val="18"/>
              </w:rPr>
              <w:t xml:space="preserve">Baja</w:t>
            </w:r>
          </w:p>
        </w:tc>
        <w:tc>
          <w:tcPr/>
          <w:p>
            <w:pPr>
              <w:pStyle w:val="Compact"/>
              <w:jc w:val="left"/>
            </w:pPr>
            <w:r>
              <w:rPr>
                <w:sz w:val="18"/>
              </w:rPr>
              <w:t xml:space="preserve">Ausencia de organizaciones,</w:t>
            </w:r>
            <w:r>
              <w:rPr>
                <w:sz w:val="18"/>
              </w:rPr>
              <w:t xml:space="preserve">conflictos documentados,</w:t>
            </w:r>
            <w:r>
              <w:rPr>
                <w:sz w:val="18"/>
              </w:rPr>
              <w:t xml:space="preserve">liderazgo débil o inexistente</w:t>
            </w:r>
          </w:p>
        </w:tc>
        <w:tc>
          <w:tcPr/>
          <w:p>
            <w:pPr>
              <w:pStyle w:val="Compact"/>
              <w:jc w:val="left"/>
            </w:pPr>
            <w:r>
              <w:rPr>
                <w:sz w:val="18"/>
              </w:rPr>
              <w:t xml:space="preserve">Planificar tiempos de legitimación más largos.</w:t>
            </w:r>
            <w:r>
              <w:rPr>
                <w:sz w:val="18"/>
              </w:rPr>
              <w:t xml:space="preserve">Priorizar la construcción de confianza antes de</w:t>
            </w:r>
            <w:r>
              <w:rPr>
                <w:sz w:val="18"/>
              </w:rPr>
              <w:t xml:space="preserve">iniciar actividades formales. Evaluar si la</w:t>
            </w:r>
            <w:r>
              <w:rPr>
                <w:sz w:val="18"/>
              </w:rPr>
              <w:t xml:space="preserve">comunidad cumple el umbral mínimo de</w:t>
            </w:r>
            <w:r>
              <w:rPr>
                <w:sz w:val="18"/>
              </w:rPr>
              <w:t xml:space="preserve">viabilidad.</w:t>
            </w:r>
          </w:p>
        </w:tc>
      </w:tr>
    </w:tbl>
    <w:p>
      <w:pPr>
        <w:pStyle w:val="BodyText"/>
      </w:pPr>
      <w:r>
        <w:rPr>
          <w:bCs/>
          <w:b/>
        </w:rPr>
        <w:t xml:space="preserve">Punto crítico:</w:t>
      </w:r>
      <w:r>
        <w:t xml:space="preserve"> </w:t>
      </w:r>
      <w:r>
        <w:t xml:space="preserve">La cohesión social no es estática. Una comunidad con baja cohesión puede fortalecerla a través de la intervención si el proceso de entrada es paciente y bien conducido. Sin embargo, subestimar esta variable al inicio genera expectativas de participación irreales y frustraciones operativas.</w:t>
      </w:r>
    </w:p>
    <w:bookmarkEnd w:id="31"/>
    <w:bookmarkStart w:id="32" w:name="mapeo-de-actores-clave"/>
    <w:p>
      <w:pPr>
        <w:pStyle w:val="Heading3"/>
      </w:pPr>
      <w:r>
        <w:rPr>
          <w:bCs/>
          <w:b/>
        </w:rPr>
        <w:t xml:space="preserve">5. Mapeo de actores clave</w:t>
      </w:r>
    </w:p>
    <w:p>
      <w:pPr>
        <w:pStyle w:val="FirstParagraph"/>
      </w:pPr>
      <w:r>
        <w:rPr>
          <w:bCs/>
          <w:b/>
        </w:rPr>
        <w:t xml:space="preserve">Acción:</w:t>
      </w:r>
      <w:r>
        <w:t xml:space="preserve"> </w:t>
      </w:r>
      <w:r>
        <w:t xml:space="preserve">Identificar —sin que esto implique aún visitar la comunidad— a directores de escuelas, personal médico, líderes religiosos, líderes comunitarios, referentes históricos locales, sabios de la tercera edad, cultores populares o cronistas locales que gocen de respeto y confianza en la zona, así como aquellos actores que, por su capacidad de control o influencia fáctica, incidan en la seguridad y el acceso a la zona. Esta información debe</w:t>
      </w:r>
    </w:p>
    <w:p>
      <w:pPr>
        <w:pStyle w:val="BodyText"/>
      </w:pPr>
      <w:r>
        <w:t xml:space="preserve">recopilarse de forma remota mediante redes sociales, medios locales, contactos clave u otras fuentes secundarias.</w:t>
      </w:r>
    </w:p>
    <w:p>
      <w:pPr>
        <w:pStyle w:val="BodyText"/>
      </w:pPr>
      <w:r>
        <w:rPr>
          <w:bCs/>
          <w:b/>
        </w:rPr>
        <w:t xml:space="preserve">Punto crítico:</w:t>
      </w:r>
      <w:r>
        <w:t xml:space="preserve"> </w:t>
      </w:r>
      <w:r>
        <w:t xml:space="preserve">Aunque estos actores son el primer punto de contacto, el trato con ellos no equivale necesariamente a reconocerlos como representantes de toda la comunidad. Se recomienda conversar con al menos tres personas sin perfil de líderes antes de cerrar la fase preparatoria.</w:t>
      </w:r>
    </w:p>
    <w:p>
      <w:pPr>
        <w:pStyle w:val="BodyText"/>
      </w:pPr>
      <w:r>
        <w:rPr>
          <w:bCs/>
          <w:b/>
        </w:rPr>
        <w:t xml:space="preserve">Acción:</w:t>
      </w:r>
      <w:r>
        <w:t xml:space="preserve"> </w:t>
      </w:r>
      <w:r>
        <w:t xml:space="preserve">Elaborar la lista de autoridades y verificar si exigen requisitos para trabajar en la comunidad (alcaldes, directores locales de salud y educación, GN, Policía y otros grupos con influencia real sobre la zona).</w:t>
      </w:r>
    </w:p>
    <w:p>
      <w:pPr>
        <w:pStyle w:val="BodyText"/>
      </w:pPr>
      <w:r>
        <w:rPr>
          <w:bCs/>
          <w:b/>
        </w:rPr>
        <w:t xml:space="preserve">Ajuste de seguridad:</w:t>
      </w:r>
      <w:r>
        <w:t xml:space="preserve"> </w:t>
      </w:r>
      <w:r>
        <w:t xml:space="preserve">Mantener esta información en reserva hasta que se valide en la Fase 2 que el contacto con estas autoridades no compromete la aceptación de la comunidad.</w:t>
      </w:r>
    </w:p>
    <w:bookmarkEnd w:id="32"/>
    <w:bookmarkEnd w:id="33"/>
    <w:bookmarkStart w:id="46" w:name="Xcbe4587b7a71238d33dcc70e5c2b8f658fb51c2"/>
    <w:p>
      <w:pPr>
        <w:pStyle w:val="Heading1"/>
      </w:pPr>
      <w:r>
        <w:rPr>
          <w:bCs/>
          <w:b/>
        </w:rPr>
        <w:t xml:space="preserve">Fase 2: Aproximación y legitimación</w:t>
      </w:r>
      <w:r>
        <w:t xml:space="preserve"> </w:t>
      </w:r>
      <w:r>
        <w:t xml:space="preserve">5 secciones</w:t>
      </w:r>
    </w:p>
    <w:p>
      <w:pPr>
        <w:pStyle w:val="FirstParagraph"/>
      </w:pPr>
      <w:r>
        <w:rPr>
          <w:bCs/>
          <w:b/>
        </w:rPr>
        <w:t xml:space="preserve">Objetivo:</w:t>
      </w:r>
      <w:r>
        <w:t xml:space="preserve"> </w:t>
      </w:r>
      <w:r>
        <w:t xml:space="preserve">Obtener el aval del liderazgo local antes de informar el acceso a las autoridades administrativas y/o gubernamentales.</w:t>
      </w:r>
    </w:p>
    <w:bookmarkStart w:id="34" w:name="Xb9d8f5cb75136b3c60226d236a103809e18ed53"/>
    <w:p>
      <w:pPr>
        <w:pStyle w:val="Heading3"/>
      </w:pPr>
      <w:r>
        <w:rPr>
          <w:bCs/>
          <w:b/>
        </w:rPr>
        <w:t xml:space="preserve">1. Primer contacto: la</w:t>
      </w:r>
      <w:r>
        <w:rPr>
          <w:bCs/>
          <w:b/>
        </w:rPr>
        <w:t xml:space="preserve"> </w:t>
      </w:r>
      <w:r>
        <w:rPr>
          <w:bCs/>
          <w:b/>
        </w:rPr>
        <w:t xml:space="preserve">“</w:t>
      </w:r>
      <w:r>
        <w:rPr>
          <w:bCs/>
          <w:b/>
        </w:rPr>
        <w:t xml:space="preserve">pre-visita</w:t>
      </w:r>
      <w:r>
        <w:rPr>
          <w:bCs/>
          <w:b/>
        </w:rPr>
        <w:t xml:space="preserve">”</w:t>
      </w:r>
      <w:r>
        <w:rPr>
          <w:bCs/>
          <w:b/>
        </w:rPr>
        <w:t xml:space="preserve"> </w:t>
      </w:r>
      <w:r>
        <w:rPr>
          <w:bCs/>
          <w:b/>
        </w:rPr>
        <w:t xml:space="preserve">de cortesía</w:t>
      </w:r>
    </w:p>
    <w:p>
      <w:pPr>
        <w:pStyle w:val="FirstParagraph"/>
      </w:pPr>
      <w:r>
        <w:rPr>
          <w:bCs/>
          <w:b/>
        </w:rPr>
        <w:t xml:space="preserve">Acción:</w:t>
      </w:r>
      <w:r>
        <w:t xml:space="preserve"> </w:t>
      </w:r>
      <w:r>
        <w:t xml:space="preserve">Realizar una visita con equipo técnico reducido dirigida exclusivamente al liderazgo identificado en la Fase 1. Esta visita debe realizarse en compañía de personal y/o voluntarios con enfoque en trabajo social y/o comunitario.</w:t>
      </w:r>
    </w:p>
    <w:p>
      <w:pPr>
        <w:pStyle w:val="BodyText"/>
      </w:pPr>
      <w:r>
        <w:rPr>
          <w:bCs/>
          <w:b/>
        </w:rPr>
        <w:t xml:space="preserve">Propósito:</w:t>
      </w:r>
      <w:r>
        <w:t xml:space="preserve"> </w:t>
      </w:r>
      <w:r>
        <w:t xml:space="preserve">Validar y legitimar formalmente el rol del liderazgo local, presentar el mandato humanitario de la CRV y el objetivo de la intervención, y solicitar la orientación estratégica de los vecinos sobre la mejor vía para el ingreso formal del equipo a la comunidad.</w:t>
      </w:r>
    </w:p>
    <w:bookmarkEnd w:id="34"/>
    <w:bookmarkStart w:id="35" w:name="Xc1b45de3b353eaa50f35e5ee0d5afd93d50414a"/>
    <w:p>
      <w:pPr>
        <w:pStyle w:val="Heading3"/>
      </w:pPr>
      <w:r>
        <w:rPr>
          <w:bCs/>
          <w:b/>
        </w:rPr>
        <w:t xml:space="preserve">2. Aplicación obligatoria del Cuestionario de Evaluación Rápida en Comunidades</w:t>
      </w:r>
    </w:p>
    <w:p>
      <w:pPr>
        <w:pStyle w:val="FirstParagraph"/>
      </w:pPr>
      <w:r>
        <w:rPr>
          <w:bCs/>
          <w:b/>
        </w:rPr>
        <w:t xml:space="preserve">Acción:</w:t>
      </w:r>
      <w:r>
        <w:t xml:space="preserve"> </w:t>
      </w:r>
      <w:r>
        <w:t xml:space="preserve">Una vez obtenido el aval del liderazgo comunitario, la filial debe aplicar de forma obligatoria el Cuestionario de Evaluación Rápida en Comunidades antes de avanzar a la Fase 3. Este instrumento permite obtener un diagnóstico preliminar del nivel de severidad humanitaria en cinco dimensiones: Alojamiento y Vivienda, Gestión del Riesgo, Salud y Bienestar, Agua, Saneamiento e Higiene, y Cohesión y Protección Social.</w:t>
      </w:r>
    </w:p>
    <w:bookmarkEnd w:id="35"/>
    <w:bookmarkStart w:id="37" w:name="instrucciones-de-aplicación"/>
    <w:p>
      <w:pPr>
        <w:pStyle w:val="Heading3"/>
      </w:pPr>
      <w:r>
        <w:rPr>
          <w:bCs/>
          <w:b/>
        </w:rPr>
        <w:t xml:space="preserve">Instrucciones de aplicación:</w:t>
      </w:r>
    </w:p>
    <w:p>
      <w:pPr>
        <w:numPr>
          <w:ilvl w:val="0"/>
          <w:numId w:val="1005"/>
        </w:numPr>
        <w:pStyle w:val="Compact"/>
      </w:pPr>
      <w:r>
        <w:t xml:space="preserve">El cuestionario debe ser respondido por líderes comunitarios, personal de salud y/o personal docente, según la sección que se esté completando. •</w:t>
      </w:r>
    </w:p>
    <w:p>
      <w:pPr>
        <w:numPr>
          <w:ilvl w:val="0"/>
          <w:numId w:val="1005"/>
        </w:numPr>
        <w:pStyle w:val="Compact"/>
      </w:pPr>
      <w:r>
        <w:t xml:space="preserve">Se aplica un solo cuestionario por comunidad. •</w:t>
      </w:r>
    </w:p>
    <w:p>
      <w:pPr>
        <w:numPr>
          <w:ilvl w:val="0"/>
          <w:numId w:val="1005"/>
        </w:numPr>
        <w:pStyle w:val="Compact"/>
      </w:pPr>
      <w:r>
        <w:t xml:space="preserve">Debe transcribirse íntegramente en la plataforma Kobo, incluyendo obligatoriamente: estado, municipio, parroquia, nombre de la comunidad, coordenadas GPS, fecha de la encuesta y nombre de quien entrevista. •</w:t>
      </w:r>
    </w:p>
    <w:p>
      <w:pPr>
        <w:numPr>
          <w:ilvl w:val="0"/>
          <w:numId w:val="1005"/>
        </w:numPr>
        <w:pStyle w:val="Compact"/>
      </w:pPr>
      <w:r>
        <w:t xml:space="preserve">Acceda al cuestionario:</w:t>
      </w:r>
      <w:hyperlink r:id="rId36">
        <w:r>
          <w:rPr>
            <w:rStyle w:val="Hyperlink"/>
          </w:rPr>
          <w:t xml:space="preserve">https://ee.ifrc.org/x/M28RoiY6</w:t>
        </w:r>
      </w:hyperlink>
      <w:r>
        <w:t xml:space="preserve"> </w:t>
      </w:r>
      <w:r>
        <w:t xml:space="preserve">•</w:t>
      </w:r>
    </w:p>
    <w:p>
      <w:pPr>
        <w:pStyle w:val="FirstParagraph"/>
      </w:pPr>
      <w:r>
        <w:rPr>
          <w:bCs/>
          <w:b/>
        </w:rPr>
        <w:t xml:space="preserve">Punto crítico:</w:t>
      </w:r>
      <w:r>
        <w:t xml:space="preserve"> </w:t>
      </w:r>
      <w:r>
        <w:t xml:space="preserve">La aplicación del cuestionario no es opcional. Su resultado orienta la planificación de la Fase 3 al determinar el nivel de severidad de la comunidad —crítica, alta, moderada o baja— y las dimensiones que requieren mayor atención. Omitir este paso compromete la calidad del diagnóstico y la pertinencia de la intervención.</w:t>
      </w:r>
    </w:p>
    <w:p>
      <w:pPr>
        <w:pStyle w:val="BodyText"/>
      </w:pPr>
      <w:r>
        <w:rPr>
          <w:bCs/>
          <w:b/>
        </w:rPr>
        <w:t xml:space="preserve">Estrategia de campo:</w:t>
      </w:r>
      <w:r>
        <w:t xml:space="preserve"> </w:t>
      </w:r>
      <w:r>
        <w:t xml:space="preserve">El cuestionario puede aplicarse durante la pre-visita de cortesía o en un momento posterior, siempre antes de iniciar las actividades de la Fase 3. La guía de aplicación completa está disponible en el documento</w:t>
      </w:r>
      <w:r>
        <w:t xml:space="preserve"> </w:t>
      </w:r>
      <w:r>
        <w:t xml:space="preserve">“</w:t>
      </w:r>
      <w:r>
        <w:t xml:space="preserve">Cuestionario de evaluación rápida en comunidades y Guía de aplicación</w:t>
      </w:r>
      <w:r>
        <w:t xml:space="preserve">”</w:t>
      </w:r>
      <w:r>
        <w:t xml:space="preserve">.</w:t>
      </w:r>
    </w:p>
    <w:bookmarkEnd w:id="37"/>
    <w:bookmarkStart w:id="42" w:name="Xc97140ce0a0f081871618022447e2965fa3f465"/>
    <w:p>
      <w:pPr>
        <w:pStyle w:val="Heading3"/>
      </w:pPr>
      <w:r>
        <w:rPr>
          <w:bCs/>
          <w:b/>
        </w:rPr>
        <w:t xml:space="preserve">3. Interpretación del diagnóstico y orientación del tipo de intervención</w:t>
      </w:r>
    </w:p>
    <w:p>
      <w:pPr>
        <w:pStyle w:val="FirstParagraph"/>
      </w:pPr>
      <w:r>
        <w:rPr>
          <w:bCs/>
          <w:b/>
        </w:rPr>
        <w:t xml:space="preserve">Acción:</w:t>
      </w:r>
      <w:r>
        <w:t xml:space="preserve"> </w:t>
      </w:r>
      <w:r>
        <w:t xml:space="preserve">Una vez procesados los resultados del Cuestionario de Evaluación Rápida, la filial debe determinar el nivel de severidad de la comunidad y evaluar si cuenta con la capacidad y los recursos para responder a ese perfil. A continuación se detallan las intervenciones sugeridas para cada perfil:</w:t>
      </w:r>
    </w:p>
    <w:bookmarkStart w:id="38" w:name="Xdda85b7abce4b9c030a26847086a371d0d26481"/>
    <w:p>
      <w:pPr>
        <w:pStyle w:val="Heading4"/>
      </w:pPr>
      <w:r>
        <w:rPr>
          <w:bCs/>
          <w:b/>
        </w:rPr>
        <w:t xml:space="preserve">Severidad Crítica (Comunidades de Baja Articulación Social y Exclusión Sanitaria)</w:t>
      </w:r>
    </w:p>
    <w:p>
      <w:pPr>
        <w:pStyle w:val="FirstParagraph"/>
      </w:pPr>
      <w:r>
        <w:t xml:space="preserve">Para estas comunidades, que presentan múltiples déficits estructurales y bajo capital social, se recomienda una respuesta integral y urgente:</w:t>
      </w:r>
    </w:p>
    <w:p>
      <w:pPr>
        <w:numPr>
          <w:ilvl w:val="0"/>
          <w:numId w:val="1006"/>
        </w:numPr>
        <w:pStyle w:val="Compact"/>
      </w:pPr>
      <w:r>
        <w:rPr>
          <w:bCs/>
          <w:b/>
        </w:rPr>
        <w:t xml:space="preserve">Agua y Saneamiento:</w:t>
      </w:r>
      <w:r>
        <w:t xml:space="preserve"> </w:t>
      </w:r>
      <w:r>
        <w:t xml:space="preserve">Instalación rápida de infraestructura básica para mitigar problemas de acceso y calidad del agua, y resolver la carencia de baños o el uso de letrinas fuera del hogar. •</w:t>
      </w:r>
    </w:p>
    <w:p>
      <w:pPr>
        <w:numPr>
          <w:ilvl w:val="0"/>
          <w:numId w:val="1006"/>
        </w:numPr>
        <w:pStyle w:val="Compact"/>
      </w:pPr>
      <w:r>
        <w:rPr>
          <w:bCs/>
          <w:b/>
        </w:rPr>
        <w:t xml:space="preserve">Cohesión Social:</w:t>
      </w:r>
      <w:r>
        <w:t xml:space="preserve"> </w:t>
      </w:r>
      <w:r>
        <w:t xml:space="preserve">Estimular y consolidar el capital social a través de la formación o reactivación de organizaciones (deportivas, culturales, religiosas) que permitan una respuesta colectiva ante problemas de salud y riesgo. •</w:t>
      </w:r>
    </w:p>
    <w:p>
      <w:pPr>
        <w:numPr>
          <w:ilvl w:val="0"/>
          <w:numId w:val="1006"/>
        </w:numPr>
        <w:pStyle w:val="Compact"/>
      </w:pPr>
      <w:r>
        <w:rPr>
          <w:bCs/>
          <w:b/>
        </w:rPr>
        <w:t xml:space="preserve">Gestión del Riesgo:</w:t>
      </w:r>
      <w:r>
        <w:t xml:space="preserve"> </w:t>
      </w:r>
      <w:r>
        <w:t xml:space="preserve">Fortalecer la preparación comunitaria mediante la identificación de amenazas, capacitación en primeros auxilios, simulacros de evacuación y coordinación con entes como Bomberos y Defensa Civil. •</w:t>
      </w:r>
    </w:p>
    <w:bookmarkEnd w:id="38"/>
    <w:bookmarkStart w:id="39" w:name="Xeeef9d521fdd0cc3eb1b9d35ea6d7e76371c5a7"/>
    <w:p>
      <w:pPr>
        <w:pStyle w:val="Heading4"/>
      </w:pPr>
      <w:r>
        <w:rPr>
          <w:bCs/>
          <w:b/>
        </w:rPr>
        <w:t xml:space="preserve">Severidad Alta (Zonas de Vacío Asistencial)</w:t>
      </w:r>
    </w:p>
    <w:p>
      <w:pPr>
        <w:pStyle w:val="FirstParagraph"/>
      </w:pPr>
      <w:r>
        <w:t xml:space="preserve">En estas comunidades, caracterizadas por una deficiencia grave de servicios de salud, las acciones deben ser de intervención prioritaria:</w:t>
      </w:r>
    </w:p>
    <w:p>
      <w:pPr>
        <w:numPr>
          <w:ilvl w:val="0"/>
          <w:numId w:val="1007"/>
        </w:numPr>
        <w:pStyle w:val="Compact"/>
      </w:pPr>
      <w:r>
        <w:rPr>
          <w:bCs/>
          <w:b/>
        </w:rPr>
        <w:t xml:space="preserve">Salud Primaria y Especializada:</w:t>
      </w:r>
      <w:r>
        <w:t xml:space="preserve"> </w:t>
      </w:r>
      <w:r>
        <w:t xml:space="preserve">Despliegue de personal sanitario (médicos, enfermeras), unidades móviles y telemedicina. •</w:t>
      </w:r>
    </w:p>
    <w:p>
      <w:pPr>
        <w:numPr>
          <w:ilvl w:val="0"/>
          <w:numId w:val="1007"/>
        </w:numPr>
        <w:pStyle w:val="Compact"/>
      </w:pPr>
      <w:r>
        <w:rPr>
          <w:bCs/>
          <w:b/>
        </w:rPr>
        <w:t xml:space="preserve">Soporte Psicosocial:</w:t>
      </w:r>
      <w:r>
        <w:t xml:space="preserve"> </w:t>
      </w:r>
      <w:r>
        <w:t xml:space="preserve">Incorporar redes de autoayuda y asegurar el acceso a servicios de salud mental. •</w:t>
      </w:r>
    </w:p>
    <w:p>
      <w:pPr>
        <w:numPr>
          <w:ilvl w:val="0"/>
          <w:numId w:val="1007"/>
        </w:numPr>
        <w:pStyle w:val="Compact"/>
      </w:pPr>
      <w:r>
        <w:rPr>
          <w:bCs/>
          <w:b/>
        </w:rPr>
        <w:t xml:space="preserve">Sistemas de Referencia:</w:t>
      </w:r>
      <w:r>
        <w:t xml:space="preserve"> </w:t>
      </w:r>
      <w:r>
        <w:t xml:space="preserve">Establecer sistemas logísticos y de comunicación operativos para el traslado de pacientes, incluso para servicios básicos como el control prenatal. •</w:t>
      </w:r>
    </w:p>
    <w:bookmarkEnd w:id="39"/>
    <w:bookmarkStart w:id="40" w:name="Xbead2db052b28631ba28e49f539723f87bcced4"/>
    <w:p>
      <w:pPr>
        <w:pStyle w:val="Heading4"/>
      </w:pPr>
      <w:r>
        <w:rPr>
          <w:bCs/>
          <w:b/>
        </w:rPr>
        <w:t xml:space="preserve">Severidad Moderada (Núcleos de Fortaleza Social y Sanitaria)</w:t>
      </w:r>
    </w:p>
    <w:p>
      <w:pPr>
        <w:pStyle w:val="FirstParagraph"/>
      </w:pPr>
      <w:r>
        <w:t xml:space="preserve">Dado que estas comunidades ya cuentan con fortalezas activas, las intervenciones deben centrarse en el mantenimiento y preservación de lo existente:</w:t>
      </w:r>
    </w:p>
    <w:p>
      <w:pPr>
        <w:numPr>
          <w:ilvl w:val="0"/>
          <w:numId w:val="1008"/>
        </w:numPr>
        <w:pStyle w:val="Compact"/>
      </w:pPr>
      <w:r>
        <w:rPr>
          <w:bCs/>
          <w:b/>
        </w:rPr>
        <w:t xml:space="preserve">Mantenimiento de Servicios:</w:t>
      </w:r>
      <w:r>
        <w:t xml:space="preserve"> </w:t>
      </w:r>
      <w:r>
        <w:t xml:space="preserve">Garantizar que las obras y servicios existentes no se deterioren con el tiempo. •</w:t>
      </w:r>
    </w:p>
    <w:p>
      <w:pPr>
        <w:numPr>
          <w:ilvl w:val="0"/>
          <w:numId w:val="1008"/>
        </w:numPr>
        <w:pStyle w:val="Compact"/>
      </w:pPr>
      <w:r>
        <w:rPr>
          <w:bCs/>
          <w:b/>
        </w:rPr>
        <w:t xml:space="preserve">Redes Comunitarias:</w:t>
      </w:r>
      <w:r>
        <w:t xml:space="preserve"> </w:t>
      </w:r>
      <w:r>
        <w:t xml:space="preserve">Reforzar continuamente las redes sociales y el capital social activo. •</w:t>
      </w:r>
    </w:p>
    <w:p>
      <w:pPr>
        <w:numPr>
          <w:ilvl w:val="0"/>
          <w:numId w:val="1008"/>
        </w:numPr>
        <w:pStyle w:val="Compact"/>
      </w:pPr>
      <w:r>
        <w:rPr>
          <w:bCs/>
          <w:b/>
        </w:rPr>
        <w:t xml:space="preserve">Formación Continua:</w:t>
      </w:r>
      <w:r>
        <w:t xml:space="preserve"> </w:t>
      </w:r>
      <w:r>
        <w:t xml:space="preserve">Asegurar la actualización permanente del personal sanitario para preservar la capacidad de atención actual. •</w:t>
      </w:r>
    </w:p>
    <w:bookmarkEnd w:id="40"/>
    <w:bookmarkStart w:id="41" w:name="X99bdb6c3cc572db7eb9761e0c81d29cd523ac67"/>
    <w:p>
      <w:pPr>
        <w:pStyle w:val="Heading4"/>
      </w:pPr>
      <w:r>
        <w:rPr>
          <w:bCs/>
          <w:b/>
        </w:rPr>
        <w:t xml:space="preserve">Severidad Baja (Áreas de Gestión de Riesgo y Sanitaria Integrada)</w:t>
      </w:r>
    </w:p>
    <w:p>
      <w:pPr>
        <w:pStyle w:val="FirstParagraph"/>
      </w:pPr>
      <w:r>
        <w:t xml:space="preserve">Estas comunidades presentan el mejor estado de bienestar relativo, por lo que su rol es estratégico para el entorno:</w:t>
      </w:r>
    </w:p>
    <w:p>
      <w:pPr>
        <w:numPr>
          <w:ilvl w:val="0"/>
          <w:numId w:val="1009"/>
        </w:numPr>
        <w:pStyle w:val="Compact"/>
      </w:pPr>
      <w:r>
        <w:rPr>
          <w:bCs/>
          <w:b/>
        </w:rPr>
        <w:t xml:space="preserve">Centros de Referencia:</w:t>
      </w:r>
      <w:r>
        <w:t xml:space="preserve"> </w:t>
      </w:r>
      <w:r>
        <w:t xml:space="preserve">Consolidarlas como plataformas de aprendizaje y centros de referencia para comunidades aledañas con mayor vulnerabilidad. •</w:t>
      </w:r>
    </w:p>
    <w:p>
      <w:pPr>
        <w:numPr>
          <w:ilvl w:val="0"/>
          <w:numId w:val="1009"/>
        </w:numPr>
        <w:pStyle w:val="Compact"/>
      </w:pPr>
      <w:r>
        <w:rPr>
          <w:bCs/>
          <w:b/>
        </w:rPr>
        <w:t xml:space="preserve">Optimización:</w:t>
      </w:r>
      <w:r>
        <w:t xml:space="preserve"> </w:t>
      </w:r>
      <w:r>
        <w:t xml:space="preserve">Intervenir para mantener y optimizar los servicios de salud y de gestión de riesgos que ya funcionan de manera integrada. •</w:t>
      </w:r>
    </w:p>
    <w:p>
      <w:pPr>
        <w:pStyle w:val="FirstParagraph"/>
      </w:pPr>
      <w:r>
        <w:rPr>
          <w:bCs/>
          <w:b/>
        </w:rPr>
        <w:t xml:space="preserve">Notificación a Sede Central: Formulario de inicio de exploración comunitaria</w:t>
      </w:r>
    </w:p>
    <w:p>
      <w:pPr>
        <w:pStyle w:val="BodyText"/>
      </w:pPr>
      <w:r>
        <w:t xml:space="preserve">Antes de avanzar a la Fase 3, la filial debe completar el</w:t>
      </w:r>
      <w:r>
        <w:t xml:space="preserve"> </w:t>
      </w:r>
      <w:r>
        <w:rPr>
          <w:bCs/>
          <w:b/>
        </w:rPr>
        <w:t xml:space="preserve">Formulario de inicio de exploración comunitaria</w:t>
      </w:r>
      <w:r>
        <w:t xml:space="preserve"> </w:t>
      </w:r>
      <w:r>
        <w:t xml:space="preserve">disponible en la plataforma Kobo. Este registro tiene dos propósitos: notificar formalmente a la Sede Central sobre el trabajo que la filial planea iniciar, y construir memoria institucional sobre las decisiones tomadas antes del despliegue.</w:t>
      </w:r>
    </w:p>
    <w:p>
      <w:pPr>
        <w:pStyle w:val="BodyText"/>
      </w:pPr>
      <w:r>
        <w:t xml:space="preserve">El formulario recoge los datos básicos de la filial y la comunidad, los resultados del Cuestionario de Evaluación Rápida, el tipo de iniciativa y áreas de intervención contempladas, los recursos disponibles y los próximos pasos. Su llenado es un paso administrativo, no un compromiso operativo: la filial puede completarlo incluso si aún no ha definido con precisión el alcance de la intervención.</w:t>
      </w:r>
    </w:p>
    <w:p>
      <w:pPr>
        <w:pStyle w:val="BodyText"/>
      </w:pPr>
      <w:r>
        <w:rPr>
          <w:bCs/>
          <w:b/>
        </w:rPr>
        <w:t xml:space="preserve">Acceda al formulario:</w:t>
      </w:r>
      <w:r>
        <w:t xml:space="preserve"> </w:t>
      </w:r>
      <w:r>
        <w:t xml:space="preserve">https://ee.ifrc.org/x/xsLJqlzG</w:t>
      </w:r>
    </w:p>
    <w:bookmarkEnd w:id="41"/>
    <w:bookmarkEnd w:id="42"/>
    <w:bookmarkStart w:id="43" w:name="Xdcc4c8f1ac790a188d74af70e45c6a1756ec40c"/>
    <w:p>
      <w:pPr>
        <w:pStyle w:val="Heading3"/>
      </w:pPr>
      <w:r>
        <w:rPr>
          <w:bCs/>
          <w:b/>
        </w:rPr>
        <w:t xml:space="preserve">4. Planificación de la convocatoria comunitaria</w:t>
      </w:r>
    </w:p>
    <w:p>
      <w:pPr>
        <w:pStyle w:val="FirstParagraph"/>
      </w:pPr>
      <w:r>
        <w:rPr>
          <w:bCs/>
          <w:b/>
        </w:rPr>
        <w:t xml:space="preserve">Acción:</w:t>
      </w:r>
      <w:r>
        <w:t xml:space="preserve"> </w:t>
      </w:r>
      <w:r>
        <w:t xml:space="preserve">Una vez establecido el vínculo con el liderazgo y definido el propósito del trabajo conjunto, la filial debe planificar de manera explícita cómo se convocará a los miembros de la comunidad para las actividades del proyecto. Por ejemplo, en el área de GRD, una convocatoria sostenida de entre 15 y 30 personas debe considerarse un resultado exitoso. Partir de expectativas más altas puede llevar a evaluaciones de fracaso que no reflejan la realidad del trabajo comunitario en este campo.</w:t>
      </w:r>
    </w:p>
    <w:p>
      <w:pPr>
        <w:pStyle w:val="BodyText"/>
      </w:pPr>
      <w:r>
        <w:rPr>
          <w:bCs/>
          <w:b/>
        </w:rPr>
        <w:t xml:space="preserve">Punto crítico:</w:t>
      </w:r>
      <w:r>
        <w:t xml:space="preserve"> </w:t>
      </w:r>
      <w:r>
        <w:t xml:space="preserve">Delegar la convocatoria exclusivamente en el liderazgo comunitario es la estrategia más común, pero también la más frágil: los líderes convocan a quienes conocen, una práctica que puede excluir sectores de la comunidad y generar una participación desequilibrada.</w:t>
      </w:r>
    </w:p>
    <w:bookmarkEnd w:id="43"/>
    <w:bookmarkStart w:id="44" w:name="estrategias-alternativas-de-convocatoria"/>
    <w:p>
      <w:pPr>
        <w:pStyle w:val="Heading3"/>
      </w:pPr>
      <w:r>
        <w:rPr>
          <w:bCs/>
          <w:b/>
        </w:rPr>
        <w:t xml:space="preserve">Estrategias alternativas de convocatoria:</w:t>
      </w:r>
    </w:p>
    <w:p>
      <w:pPr>
        <w:numPr>
          <w:ilvl w:val="0"/>
          <w:numId w:val="1010"/>
        </w:numPr>
        <w:pStyle w:val="Compact"/>
      </w:pPr>
      <w:r>
        <w:rPr>
          <w:bCs/>
          <w:b/>
        </w:rPr>
        <w:t xml:space="preserve">Integración programática:</w:t>
      </w:r>
      <w:r>
        <w:t xml:space="preserve"> </w:t>
      </w:r>
      <w:r>
        <w:t xml:space="preserve">Coordinar con otras áreas o programas de la filial que ya tengan presencia en la comunidad para incorporar las actividades dentro de espacios ya establecidos (ej. inducciones en salas de espera de centros de salud). •</w:t>
      </w:r>
    </w:p>
    <w:p>
      <w:pPr>
        <w:numPr>
          <w:ilvl w:val="0"/>
          <w:numId w:val="1010"/>
        </w:numPr>
        <w:pStyle w:val="Compact"/>
      </w:pPr>
      <w:r>
        <w:rPr>
          <w:bCs/>
          <w:b/>
        </w:rPr>
        <w:t xml:space="preserve">Redes secundarias:</w:t>
      </w:r>
      <w:r>
        <w:t xml:space="preserve"> </w:t>
      </w:r>
      <w:r>
        <w:t xml:space="preserve">Identificar, junto al liderazgo, personas con capacidad de convocatoria en sectores específicos que no dependen del líder principal: promotores de salud, docentes, líderes religiosos, representantes de grupos de jóvenes o adultos mayores. •</w:t>
      </w:r>
    </w:p>
    <w:p>
      <w:pPr>
        <w:numPr>
          <w:ilvl w:val="0"/>
          <w:numId w:val="1010"/>
        </w:numPr>
        <w:pStyle w:val="Compact"/>
      </w:pPr>
      <w:r>
        <w:rPr>
          <w:bCs/>
          <w:b/>
        </w:rPr>
        <w:t xml:space="preserve">Momentos y espacios de alta concurrencia:</w:t>
      </w:r>
      <w:r>
        <w:t xml:space="preserve"> </w:t>
      </w:r>
      <w:r>
        <w:t xml:space="preserve">Planificar actividades en horarios y lugares donde la comunidad ya se congrega de forma natural, reduciendo la barrera de asistencia. •</w:t>
      </w:r>
    </w:p>
    <w:p>
      <w:pPr>
        <w:numPr>
          <w:ilvl w:val="0"/>
          <w:numId w:val="1010"/>
        </w:numPr>
        <w:pStyle w:val="Compact"/>
      </w:pPr>
      <w:r>
        <w:rPr>
          <w:bCs/>
          <w:b/>
        </w:rPr>
        <w:t xml:space="preserve">Atractivo del proyecto:</w:t>
      </w:r>
      <w:r>
        <w:t xml:space="preserve"> </w:t>
      </w:r>
      <w:r>
        <w:t xml:space="preserve">Asegurarse de que la primera actividad ofrezca un valor tangible e inmediato para los participantes, de modo que la experiencia genere motivación para futuras convocatorias. •</w:t>
      </w:r>
    </w:p>
    <w:p>
      <w:pPr>
        <w:pStyle w:val="FirstParagraph"/>
      </w:pPr>
      <w:r>
        <w:rPr>
          <w:bCs/>
          <w:b/>
        </w:rPr>
        <w:t xml:space="preserve">Estrategia de campo:</w:t>
      </w:r>
      <w:r>
        <w:t xml:space="preserve"> </w:t>
      </w:r>
      <w:r>
        <w:t xml:space="preserve">Si la participación cae por debajo del umbral mínimo acordado en dos o más actividades consecutivas, la filial debe evaluar si el problema es de convocatoria o si indica una limitación estructural de la comunidad como sitio de intervención. Esta evaluación debe documentarse antes de continuar.</w:t>
      </w:r>
    </w:p>
    <w:bookmarkEnd w:id="44"/>
    <w:bookmarkStart w:id="45" w:name="Xe53d8f0fbcd2d9204f3faf63706eeb044a1da8a"/>
    <w:p>
      <w:pPr>
        <w:pStyle w:val="Heading3"/>
      </w:pPr>
      <w:r>
        <w:rPr>
          <w:bCs/>
          <w:b/>
        </w:rPr>
        <w:t xml:space="preserve">5. Gestión de permisos y notificación a autoridades</w:t>
      </w:r>
    </w:p>
    <w:p>
      <w:pPr>
        <w:pStyle w:val="FirstParagraph"/>
      </w:pPr>
      <w:r>
        <w:rPr>
          <w:bCs/>
          <w:b/>
        </w:rPr>
        <w:t xml:space="preserve">Acción:</w:t>
      </w:r>
      <w:r>
        <w:t xml:space="preserve"> </w:t>
      </w:r>
      <w:r>
        <w:t xml:space="preserve">Una vez obtenido el permiso de los líderes, y solo en caso de ser necesario, proceder a tramitar los permisos con las autoridades del Estado mencionados en la Fase 1 (alcaldía, cuerpos de seguridad).</w:t>
      </w:r>
    </w:p>
    <w:p>
      <w:pPr>
        <w:pStyle w:val="BodyText"/>
      </w:pPr>
      <w:r>
        <w:rPr>
          <w:bCs/>
          <w:b/>
        </w:rPr>
        <w:t xml:space="preserve">Punto crítico:</w:t>
      </w:r>
      <w:r>
        <w:t xml:space="preserve"> </w:t>
      </w:r>
      <w:r>
        <w:t xml:space="preserve">Entrar con el aval de la comunidad protege al personal ante las autoridades civiles o militares.</w:t>
      </w:r>
    </w:p>
    <w:p>
      <w:pPr>
        <w:pStyle w:val="BodyText"/>
      </w:pPr>
      <w:r>
        <w:rPr>
          <w:bCs/>
          <w:b/>
        </w:rPr>
        <w:t xml:space="preserve">Acción:</w:t>
      </w:r>
      <w:r>
        <w:t xml:space="preserve"> </w:t>
      </w:r>
      <w:r>
        <w:t xml:space="preserve">El criterio de</w:t>
      </w:r>
      <w:r>
        <w:t xml:space="preserve"> </w:t>
      </w:r>
      <w:r>
        <w:t xml:space="preserve">“</w:t>
      </w:r>
      <w:r>
        <w:t xml:space="preserve">solo en caso de ser necesario</w:t>
      </w:r>
      <w:r>
        <w:t xml:space="preserve">”</w:t>
      </w:r>
      <w:r>
        <w:t xml:space="preserve"> </w:t>
      </w:r>
      <w:r>
        <w:t xml:space="preserve">requiere una evaluación explícita. Antes de decidir si tramita o no permisos con autoridades, la filial debe considerar los siguientes factores:</w:t>
      </w:r>
    </w:p>
    <w:tbl>
      <w:tblPr>
        <w:tblStyle w:val="Table"/>
        <w:tblW w:type="pct" w:w="5000"/>
        <w:tblLook w:firstRow="1" w:lastRow="0" w:firstColumn="0" w:lastColumn="0" w:noHBand="0" w:noVBand="0" w:val="0020"/>
        <w:jc w:val="start"/>
        <w:tblBorders>
          <w:top w:val="single" w:sz="4" w:space="0" w:color="0F4761"/>
          <w:left w:val="single" w:sz="4" w:space="0" w:color="0F4761"/>
          <w:bottom w:val="single" w:sz="4" w:space="0" w:color="0F4761"/>
          <w:right w:val="single" w:sz="4" w:space="0" w:color="0F4761"/>
          <w:insideH w:val="single" w:sz="4" w:space="0" w:color="0F4761"/>
          <w:insideV w:val="single" w:sz="4" w:space="0" w:color="0F4761"/>
        </w:tblBorders>
      </w:tblPr>
      <w:tblGrid>
        <w:gridCol w:w="1535"/>
        <w:gridCol w:w="2965"/>
        <w:gridCol w:w="3419"/>
      </w:tblGrid>
      <w:tr>
        <w:trPr>
          <w:tblHeader w:val="true"/>
        </w:trPr>
        <w:tc>
          <w:tcPr>
            <w:shd w:val="clear" w:color="auto" w:fill="0F4761"/>
          </w:tcPr>
          <w:p>
            <w:pPr>
              <w:pStyle w:val="Compact"/>
              <w:jc w:val="center"/>
            </w:pPr>
            <w:r>
              <w:rPr>
                <w:b/>
                <w:color w:val="FFFFFF"/>
                <w:sz w:val="18"/>
              </w:rPr>
              <w:t xml:space="preserve">Factor</w:t>
            </w:r>
          </w:p>
        </w:tc>
        <w:tc>
          <w:tcPr>
            <w:shd w:val="clear" w:color="auto" w:fill="0F4761"/>
          </w:tcPr>
          <w:p>
            <w:pPr>
              <w:pStyle w:val="Compact"/>
              <w:jc w:val="center"/>
            </w:pPr>
            <w:r>
              <w:rPr>
                <w:b/>
                <w:color w:val="FFFFFF"/>
                <w:sz w:val="18"/>
              </w:rPr>
              <w:t xml:space="preserve">Sugiere notificar</w:t>
            </w:r>
          </w:p>
        </w:tc>
        <w:tc>
          <w:tcPr>
            <w:shd w:val="clear" w:color="auto" w:fill="0F4761"/>
          </w:tcPr>
          <w:p>
            <w:pPr>
              <w:pStyle w:val="Compact"/>
              <w:jc w:val="center"/>
            </w:pPr>
            <w:r>
              <w:rPr>
                <w:b/>
                <w:color w:val="FFFFFF"/>
                <w:sz w:val="18"/>
              </w:rPr>
              <w:t xml:space="preserve">Sugiere no notificar</w:t>
            </w:r>
          </w:p>
        </w:tc>
      </w:tr>
      <w:tr>
        <w:tc>
          <w:tcPr/>
          <w:p>
            <w:pPr>
              <w:pStyle w:val="Compact"/>
              <w:jc w:val="left"/>
            </w:pPr>
            <w:r>
              <w:rPr>
                <w:sz w:val="18"/>
              </w:rPr>
              <w:t xml:space="preserve">Escala de la</w:t>
            </w:r>
            <w:r>
              <w:rPr>
                <w:sz w:val="18"/>
              </w:rPr>
              <w:t xml:space="preserve">actividad</w:t>
            </w:r>
          </w:p>
        </w:tc>
        <w:tc>
          <w:tcPr/>
          <w:p>
            <w:pPr>
              <w:pStyle w:val="Compact"/>
              <w:jc w:val="left"/>
            </w:pPr>
            <w:r>
              <w:rPr>
                <w:sz w:val="18"/>
              </w:rPr>
              <w:t xml:space="preserve">Actividad masiva, visible o de</w:t>
            </w:r>
            <w:r>
              <w:rPr>
                <w:sz w:val="18"/>
              </w:rPr>
              <w:t xml:space="preserve">larga duración</w:t>
            </w:r>
          </w:p>
        </w:tc>
        <w:tc>
          <w:tcPr/>
          <w:p>
            <w:pPr>
              <w:pStyle w:val="Compact"/>
              <w:jc w:val="left"/>
            </w:pPr>
            <w:r>
              <w:rPr>
                <w:sz w:val="18"/>
              </w:rPr>
              <w:t xml:space="preserve">Actividad pequeña, discreta o</w:t>
            </w:r>
            <w:r>
              <w:rPr>
                <w:sz w:val="18"/>
              </w:rPr>
              <w:t xml:space="preserve">puntual</w:t>
            </w:r>
          </w:p>
        </w:tc>
      </w:tr>
      <w:tr>
        <w:tc>
          <w:tcPr/>
          <w:p>
            <w:pPr>
              <w:pStyle w:val="Compact"/>
              <w:jc w:val="left"/>
            </w:pPr>
            <w:r>
              <w:rPr>
                <w:sz w:val="18"/>
              </w:rPr>
              <w:t xml:space="preserve">Tipo de actividad</w:t>
            </w:r>
          </w:p>
        </w:tc>
        <w:tc>
          <w:tcPr/>
          <w:p>
            <w:pPr>
              <w:pStyle w:val="Compact"/>
              <w:jc w:val="left"/>
            </w:pPr>
            <w:r>
              <w:rPr>
                <w:sz w:val="18"/>
              </w:rPr>
              <w:t xml:space="preserve">Simulacros, distribuciones,</w:t>
            </w:r>
            <w:r>
              <w:rPr>
                <w:sz w:val="18"/>
              </w:rPr>
              <w:t xml:space="preserve">eventos públicos</w:t>
            </w:r>
          </w:p>
        </w:tc>
        <w:tc>
          <w:tcPr/>
          <w:p>
            <w:pPr>
              <w:pStyle w:val="Compact"/>
              <w:jc w:val="left"/>
            </w:pPr>
            <w:r>
              <w:rPr>
                <w:sz w:val="18"/>
              </w:rPr>
              <w:t xml:space="preserve">Talleres, reuniones internas, visitas</w:t>
            </w:r>
            <w:r>
              <w:rPr>
                <w:sz w:val="18"/>
              </w:rPr>
              <w:t xml:space="preserve">de diagnóstico</w:t>
            </w:r>
          </w:p>
        </w:tc>
      </w:tr>
      <w:tr>
        <w:tc>
          <w:tcPr/>
          <w:p>
            <w:pPr>
              <w:pStyle w:val="Compact"/>
              <w:jc w:val="left"/>
            </w:pPr>
            <w:r>
              <w:rPr>
                <w:sz w:val="18"/>
              </w:rPr>
              <w:t xml:space="preserve">Contexto político</w:t>
            </w:r>
            <w:r>
              <w:rPr>
                <w:sz w:val="18"/>
              </w:rPr>
              <w:t xml:space="preserve">local</w:t>
            </w:r>
          </w:p>
        </w:tc>
        <w:tc>
          <w:tcPr/>
          <w:p>
            <w:pPr>
              <w:pStyle w:val="Compact"/>
              <w:jc w:val="left"/>
            </w:pPr>
            <w:r>
              <w:rPr>
                <w:sz w:val="18"/>
              </w:rPr>
              <w:t xml:space="preserve">La autoridad es un actor de</w:t>
            </w:r>
            <w:r>
              <w:rPr>
                <w:sz w:val="18"/>
              </w:rPr>
              <w:t xml:space="preserve">legitimación necesario o puede</w:t>
            </w:r>
            <w:r>
              <w:rPr>
                <w:sz w:val="18"/>
              </w:rPr>
              <w:t xml:space="preserve">bloquear el acceso</w:t>
            </w:r>
          </w:p>
        </w:tc>
        <w:tc>
          <w:tcPr/>
          <w:p>
            <w:pPr>
              <w:pStyle w:val="Compact"/>
              <w:jc w:val="left"/>
            </w:pPr>
            <w:r>
              <w:rPr>
                <w:sz w:val="18"/>
              </w:rPr>
              <w:t xml:space="preserve">La autoridad no tiene injerencia</w:t>
            </w:r>
            <w:r>
              <w:rPr>
                <w:sz w:val="18"/>
              </w:rPr>
              <w:t xml:space="preserve">directa o su presencia podría generar</w:t>
            </w:r>
            <w:r>
              <w:rPr>
                <w:sz w:val="18"/>
              </w:rPr>
              <w:t xml:space="preserve">rechazo comunitario</w:t>
            </w:r>
          </w:p>
        </w:tc>
      </w:tr>
      <w:tr>
        <w:tc>
          <w:tcPr/>
          <w:p>
            <w:pPr>
              <w:pStyle w:val="Compact"/>
              <w:jc w:val="left"/>
            </w:pPr>
            <w:r>
              <w:rPr>
                <w:sz w:val="18"/>
              </w:rPr>
              <w:t xml:space="preserve">Experiencia previa</w:t>
            </w:r>
            <w:r>
              <w:rPr>
                <w:sz w:val="18"/>
              </w:rPr>
              <w:t xml:space="preserve">de la filial</w:t>
            </w:r>
          </w:p>
        </w:tc>
        <w:tc>
          <w:tcPr/>
          <w:p>
            <w:pPr>
              <w:pStyle w:val="Compact"/>
              <w:jc w:val="left"/>
            </w:pPr>
            <w:r>
              <w:rPr>
                <w:sz w:val="18"/>
              </w:rPr>
              <w:t xml:space="preserve">Existe una relación de trabajo</w:t>
            </w:r>
            <w:r>
              <w:rPr>
                <w:sz w:val="18"/>
              </w:rPr>
              <w:t xml:space="preserve">establecida y de confianza con esa</w:t>
            </w:r>
            <w:r>
              <w:rPr>
                <w:sz w:val="18"/>
              </w:rPr>
              <w:t xml:space="preserve">autoridad</w:t>
            </w:r>
          </w:p>
        </w:tc>
        <w:tc>
          <w:tcPr/>
          <w:p>
            <w:pPr>
              <w:pStyle w:val="Compact"/>
              <w:jc w:val="left"/>
            </w:pPr>
            <w:r>
              <w:rPr>
                <w:sz w:val="18"/>
              </w:rPr>
              <w:t xml:space="preserve">No hay relación previa o existen</w:t>
            </w:r>
            <w:r>
              <w:rPr>
                <w:sz w:val="18"/>
              </w:rPr>
              <w:t xml:space="preserve">antecedentes de interferencia en</w:t>
            </w:r>
            <w:r>
              <w:rPr>
                <w:sz w:val="18"/>
              </w:rPr>
              <w:t xml:space="preserve">proyectos anteriores</w:t>
            </w:r>
          </w:p>
        </w:tc>
      </w:tr>
      <w:tr>
        <w:tc>
          <w:tcPr/>
          <w:p>
            <w:pPr>
              <w:pStyle w:val="Compact"/>
              <w:jc w:val="left"/>
            </w:pPr>
            <w:r>
              <w:rPr>
                <w:sz w:val="18"/>
              </w:rPr>
              <w:t xml:space="preserve">Indicación del</w:t>
            </w:r>
            <w:r>
              <w:rPr>
                <w:sz w:val="18"/>
              </w:rPr>
              <w:t xml:space="preserve">liderazgo</w:t>
            </w:r>
            <w:r>
              <w:rPr>
                <w:sz w:val="18"/>
              </w:rPr>
              <w:t xml:space="preserve">comunitario</w:t>
            </w:r>
          </w:p>
        </w:tc>
        <w:tc>
          <w:tcPr/>
          <w:p>
            <w:pPr>
              <w:pStyle w:val="Compact"/>
              <w:jc w:val="left"/>
            </w:pPr>
            <w:r>
              <w:rPr>
                <w:sz w:val="18"/>
              </w:rPr>
              <w:t xml:space="preserve">El liderazgo recomienda o exige la</w:t>
            </w:r>
            <w:r>
              <w:rPr>
                <w:sz w:val="18"/>
              </w:rPr>
              <w:t xml:space="preserve">notificación</w:t>
            </w:r>
          </w:p>
        </w:tc>
        <w:tc>
          <w:tcPr/>
          <w:p>
            <w:pPr>
              <w:pStyle w:val="Compact"/>
              <w:jc w:val="left"/>
            </w:pPr>
            <w:r>
              <w:rPr>
                <w:sz w:val="18"/>
              </w:rPr>
              <w:t xml:space="preserve">El liderazgo desaconseja el contacto</w:t>
            </w:r>
            <w:r>
              <w:rPr>
                <w:sz w:val="18"/>
              </w:rPr>
              <w:t xml:space="preserve">con esa autoridad</w:t>
            </w:r>
          </w:p>
        </w:tc>
      </w:tr>
    </w:tbl>
    <w:p>
      <w:pPr>
        <w:pStyle w:val="BodyText"/>
      </w:pPr>
      <w:r>
        <w:rPr>
          <w:bCs/>
          <w:b/>
        </w:rPr>
        <w:t xml:space="preserve">Punto crítico:</w:t>
      </w:r>
      <w:r>
        <w:t xml:space="preserve"> </w:t>
      </w:r>
      <w:r>
        <w:t xml:space="preserve">Notificar a las autoridades sin el aval previo de la comunidad puede comprometer la aceptación de la CRV. Sin embargo, omitir la notificación cuando la autoridad tiene injerencia real puede generar obstáculos operativos en etapas avanzadas. La decisión tomada debe documentarse junto con su justificación.</w:t>
      </w:r>
    </w:p>
    <w:p>
      <w:pPr>
        <w:pStyle w:val="BodyText"/>
      </w:pPr>
      <w:r>
        <w:rPr>
          <w:bCs/>
          <w:b/>
        </w:rPr>
        <w:t xml:space="preserve">Estrategia de campo:</w:t>
      </w:r>
      <w:r>
        <w:t xml:space="preserve"> </w:t>
      </w:r>
      <w:r>
        <w:t xml:space="preserve">Algunas filiales mantienen relaciones de trabajo estrechas con alcaldías, especialmente para actividades de gran magnitud. Esta práctica es válida cuando está sustentada en una relación de confianza consolidada y no compromete la neutralidad ni la aceptación comunitaria. En cualquier caso, el contacto con autoridades siempre debe realizarse después del aval del liderazgo comunitario, nunca antes.</w:t>
      </w:r>
    </w:p>
    <w:bookmarkEnd w:id="45"/>
    <w:bookmarkEnd w:id="46"/>
    <w:bookmarkStart w:id="72" w:name="X0da2120990356ea247b04db7f013a0f019b7cfd"/>
    <w:p>
      <w:pPr>
        <w:pStyle w:val="Heading1"/>
      </w:pPr>
      <w:r>
        <w:rPr>
          <w:bCs/>
          <w:b/>
        </w:rPr>
        <w:t xml:space="preserve">Fase 3: Inmersión y profundización (operación en terreno)</w:t>
      </w:r>
      <w:r>
        <w:t xml:space="preserve"> </w:t>
      </w:r>
      <w:r>
        <w:t xml:space="preserve">9 secciones</w:t>
      </w:r>
    </w:p>
    <w:p>
      <w:pPr>
        <w:pStyle w:val="FirstParagraph"/>
      </w:pPr>
      <w:r>
        <w:rPr>
          <w:bCs/>
          <w:b/>
        </w:rPr>
        <w:t xml:space="preserve">Objetivo:</w:t>
      </w:r>
      <w:r>
        <w:t xml:space="preserve"> </w:t>
      </w:r>
      <w:r>
        <w:t xml:space="preserve">Levantar información en campo para identificar dinámicas comunitarias.</w:t>
      </w:r>
    </w:p>
    <w:bookmarkStart w:id="47" w:name="Xc304778c0a5dc590dc3884a3260291dfeb63c55"/>
    <w:p>
      <w:pPr>
        <w:pStyle w:val="Heading3"/>
      </w:pPr>
      <w:r>
        <w:rPr>
          <w:bCs/>
          <w:b/>
        </w:rPr>
        <w:t xml:space="preserve">1. Estrategia de muestreo inclusivo y verificación de representatividad</w:t>
      </w:r>
    </w:p>
    <w:bookmarkEnd w:id="47"/>
    <w:bookmarkStart w:id="49" w:name="acción"/>
    <w:p>
      <w:pPr>
        <w:pStyle w:val="Heading3"/>
      </w:pPr>
      <w:r>
        <w:rPr>
          <w:bCs/>
          <w:b/>
        </w:rPr>
        <w:t xml:space="preserve">Acción:</w:t>
      </w:r>
    </w:p>
    <w:p>
      <w:pPr>
        <w:numPr>
          <w:ilvl w:val="0"/>
          <w:numId w:val="1011"/>
        </w:numPr>
        <w:pStyle w:val="Compact"/>
      </w:pPr>
      <w:r>
        <w:t xml:space="preserve">Identificar informantes clave que sirvan de traductores de la cultura local. •</w:t>
      </w:r>
    </w:p>
    <w:p>
      <w:pPr>
        <w:numPr>
          <w:ilvl w:val="0"/>
          <w:numId w:val="1011"/>
        </w:numPr>
        <w:pStyle w:val="Compact"/>
      </w:pPr>
      <w:r>
        <w:t xml:space="preserve">Identificar grupos de la comunidad o personas que no suelen estar en las reuniones. •</w:t>
      </w:r>
    </w:p>
    <w:p>
      <w:pPr>
        <w:numPr>
          <w:ilvl w:val="0"/>
          <w:numId w:val="1011"/>
        </w:numPr>
        <w:pStyle w:val="Compact"/>
      </w:pPr>
      <w:r>
        <w:t xml:space="preserve">Asegurar que los informantes representen a todos los sectores de la comunidad. •</w:t>
      </w:r>
    </w:p>
    <w:p>
      <w:pPr>
        <w:pStyle w:val="FirstParagraph"/>
      </w:pPr>
      <w:r>
        <w:rPr>
          <w:bCs/>
          <w:b/>
        </w:rPr>
        <w:t xml:space="preserve">Estrategia de campo:</w:t>
      </w:r>
      <w:r>
        <w:t xml:space="preserve"> </w:t>
      </w:r>
      <w:r>
        <w:t xml:space="preserve">Los informantes clave no son necesariamente líderes de la comunidad. Su principal atributo es la capacidad para relacionarse con todos los sectores, entablar diálogos con facilidad y entender la dinámica de trabajo de las organizaciones humanitarias. A través de ellos, la filial puede conocer si el proyecto es social y culturalmente pertinente o si existen grupos excluidos de las reuniones. Preguntar si hay algún sector o grupo que por su horario o ubicación no haya podido hablar con los representantes de la filial.</w:t>
      </w:r>
    </w:p>
    <w:p>
      <w:pPr>
        <w:pStyle w:val="BodyText"/>
      </w:pPr>
      <w:r>
        <w:rPr>
          <w:bCs/>
          <w:b/>
        </w:rPr>
        <w:t xml:space="preserve">Acción:</w:t>
      </w:r>
      <w:r>
        <w:t xml:space="preserve"> </w:t>
      </w:r>
      <w:r>
        <w:t xml:space="preserve">Una vez iniciadas las actividades en terreno, verificar activamente si los grupos que participan representan la diversidad real de la comunidad. Esta lectura sistemática de quién está presente y quién no debe hacerse al inicio de cada actividad.</w:t>
      </w:r>
    </w:p>
    <w:bookmarkStart w:id="48" w:name="criterios-de-auditoría"/>
    <w:p>
      <w:pPr>
        <w:pStyle w:val="Heading4"/>
      </w:pPr>
      <w:r>
        <w:rPr>
          <w:bCs/>
          <w:b/>
        </w:rPr>
        <w:t xml:space="preserve">Criterios de auditoría:</w:t>
      </w:r>
    </w:p>
    <w:p>
      <w:pPr>
        <w:numPr>
          <w:ilvl w:val="0"/>
          <w:numId w:val="1012"/>
        </w:numPr>
        <w:pStyle w:val="Compact"/>
      </w:pPr>
      <w:r>
        <w:rPr>
          <w:bCs/>
          <w:b/>
        </w:rPr>
        <w:t xml:space="preserve">Edad:</w:t>
      </w:r>
      <w:r>
        <w:t xml:space="preserve"> </w:t>
      </w:r>
      <w:r>
        <w:t xml:space="preserve">¿Están presentes adultos mayores, jóvenes y población en edad productiva? •</w:t>
      </w:r>
    </w:p>
    <w:p>
      <w:pPr>
        <w:numPr>
          <w:ilvl w:val="0"/>
          <w:numId w:val="1012"/>
        </w:numPr>
        <w:pStyle w:val="Compact"/>
      </w:pPr>
      <w:r>
        <w:rPr>
          <w:bCs/>
          <w:b/>
        </w:rPr>
        <w:t xml:space="preserve">Género:</w:t>
      </w:r>
      <w:r>
        <w:t xml:space="preserve"> </w:t>
      </w:r>
      <w:r>
        <w:t xml:space="preserve">¿La participación de mujeres y hombres es equilibrada? •</w:t>
      </w:r>
    </w:p>
    <w:p>
      <w:pPr>
        <w:numPr>
          <w:ilvl w:val="0"/>
          <w:numId w:val="1012"/>
        </w:numPr>
        <w:pStyle w:val="Compact"/>
      </w:pPr>
      <w:r>
        <w:rPr>
          <w:bCs/>
          <w:b/>
        </w:rPr>
        <w:t xml:space="preserve">Ubicación geográfica:</w:t>
      </w:r>
      <w:r>
        <w:t xml:space="preserve"> </w:t>
      </w:r>
      <w:r>
        <w:t xml:space="preserve">¿Participan personas de distintos sectores o barrios de la comunidad? •</w:t>
      </w:r>
    </w:p>
    <w:p>
      <w:pPr>
        <w:numPr>
          <w:ilvl w:val="0"/>
          <w:numId w:val="1012"/>
        </w:numPr>
        <w:pStyle w:val="Compact"/>
      </w:pPr>
      <w:r>
        <w:rPr>
          <w:bCs/>
          <w:b/>
        </w:rPr>
        <w:t xml:space="preserve">Actividad económica:</w:t>
      </w:r>
      <w:r>
        <w:t xml:space="preserve"> </w:t>
      </w:r>
      <w:r>
        <w:t xml:space="preserve">¿Están representados distintos grupos según su ocupación (comerciantes, trabajadores agrícolas, amas de casa, etc.)? •</w:t>
      </w:r>
    </w:p>
    <w:p>
      <w:pPr>
        <w:numPr>
          <w:ilvl w:val="0"/>
          <w:numId w:val="1012"/>
        </w:numPr>
        <w:pStyle w:val="Compact"/>
      </w:pPr>
      <w:r>
        <w:rPr>
          <w:bCs/>
          <w:b/>
        </w:rPr>
        <w:t xml:space="preserve">Grupos en situación de vulnerabilidad:</w:t>
      </w:r>
      <w:r>
        <w:t xml:space="preserve"> </w:t>
      </w:r>
      <w:r>
        <w:t xml:space="preserve">¿Hay presencia de personas con discapacidad, migrantes, minorías u otros grupos que suelen quedar excluidos de las convocatorias ordinarias? •</w:t>
      </w:r>
    </w:p>
    <w:p>
      <w:pPr>
        <w:pStyle w:val="FirstParagraph"/>
      </w:pPr>
      <w:r>
        <w:rPr>
          <w:bCs/>
          <w:b/>
        </w:rPr>
        <w:t xml:space="preserve">Punto crítico:</w:t>
      </w:r>
      <w:r>
        <w:t xml:space="preserve"> </w:t>
      </w:r>
      <w:r>
        <w:t xml:space="preserve">La convocatoria gestionada por el liderazgo tiende a reproducir las redes sociales del líder, no la diversidad real de la comunidad. Una participación aparentemente numerosa puede encubrir la exclusión sistemática de sectores enteros.</w:t>
      </w:r>
    </w:p>
    <w:p>
      <w:pPr>
        <w:pStyle w:val="BodyText"/>
      </w:pPr>
      <w:r>
        <w:rPr>
          <w:bCs/>
          <w:b/>
        </w:rPr>
        <w:t xml:space="preserve">Estrategia de campo:</w:t>
      </w:r>
      <w:r>
        <w:t xml:space="preserve"> </w:t>
      </w:r>
      <w:r>
        <w:t xml:space="preserve">Si se detecta la ausencia de alguno de los grupos anteriores, activar las estrategias de convocatoria alternativas definidas en la Fase 2. Documentar en el informe de campo qué grupos estuvieron ausentes y qué acciones se tomaron para incluirlos.</w:t>
      </w:r>
    </w:p>
    <w:bookmarkEnd w:id="48"/>
    <w:bookmarkEnd w:id="49"/>
    <w:bookmarkStart w:id="50" w:name="Xe166ae0ee9e5614e73b0617d8927caf4fe25c69"/>
    <w:p>
      <w:pPr>
        <w:pStyle w:val="Heading3"/>
      </w:pPr>
      <w:r>
        <w:rPr>
          <w:bCs/>
          <w:b/>
        </w:rPr>
        <w:t xml:space="preserve">2. Mapeo de gobernanza, relaciones económicas y poder real</w:t>
      </w:r>
    </w:p>
    <w:p>
      <w:pPr>
        <w:pStyle w:val="FirstParagraph"/>
      </w:pPr>
      <w:r>
        <w:rPr>
          <w:bCs/>
          <w:b/>
        </w:rPr>
        <w:t xml:space="preserve">Acción:</w:t>
      </w:r>
      <w:r>
        <w:t xml:space="preserve"> </w:t>
      </w:r>
      <w:r>
        <w:t xml:space="preserve">Registrar cómo se toman las decisiones (consensos, asambleas o jerarquías), qué redes de intercambio existen y si las mismas están basadas en lazos familiares extendidos, vecinales, amistad o burocracia del Estado.</w:t>
      </w:r>
    </w:p>
    <w:p>
      <w:pPr>
        <w:pStyle w:val="BodyText"/>
      </w:pPr>
      <w:r>
        <w:rPr>
          <w:bCs/>
          <w:b/>
        </w:rPr>
        <w:t xml:space="preserve">Herramienta:</w:t>
      </w:r>
      <w:r>
        <w:t xml:space="preserve"> </w:t>
      </w:r>
      <w:r>
        <w:t xml:space="preserve">Reconocer redes de influencia para mapear los flujos de poder y la autoridad moral dentro de la comunidad.</w:t>
      </w:r>
    </w:p>
    <w:bookmarkEnd w:id="50"/>
    <w:bookmarkStart w:id="51" w:name="Xeaaa7db7c037ff64d55bd3712bb4bbefbcf458e"/>
    <w:p>
      <w:pPr>
        <w:pStyle w:val="Heading3"/>
      </w:pPr>
      <w:r>
        <w:rPr>
          <w:bCs/>
          <w:b/>
        </w:rPr>
        <w:t xml:space="preserve">3. Identificación y gestión de actores de poder informal</w:t>
      </w:r>
    </w:p>
    <w:p>
      <w:pPr>
        <w:pStyle w:val="FirstParagraph"/>
      </w:pPr>
      <w:r>
        <w:rPr>
          <w:bCs/>
          <w:b/>
        </w:rPr>
        <w:t xml:space="preserve">Acción:</w:t>
      </w:r>
      <w:r>
        <w:t xml:space="preserve"> </w:t>
      </w:r>
      <w:r>
        <w:t xml:space="preserve">Aunque el mapeo de gobernanza permite identificar la estructura formal del liderazgo, en muchas comunidades existen actores de poder informal —grupos irregulares, líderes políticos sin cargo explícito, redes de control económico o territorial— que no aparecen en los mapeos previos y que pueden incidir directamente sobre la viabilidad del proyecto. La filial debe desarrollar sensibilidad para detectarlos desde la primera visita.</w:t>
      </w:r>
    </w:p>
    <w:bookmarkEnd w:id="51"/>
    <w:bookmarkStart w:id="52" w:name="señales-de-alerta"/>
    <w:p>
      <w:pPr>
        <w:pStyle w:val="Heading3"/>
      </w:pPr>
      <w:r>
        <w:rPr>
          <w:bCs/>
          <w:b/>
        </w:rPr>
        <w:t xml:space="preserve">Señales de alerta:</w:t>
      </w:r>
    </w:p>
    <w:p>
      <w:pPr>
        <w:numPr>
          <w:ilvl w:val="0"/>
          <w:numId w:val="1013"/>
        </w:numPr>
        <w:pStyle w:val="Compact"/>
      </w:pPr>
      <w:r>
        <w:t xml:space="preserve">Personas sin cargo formal a quienes el liderazgo consulta o pide aprobación antes de tomar decisiones. •</w:t>
      </w:r>
    </w:p>
    <w:p>
      <w:pPr>
        <w:numPr>
          <w:ilvl w:val="0"/>
          <w:numId w:val="1013"/>
        </w:numPr>
        <w:pStyle w:val="Compact"/>
      </w:pPr>
      <w:r>
        <w:t xml:space="preserve">Referencias veladas a</w:t>
      </w:r>
      <w:r>
        <w:t xml:space="preserve"> </w:t>
      </w:r>
      <w:r>
        <w:t xml:space="preserve">“</w:t>
      </w:r>
      <w:r>
        <w:t xml:space="preserve">permisos</w:t>
      </w:r>
      <w:r>
        <w:t xml:space="preserve">”</w:t>
      </w:r>
      <w:r>
        <w:t xml:space="preserve"> </w:t>
      </w:r>
      <w:r>
        <w:t xml:space="preserve">o</w:t>
      </w:r>
      <w:r>
        <w:t xml:space="preserve"> </w:t>
      </w:r>
      <w:r>
        <w:t xml:space="preserve">“</w:t>
      </w:r>
      <w:r>
        <w:t xml:space="preserve">acuerdos</w:t>
      </w:r>
      <w:r>
        <w:t xml:space="preserve">”</w:t>
      </w:r>
      <w:r>
        <w:t xml:space="preserve"> </w:t>
      </w:r>
      <w:r>
        <w:t xml:space="preserve">que deben gestionarse fuera de los canales formales. •</w:t>
      </w:r>
    </w:p>
    <w:p>
      <w:pPr>
        <w:numPr>
          <w:ilvl w:val="0"/>
          <w:numId w:val="1013"/>
        </w:numPr>
        <w:pStyle w:val="Compact"/>
      </w:pPr>
      <w:r>
        <w:t xml:space="preserve">Cambios repentinos de actitud del liderazgo sin explicación aparente. •</w:t>
      </w:r>
    </w:p>
    <w:p>
      <w:pPr>
        <w:numPr>
          <w:ilvl w:val="0"/>
          <w:numId w:val="1013"/>
        </w:numPr>
        <w:pStyle w:val="Compact"/>
      </w:pPr>
      <w:r>
        <w:t xml:space="preserve">Restricciones espontáneas sobre ciertos espacios físicos, horarios o temas de conversación. •</w:t>
      </w:r>
    </w:p>
    <w:p>
      <w:pPr>
        <w:numPr>
          <w:ilvl w:val="0"/>
          <w:numId w:val="1013"/>
        </w:numPr>
        <w:pStyle w:val="Compact"/>
      </w:pPr>
      <w:r>
        <w:t xml:space="preserve">Presencia de personas no identificadas que observan las actividades sin participar. •</w:t>
      </w:r>
    </w:p>
    <w:bookmarkEnd w:id="52"/>
    <w:bookmarkStart w:id="53" w:name="protocolo-de-neutralidad"/>
    <w:p>
      <w:pPr>
        <w:pStyle w:val="Heading3"/>
      </w:pPr>
      <w:r>
        <w:rPr>
          <w:bCs/>
          <w:b/>
        </w:rPr>
        <w:t xml:space="preserve">Protocolo de neutralidad:</w:t>
      </w:r>
    </w:p>
    <w:p>
      <w:pPr>
        <w:numPr>
          <w:ilvl w:val="0"/>
          <w:numId w:val="1014"/>
        </w:numPr>
        <w:pStyle w:val="Compact"/>
      </w:pPr>
      <w:r>
        <w:t xml:space="preserve">No tomar partido ni alinearse públicamente con ningún actor de poder —formal o informal que tenga disputas internas dentro de la comunidad. •</w:t>
      </w:r>
    </w:p>
    <w:p>
      <w:pPr>
        <w:numPr>
          <w:ilvl w:val="0"/>
          <w:numId w:val="1014"/>
        </w:numPr>
        <w:pStyle w:val="Compact"/>
      </w:pPr>
      <w:r>
        <w:t xml:space="preserve">Evitar que el proyecto sea asociado con una facción política, religiosa o económica específica. •</w:t>
      </w:r>
    </w:p>
    <w:p>
      <w:pPr>
        <w:numPr>
          <w:ilvl w:val="0"/>
          <w:numId w:val="1014"/>
        </w:numPr>
        <w:pStyle w:val="Compact"/>
      </w:pPr>
      <w:r>
        <w:t xml:space="preserve">Si un actor informal condiciona el acceso o la continuidad del proyecto, documentar el hecho internamente y escalar a la coordinación de la filial antes de tomar cualquier decisión. •</w:t>
      </w:r>
    </w:p>
    <w:p>
      <w:pPr>
        <w:numPr>
          <w:ilvl w:val="0"/>
          <w:numId w:val="1014"/>
        </w:numPr>
        <w:pStyle w:val="Compact"/>
      </w:pPr>
      <w:r>
        <w:t xml:space="preserve">En caso de materializarse algún acuerdo con autoridades no estatales, el mismo debe ser abierto y comunicado a las autoridades del Estado. Igualmente, los acuerdos con instituciones o funcionarios del Estado deben ser comunicados a las autoridades no oficiales cuando estas tengan control total o parcial sobre la zona. •</w:t>
      </w:r>
    </w:p>
    <w:p>
      <w:pPr>
        <w:pStyle w:val="FirstParagraph"/>
      </w:pPr>
      <w:r>
        <w:rPr>
          <w:bCs/>
          <w:b/>
        </w:rPr>
        <w:t xml:space="preserve">Estrategia de campo:</w:t>
      </w:r>
      <w:r>
        <w:t xml:space="preserve"> </w:t>
      </w:r>
      <w:r>
        <w:t xml:space="preserve">Ante la presencia de actores de poder informal, la postura de la filial es de observación activa. El objetivo es comprender su rol sin ceder ante condiciones que comprometan la neutralidad institucional o la seguridad del equipo.</w:t>
      </w:r>
    </w:p>
    <w:p>
      <w:pPr>
        <w:pStyle w:val="BodyText"/>
      </w:pPr>
      <w:r>
        <w:rPr>
          <w:bCs/>
          <w:b/>
        </w:rPr>
        <w:t xml:space="preserve">Punto crítico:</w:t>
      </w:r>
      <w:r>
        <w:t xml:space="preserve"> </w:t>
      </w:r>
      <w:r>
        <w:t xml:space="preserve">Si la presencia de estos grupos representa un riesgo para el equipo o la comunidad, debe activarse el protocolo de seguridad de la filial.</w:t>
      </w:r>
    </w:p>
    <w:bookmarkEnd w:id="53"/>
    <w:bookmarkStart w:id="54" w:name="X3d828d73ebdba26d4ecab26700b5c9def5d6864"/>
    <w:p>
      <w:pPr>
        <w:pStyle w:val="Heading3"/>
      </w:pPr>
      <w:r>
        <w:rPr>
          <w:bCs/>
          <w:b/>
        </w:rPr>
        <w:t xml:space="preserve">4. Acercamiento al problema, amenazas y análisis de contexto</w:t>
      </w:r>
    </w:p>
    <w:p>
      <w:pPr>
        <w:pStyle w:val="FirstParagraph"/>
      </w:pPr>
      <w:r>
        <w:rPr>
          <w:bCs/>
          <w:b/>
        </w:rPr>
        <w:t xml:space="preserve">Acción:</w:t>
      </w:r>
      <w:r>
        <w:t xml:space="preserve"> </w:t>
      </w:r>
      <w:r>
        <w:t xml:space="preserve">Antes de presentar cualquier propuesta, el equipo debe documentar cómo la comunidad resuelve actualmente el problema que la CRV busca enfrentar. Este análisis debe hacerse con base en aquello que la comunidad ya hace bien, preguntar por qué lo hace de ese modo, y solo entonces proponer complementos o mejoras.</w:t>
      </w:r>
    </w:p>
    <w:p>
      <w:pPr>
        <w:pStyle w:val="BodyText"/>
      </w:pPr>
      <w:r>
        <w:rPr>
          <w:bCs/>
          <w:b/>
        </w:rPr>
        <w:t xml:space="preserve">Acción:</w:t>
      </w:r>
      <w:r>
        <w:t xml:space="preserve"> </w:t>
      </w:r>
      <w:r>
        <w:t xml:space="preserve">Identificar los eventos naturales, económicos y socioculturales que se repiten en el tiempo.</w:t>
      </w:r>
    </w:p>
    <w:p>
      <w:pPr>
        <w:pStyle w:val="BodyText"/>
      </w:pPr>
      <w:r>
        <w:rPr>
          <w:bCs/>
          <w:b/>
        </w:rPr>
        <w:t xml:space="preserve">Estrategia de campo:</w:t>
      </w:r>
      <w:r>
        <w:t xml:space="preserve"> </w:t>
      </w:r>
      <w:r>
        <w:t xml:space="preserve">Ser conscientes de la historia y los ciclos estacionales de la comunidad. Usar la memoria de la comunidad para entender los peligros actuales.</w:t>
      </w:r>
    </w:p>
    <w:bookmarkEnd w:id="54"/>
    <w:bookmarkStart w:id="55" w:name="herramientas-de-protección"/>
    <w:p>
      <w:pPr>
        <w:pStyle w:val="Heading3"/>
      </w:pPr>
      <w:r>
        <w:rPr>
          <w:bCs/>
          <w:b/>
        </w:rPr>
        <w:t xml:space="preserve">5. Herramientas de protección</w:t>
      </w:r>
    </w:p>
    <w:p>
      <w:pPr>
        <w:pStyle w:val="FirstParagraph"/>
      </w:pPr>
      <w:r>
        <w:rPr>
          <w:bCs/>
          <w:b/>
        </w:rPr>
        <w:t xml:space="preserve">Acción:</w:t>
      </w:r>
      <w:r>
        <w:t xml:space="preserve"> </w:t>
      </w:r>
      <w:r>
        <w:t xml:space="preserve">Hacer entrevistas cara a cara con informantes clave para temas de migración, violencia sexual, violencia armada o temas delicados.</w:t>
      </w:r>
    </w:p>
    <w:p>
      <w:pPr>
        <w:pStyle w:val="BodyText"/>
      </w:pPr>
      <w:r>
        <w:rPr>
          <w:bCs/>
          <w:b/>
        </w:rPr>
        <w:t xml:space="preserve">Restricción:</w:t>
      </w:r>
      <w:r>
        <w:t xml:space="preserve"> </w:t>
      </w:r>
      <w:r>
        <w:t xml:space="preserve">Prohibido usar grupos focales para estos temas o entrevistas sin la debida privacidad. El riesgo de revictimización o delación es alto.</w:t>
      </w:r>
    </w:p>
    <w:p>
      <w:pPr>
        <w:pStyle w:val="BodyText"/>
      </w:pPr>
      <w:r>
        <w:rPr>
          <w:bCs/>
          <w:b/>
        </w:rPr>
        <w:t xml:space="preserve">Estrategia de campo:</w:t>
      </w:r>
      <w:r>
        <w:t xml:space="preserve"> </w:t>
      </w:r>
      <w:r>
        <w:t xml:space="preserve">Asegurar la presencia de mujeres en el equipo de la filial que visita la comunidad.</w:t>
      </w:r>
    </w:p>
    <w:p>
      <w:pPr>
        <w:pStyle w:val="BodyText"/>
      </w:pPr>
      <w:r>
        <w:rPr>
          <w:bCs/>
          <w:b/>
        </w:rPr>
        <w:t xml:space="preserve">Herramienta:</w:t>
      </w:r>
      <w:r>
        <w:t xml:space="preserve"> </w:t>
      </w:r>
      <w:r>
        <w:t xml:space="preserve">Mapeo de vulnerabilidades (dónde viven las personas que ameritan los servicios de protección).</w:t>
      </w:r>
    </w:p>
    <w:bookmarkEnd w:id="55"/>
    <w:bookmarkStart w:id="56" w:name="X6f4b2a0a0ce47c66716dcf60c7dffd9028790af"/>
    <w:p>
      <w:pPr>
        <w:pStyle w:val="Heading3"/>
      </w:pPr>
      <w:r>
        <w:rPr>
          <w:bCs/>
          <w:b/>
        </w:rPr>
        <w:t xml:space="preserve">6. Gestión de la presencia del liderazgo en espacios grupales</w:t>
      </w:r>
    </w:p>
    <w:p>
      <w:pPr>
        <w:pStyle w:val="FirstParagraph"/>
      </w:pPr>
      <w:r>
        <w:rPr>
          <w:bCs/>
          <w:b/>
        </w:rPr>
        <w:t xml:space="preserve">Acción:</w:t>
      </w:r>
      <w:r>
        <w:t xml:space="preserve"> </w:t>
      </w:r>
      <w:r>
        <w:t xml:space="preserve">La filial debe evaluar, en cada actividad grupal, si la presencia de líderes comunitarios o autoridades locales está favoreciendo o inhibiendo la participación libre del resto de los asistentes. No todos los temas requieren la ausencia del liderazgo, pero hay situaciones donde su presencia genera un ambiente de autocensura que reduce tanto la calidad de la información obtenida como la participación efectiva.</w:t>
      </w:r>
    </w:p>
    <w:bookmarkEnd w:id="56"/>
    <w:bookmarkStart w:id="57" w:name="señales-de-alerta-1"/>
    <w:p>
      <w:pPr>
        <w:pStyle w:val="Heading3"/>
      </w:pPr>
      <w:r>
        <w:rPr>
          <w:bCs/>
          <w:b/>
        </w:rPr>
        <w:t xml:space="preserve">Señales de alerta:</w:t>
      </w:r>
    </w:p>
    <w:p>
      <w:pPr>
        <w:numPr>
          <w:ilvl w:val="0"/>
          <w:numId w:val="1015"/>
        </w:numPr>
        <w:pStyle w:val="Compact"/>
      </w:pPr>
      <w:r>
        <w:t xml:space="preserve">Los participantes responden brevemente o remiten sus respuestas al líder presente. •</w:t>
      </w:r>
    </w:p>
    <w:p>
      <w:pPr>
        <w:numPr>
          <w:ilvl w:val="0"/>
          <w:numId w:val="1015"/>
        </w:numPr>
        <w:pStyle w:val="Compact"/>
      </w:pPr>
      <w:r>
        <w:t xml:space="preserve">Solo hablan las mismas personas, generalmente el líder o su entorno cercano. •</w:t>
      </w:r>
    </w:p>
    <w:p>
      <w:pPr>
        <w:numPr>
          <w:ilvl w:val="0"/>
          <w:numId w:val="1015"/>
        </w:numPr>
        <w:pStyle w:val="Compact"/>
      </w:pPr>
      <w:r>
        <w:t xml:space="preserve">El grupo muestra signos de incomodidad o evita ciertos temas cuando el líder está presente. •</w:t>
      </w:r>
    </w:p>
    <w:p>
      <w:pPr>
        <w:numPr>
          <w:ilvl w:val="0"/>
          <w:numId w:val="1015"/>
        </w:numPr>
        <w:pStyle w:val="Compact"/>
      </w:pPr>
      <w:r>
        <w:t xml:space="preserve">El líder responde en nombre del grupo sin que se lo soliciten. •</w:t>
      </w:r>
    </w:p>
    <w:bookmarkEnd w:id="57"/>
    <w:bookmarkStart w:id="58" w:name="estrategia-de-campo"/>
    <w:p>
      <w:pPr>
        <w:pStyle w:val="Heading3"/>
      </w:pPr>
      <w:r>
        <w:rPr>
          <w:bCs/>
          <w:b/>
        </w:rPr>
        <w:t xml:space="preserve">Estrategia de campo:</w:t>
      </w:r>
    </w:p>
    <w:p>
      <w:pPr>
        <w:numPr>
          <w:ilvl w:val="0"/>
          <w:numId w:val="1016"/>
        </w:numPr>
        <w:pStyle w:val="Compact"/>
      </w:pPr>
      <w:r>
        <w:t xml:space="preserve">Para la presentación del proyecto o diagnóstico general, la presencia del liderazgo es válida y recomendable. •</w:t>
      </w:r>
    </w:p>
    <w:p>
      <w:pPr>
        <w:numPr>
          <w:ilvl w:val="0"/>
          <w:numId w:val="1016"/>
        </w:numPr>
        <w:pStyle w:val="Compact"/>
      </w:pPr>
      <w:r>
        <w:t xml:space="preserve">Para temas de diagnóstico de problemas internos, conflictos comunitarios o evaluación de proyectos anteriores, planificar espacios de trabajo separados: un grupo con el liderazgo y otro con el resto de la comunidad, de forma simultánea o en momentos distintos. •</w:t>
      </w:r>
    </w:p>
    <w:p>
      <w:pPr>
        <w:numPr>
          <w:ilvl w:val="0"/>
          <w:numId w:val="1016"/>
        </w:numPr>
        <w:pStyle w:val="Compact"/>
      </w:pPr>
      <w:r>
        <w:t xml:space="preserve">En actividades de formación, diseñar dinámicas que permitan la expresión individual: tarjetas de respuesta anónima, trabajo en grupos pequeños sin presencia del líder, plenarias con facilitación activa. •</w:t>
      </w:r>
    </w:p>
    <w:p>
      <w:pPr>
        <w:pStyle w:val="FirstParagraph"/>
      </w:pPr>
      <w:r>
        <w:rPr>
          <w:bCs/>
          <w:b/>
        </w:rPr>
        <w:t xml:space="preserve">Punto crítico:</w:t>
      </w:r>
      <w:r>
        <w:t xml:space="preserve"> </w:t>
      </w:r>
      <w:r>
        <w:t xml:space="preserve">El silencio en presencia del liderazgo no siempre es visible. A veces el grupo parece participativo, pero los temas más relevantes nunca se abordan porque existe un acuerdo tácito sobre lo que</w:t>
      </w:r>
      <w:r>
        <w:t xml:space="preserve"> </w:t>
      </w:r>
      <w:r>
        <w:t xml:space="preserve">“</w:t>
      </w:r>
      <w:r>
        <w:t xml:space="preserve">puede</w:t>
      </w:r>
      <w:r>
        <w:t xml:space="preserve">”</w:t>
      </w:r>
      <w:r>
        <w:t xml:space="preserve"> </w:t>
      </w:r>
      <w:r>
        <w:t xml:space="preserve">decirse. El equipo facilitador debe distinguir entre participación real y participación performativa.</w:t>
      </w:r>
    </w:p>
    <w:bookmarkEnd w:id="58"/>
    <w:bookmarkStart w:id="59" w:name="X0feb940e500c1d64d01254e53cf4f04f822e397"/>
    <w:p>
      <w:pPr>
        <w:pStyle w:val="Heading3"/>
      </w:pPr>
      <w:r>
        <w:rPr>
          <w:bCs/>
          <w:b/>
        </w:rPr>
        <w:t xml:space="preserve">7. Apropiación y adaptación local de herramientas técnicas</w:t>
      </w:r>
    </w:p>
    <w:p>
      <w:pPr>
        <w:pStyle w:val="FirstParagraph"/>
      </w:pPr>
      <w:r>
        <w:rPr>
          <w:bCs/>
          <w:b/>
        </w:rPr>
        <w:t xml:space="preserve">Acción:</w:t>
      </w:r>
      <w:r>
        <w:t xml:space="preserve"> </w:t>
      </w:r>
      <w:r>
        <w:t xml:space="preserve">Cuando el proyecto contempla la implementación de herramientas técnicas sistemas de alerta temprana, instrumentos de medición, protocolos de respuesta u otras tecnologías de gestión del riesgo— la filial debe verificar que estas herramientas son comprensibles, operables y sostenibles en el contexto específico de la comunidad. Las herramientas diseñadas en contextos externos tienden a llegar al terreno sin adaptación, generando comprensión superficial y abandono progresivo una vez que el equipo de la filial se retira.</w:t>
      </w:r>
    </w:p>
    <w:bookmarkEnd w:id="59"/>
    <w:bookmarkStart w:id="61" w:name="criterios-de-apropiación"/>
    <w:p>
      <w:pPr>
        <w:pStyle w:val="Heading3"/>
      </w:pPr>
      <w:r>
        <w:rPr>
          <w:bCs/>
          <w:b/>
        </w:rPr>
        <w:t xml:space="preserve">Criterios de apropiación:</w:t>
      </w:r>
    </w:p>
    <w:p>
      <w:pPr>
        <w:numPr>
          <w:ilvl w:val="0"/>
          <w:numId w:val="1017"/>
        </w:numPr>
        <w:pStyle w:val="Compact"/>
      </w:pPr>
      <w:r>
        <w:rPr>
          <w:bCs/>
          <w:b/>
        </w:rPr>
        <w:t xml:space="preserve">Comprensión funcional:</w:t>
      </w:r>
      <w:r>
        <w:t xml:space="preserve"> </w:t>
      </w:r>
      <w:r>
        <w:t xml:space="preserve">Los participantes pueden explicar con sus propias palabras para qué sirve la herramienta y cómo se usa, sin recurrir a la terminología técnica del proyecto. •</w:t>
      </w:r>
    </w:p>
    <w:p>
      <w:pPr>
        <w:numPr>
          <w:ilvl w:val="0"/>
          <w:numId w:val="1017"/>
        </w:numPr>
        <w:pStyle w:val="Compact"/>
      </w:pPr>
      <w:r>
        <w:rPr>
          <w:bCs/>
          <w:b/>
        </w:rPr>
        <w:t xml:space="preserve">Operación autónoma:</w:t>
      </w:r>
      <w:r>
        <w:t xml:space="preserve"> </w:t>
      </w:r>
      <w:r>
        <w:t xml:space="preserve">Al menos dos personas en la comunidad son capaces de operar la herramienta sin asistencia externa. •</w:t>
      </w:r>
    </w:p>
    <w:p>
      <w:pPr>
        <w:numPr>
          <w:ilvl w:val="0"/>
          <w:numId w:val="1017"/>
        </w:numPr>
        <w:pStyle w:val="Compact"/>
      </w:pPr>
      <w:r>
        <w:rPr>
          <w:bCs/>
          <w:b/>
        </w:rPr>
        <w:t xml:space="preserve">Mantenimiento local:</w:t>
      </w:r>
      <w:r>
        <w:t xml:space="preserve"> </w:t>
      </w:r>
      <w:r>
        <w:t xml:space="preserve">La comunidad puede realizar el mantenimiento básico con los recursos y conocimientos disponibles localmente. •</w:t>
      </w:r>
    </w:p>
    <w:p>
      <w:pPr>
        <w:numPr>
          <w:ilvl w:val="0"/>
          <w:numId w:val="1017"/>
        </w:numPr>
        <w:pStyle w:val="Compact"/>
      </w:pPr>
      <w:r>
        <w:rPr>
          <w:bCs/>
          <w:b/>
        </w:rPr>
        <w:t xml:space="preserve">Pertinencia percibida:</w:t>
      </w:r>
      <w:r>
        <w:t xml:space="preserve"> </w:t>
      </w:r>
      <w:r>
        <w:t xml:space="preserve">La comunidad considera que la herramienta responde a un problema real y prioritario para ella, no solo a un requerimiento del proyecto. •</w:t>
      </w:r>
    </w:p>
    <w:bookmarkStart w:id="60" w:name="protocolo-de-co-adaptación"/>
    <w:p>
      <w:pPr>
        <w:pStyle w:val="Heading4"/>
      </w:pPr>
      <w:r>
        <w:rPr>
          <w:bCs/>
          <w:b/>
        </w:rPr>
        <w:t xml:space="preserve">Protocolo de co-adaptación:</w:t>
      </w:r>
    </w:p>
    <w:p>
      <w:pPr>
        <w:pStyle w:val="FirstParagraph"/>
      </w:pPr>
      <w:r>
        <w:t xml:space="preserve">Antes de introducir cualquier herramienta técnica, presentarla en términos del problema concreto que resuelve, usando ejemplos y lenguaje locales. •</w:t>
      </w:r>
    </w:p>
    <w:p>
      <w:pPr>
        <w:numPr>
          <w:ilvl w:val="0"/>
          <w:numId w:val="1018"/>
        </w:numPr>
        <w:pStyle w:val="Compact"/>
      </w:pPr>
      <w:r>
        <w:t xml:space="preserve">Involucrar a miembros de la comunidad en la definición de cómo se usará en su contexto: qué ajustes requiere, quién la operará, dónde se resguardará y cómo se activará. •</w:t>
      </w:r>
    </w:p>
    <w:p>
      <w:pPr>
        <w:numPr>
          <w:ilvl w:val="0"/>
          <w:numId w:val="1018"/>
        </w:numPr>
        <w:pStyle w:val="Compact"/>
      </w:pPr>
      <w:r>
        <w:t xml:space="preserve">Realizar al menos una práctica supervisada y una práctica autónoma antes de dar por transferida la herramienta. •</w:t>
      </w:r>
    </w:p>
    <w:p>
      <w:pPr>
        <w:pStyle w:val="FirstParagraph"/>
      </w:pPr>
      <w:r>
        <w:rPr>
          <w:bCs/>
          <w:b/>
        </w:rPr>
        <w:t xml:space="preserve">Punto crítico:</w:t>
      </w:r>
      <w:r>
        <w:t xml:space="preserve"> </w:t>
      </w:r>
      <w:r>
        <w:t xml:space="preserve">Una herramienta técnica instalada pero no apropiada es un indicador de fracaso operativo real. El riesgo es mayor con sistemas complejos —como los SAT— que requieren coordinación entre múltiples actores, mantenimiento continuo y comprensión de cadenas de alerta diseñadas frecuentemente fuera del contexto local.</w:t>
      </w:r>
    </w:p>
    <w:bookmarkEnd w:id="60"/>
    <w:bookmarkEnd w:id="61"/>
    <w:bookmarkStart w:id="62" w:name="validación-cultural"/>
    <w:p>
      <w:pPr>
        <w:pStyle w:val="Heading3"/>
      </w:pPr>
      <w:r>
        <w:rPr>
          <w:bCs/>
          <w:b/>
        </w:rPr>
        <w:t xml:space="preserve">8. Validación cultural</w:t>
      </w:r>
    </w:p>
    <w:p>
      <w:pPr>
        <w:pStyle w:val="FirstParagraph"/>
      </w:pPr>
      <w:r>
        <w:rPr>
          <w:bCs/>
          <w:b/>
        </w:rPr>
        <w:t xml:space="preserve">Acción:</w:t>
      </w:r>
      <w:r>
        <w:t xml:space="preserve"> </w:t>
      </w:r>
      <w:r>
        <w:t xml:space="preserve">Entrevistar a personas que habiten en distintos sectores y que representen diversas funciones económicas o profesionales, que pertenezcan a diferentes grupos de edad tanto hombres como mujeres.</w:t>
      </w:r>
    </w:p>
    <w:p>
      <w:pPr>
        <w:pStyle w:val="BodyText"/>
      </w:pPr>
      <w:r>
        <w:rPr>
          <w:bCs/>
          <w:b/>
        </w:rPr>
        <w:t xml:space="preserve">Estrategia de campo:</w:t>
      </w:r>
      <w:r>
        <w:t xml:space="preserve"> </w:t>
      </w:r>
      <w:r>
        <w:t xml:space="preserve">Anticipar conflictos con el objetivo de evitar que el proyecto sea bloqueado por un malentendido cultural (ej. proponer reuniones en días sagrados o usar terminología de salud que choque con creencias espirituales). La validación cultural es especialmente útil en comunidades indígenas y en proyectos relacionados con salud sexual y reproductiva.</w:t>
      </w:r>
    </w:p>
    <w:bookmarkEnd w:id="62"/>
    <w:bookmarkStart w:id="64" w:name="X7ec6836d27c9212d4938e30d5c2f9f0a2bc1a90"/>
    <w:p>
      <w:pPr>
        <w:pStyle w:val="Heading3"/>
      </w:pPr>
      <w:r>
        <w:rPr>
          <w:bCs/>
          <w:b/>
        </w:rPr>
        <w:t xml:space="preserve">9. Protocolo de pausa o salida responsable de la comunidad</w:t>
      </w:r>
    </w:p>
    <w:p>
      <w:pPr>
        <w:pStyle w:val="FirstParagraph"/>
      </w:pPr>
      <w:r>
        <w:rPr>
          <w:bCs/>
          <w:b/>
        </w:rPr>
        <w:t xml:space="preserve">Acción:</w:t>
      </w:r>
      <w:r>
        <w:t xml:space="preserve"> </w:t>
      </w:r>
      <w:r>
        <w:t xml:space="preserve">La filial debe establecer, antes de iniciar el trabajo en terreno, cuáles son los umbrales mínimos de viabilidad operativa. Si estos umbrales no se cumplen de forma sostenida durante la implementación, debe evaluarse formalmente si corresponde pausar, redirigir o cerrar el trabajo en esa comunidad.</w:t>
      </w:r>
    </w:p>
    <w:bookmarkStart w:id="63" w:name="criterios-para-activar-la-evaluación"/>
    <w:p>
      <w:pPr>
        <w:pStyle w:val="Heading4"/>
      </w:pPr>
      <w:r>
        <w:rPr>
          <w:bCs/>
          <w:b/>
        </w:rPr>
        <w:t xml:space="preserve">Criterios para activar la evaluación:</w:t>
      </w:r>
    </w:p>
    <w:p>
      <w:pPr>
        <w:numPr>
          <w:ilvl w:val="0"/>
          <w:numId w:val="1019"/>
        </w:numPr>
        <w:pStyle w:val="Compact"/>
      </w:pPr>
      <w:r>
        <w:t xml:space="preserve">La participación cae consistentemente por debajo del umbral mínimo acordado en la Fase 2 en dos o más actividades consecutivas, sin que las estrategias alternativas hayan producido mejora. •</w:t>
      </w:r>
    </w:p>
    <w:p>
      <w:pPr>
        <w:numPr>
          <w:ilvl w:val="0"/>
          <w:numId w:val="1019"/>
        </w:numPr>
        <w:pStyle w:val="Compact"/>
      </w:pPr>
      <w:r>
        <w:t xml:space="preserve">El liderazgo comunitario retira su aval o adopta una postura de obstrucción activa hacia el proyecto. •</w:t>
      </w:r>
    </w:p>
    <w:p>
      <w:pPr>
        <w:numPr>
          <w:ilvl w:val="0"/>
          <w:numId w:val="1019"/>
        </w:numPr>
        <w:pStyle w:val="Compact"/>
      </w:pPr>
      <w:r>
        <w:t xml:space="preserve">Emergen condiciones de seguridad que comprometen la integridad del equipo o de los participantes. •</w:t>
      </w:r>
    </w:p>
    <w:p>
      <w:pPr>
        <w:numPr>
          <w:ilvl w:val="0"/>
          <w:numId w:val="1019"/>
        </w:numPr>
        <w:pStyle w:val="Compact"/>
      </w:pPr>
      <w:r>
        <w:t xml:space="preserve">La comunidad manifiesta de forma explícita su desinterés o rechazo hacia el proyecto. •</w:t>
      </w:r>
    </w:p>
    <w:p>
      <w:pPr>
        <w:numPr>
          <w:ilvl w:val="0"/>
          <w:numId w:val="1019"/>
        </w:numPr>
        <w:pStyle w:val="Compact"/>
      </w:pPr>
      <w:r>
        <w:t xml:space="preserve">Se identifican conflictos internos tan profundos que hacen inviable un trabajo neutral por parte de la filial. •</w:t>
      </w:r>
    </w:p>
    <w:bookmarkEnd w:id="63"/>
    <w:bookmarkEnd w:id="64"/>
    <w:bookmarkStart w:id="65" w:name="opciones-de-respuesta"/>
    <w:p>
      <w:pPr>
        <w:pStyle w:val="Heading3"/>
      </w:pPr>
      <w:r>
        <w:rPr>
          <w:bCs/>
          <w:b/>
        </w:rPr>
        <w:t xml:space="preserve">Opciones de respuesta:</w:t>
      </w:r>
    </w:p>
    <w:p>
      <w:pPr>
        <w:numPr>
          <w:ilvl w:val="0"/>
          <w:numId w:val="1020"/>
        </w:numPr>
        <w:pStyle w:val="Compact"/>
      </w:pPr>
      <w:r>
        <w:rPr>
          <w:bCs/>
          <w:b/>
        </w:rPr>
        <w:t xml:space="preserve">Pausa temporal:</w:t>
      </w:r>
      <w:r>
        <w:t xml:space="preserve"> </w:t>
      </w:r>
      <w:r>
        <w:t xml:space="preserve">Si el problema es coyuntural —contexto político adverso, período de alta actividad comunitaria, conflicto transitorio— suspender las actividades por un período y establecer una fecha de reevaluación. •</w:t>
      </w:r>
    </w:p>
    <w:p>
      <w:pPr>
        <w:numPr>
          <w:ilvl w:val="0"/>
          <w:numId w:val="1020"/>
        </w:numPr>
        <w:pStyle w:val="Compact"/>
      </w:pPr>
      <w:r>
        <w:rPr>
          <w:bCs/>
          <w:b/>
        </w:rPr>
        <w:t xml:space="preserve">Redirección:</w:t>
      </w:r>
      <w:r>
        <w:t xml:space="preserve"> </w:t>
      </w:r>
      <w:r>
        <w:t xml:space="preserve">Si el problema es de pertinencia, explorar si la intervención puede reorientarse dentro del mandato de la filial hacia lo que la comunidad efectivamente necesita. •</w:t>
      </w:r>
    </w:p>
    <w:p>
      <w:pPr>
        <w:numPr>
          <w:ilvl w:val="0"/>
          <w:numId w:val="1020"/>
        </w:numPr>
        <w:pStyle w:val="Compact"/>
      </w:pPr>
      <w:r>
        <w:rPr>
          <w:bCs/>
          <w:b/>
        </w:rPr>
        <w:t xml:space="preserve">Cierre responsable:</w:t>
      </w:r>
      <w:r>
        <w:t xml:space="preserve"> </w:t>
      </w:r>
      <w:r>
        <w:t xml:space="preserve">Si las condiciones no permiten continuar, cerrar el trabajo de forma ordenada: informar al liderazgo, documentar los avances alcanzados, sistematizar las lecciones aprendidas y registrar los contactos establecidos para facilitar una futura reactivación. •</w:t>
      </w:r>
    </w:p>
    <w:p>
      <w:pPr>
        <w:pStyle w:val="FirstParagraph"/>
      </w:pPr>
      <w:r>
        <w:rPr>
          <w:bCs/>
          <w:b/>
        </w:rPr>
        <w:t xml:space="preserve">Punto crítico:</w:t>
      </w:r>
      <w:r>
        <w:t xml:space="preserve"> </w:t>
      </w:r>
      <w:r>
        <w:t xml:space="preserve">Salir de una comunidad sin un protocolo de cierre puede dañar la reputación de la CRV y dificultar el acceso futuro. Una salida responsable mantiene el vínculo institucional y deja abierta la posibilidad de retomar el trabajo cuando las condiciones mejoren.</w:t>
      </w:r>
    </w:p>
    <w:bookmarkEnd w:id="65"/>
    <w:bookmarkStart w:id="71" w:name="fase-4-consolidación-2-secciones"/>
    <w:p>
      <w:pPr>
        <w:pStyle w:val="Heading2"/>
      </w:pPr>
      <w:r>
        <w:rPr>
          <w:bCs/>
          <w:b/>
        </w:rPr>
        <w:t xml:space="preserve">Fase 4: Consolidación</w:t>
      </w:r>
      <w:r>
        <w:t xml:space="preserve"> </w:t>
      </w:r>
      <w:r>
        <w:t xml:space="preserve">2 secciones</w:t>
      </w:r>
    </w:p>
    <w:p>
      <w:pPr>
        <w:pStyle w:val="FirstParagraph"/>
      </w:pPr>
      <w:r>
        <w:rPr>
          <w:bCs/>
          <w:b/>
        </w:rPr>
        <w:t xml:space="preserve">Objetivo:</w:t>
      </w:r>
      <w:r>
        <w:t xml:space="preserve"> </w:t>
      </w:r>
      <w:r>
        <w:t xml:space="preserve">Sistematizar los hallazgos para la toma de decisiones presupuestarias, técnicas y de seguridad de la organización.</w:t>
      </w:r>
    </w:p>
    <w:bookmarkStart w:id="67" w:name="síntesis-y-triangulación-de-inteligencia"/>
    <w:p>
      <w:pPr>
        <w:pStyle w:val="Heading3"/>
      </w:pPr>
      <w:r>
        <w:rPr>
          <w:bCs/>
          <w:b/>
        </w:rPr>
        <w:t xml:space="preserve">1. Síntesis y triangulación de inteligencia</w:t>
      </w:r>
    </w:p>
    <w:p>
      <w:pPr>
        <w:pStyle w:val="FirstParagraph"/>
      </w:pPr>
      <w:r>
        <w:rPr>
          <w:bCs/>
          <w:b/>
        </w:rPr>
        <w:t xml:space="preserve">Acción:</w:t>
      </w:r>
      <w:r>
        <w:t xml:space="preserve"> </w:t>
      </w:r>
      <w:r>
        <w:t xml:space="preserve">Antes de escribir el informe final, el equipo debe triangular la información obtenida para asegurar que cada hallazgo esté validado por al menos 3 fuentes. Cuando existe contradicción entre estas fuentes, el informe debe documentarla explícitamente sin pretender resolverla a favor de una de ellas.</w:t>
      </w:r>
    </w:p>
    <w:p>
      <w:pPr>
        <w:pStyle w:val="BodyText"/>
      </w:pPr>
      <w:r>
        <w:rPr>
          <w:bCs/>
          <w:b/>
        </w:rPr>
        <w:t xml:space="preserve">Lenguaje:</w:t>
      </w:r>
      <w:r>
        <w:t xml:space="preserve"> </w:t>
      </w:r>
      <w:r>
        <w:t xml:space="preserve">Transformar los hallazgos en afirmaciones positivas y acciones en concreto. En lugar de limitarse a describir carencias, las conclusiones deben establecer vínculos positivos entre los problemas detectados y los recursos potenciales, rescatando siempre las ideas originales de la comunidad para que esta se reconozca en el informe. Por ejemplo, en lugar de concluir que</w:t>
      </w:r>
      <w:r>
        <w:t xml:space="preserve"> </w:t>
      </w:r>
      <w:r>
        <w:t xml:space="preserve">“</w:t>
      </w:r>
      <w:r>
        <w:t xml:space="preserve">la comunidad carece de liderazgo en el área de salud</w:t>
      </w:r>
      <w:r>
        <w:t xml:space="preserve">”</w:t>
      </w:r>
      <w:r>
        <w:t xml:space="preserve">, el informe debe afirmar que</w:t>
      </w:r>
      <w:r>
        <w:t xml:space="preserve"> </w:t>
      </w:r>
      <w:r>
        <w:t xml:space="preserve">“</w:t>
      </w:r>
      <w:r>
        <w:t xml:space="preserve">Existe una valiosa oportunidad para fortalecer al comité local de salud y conectarlo con el ambulatorio más cercano</w:t>
      </w:r>
      <w:r>
        <w:t xml:space="preserve">”</w:t>
      </w:r>
      <w:r>
        <w:t xml:space="preserve">.</w:t>
      </w:r>
    </w:p>
    <w:bookmarkStart w:id="66" w:name="puntos-críticos"/>
    <w:p>
      <w:pPr>
        <w:pStyle w:val="Heading4"/>
      </w:pPr>
      <w:r>
        <w:rPr>
          <w:bCs/>
          <w:b/>
        </w:rPr>
        <w:t xml:space="preserve">Puntos críticos:</w:t>
      </w:r>
    </w:p>
    <w:p>
      <w:pPr>
        <w:pStyle w:val="FirstParagraph"/>
      </w:pPr>
      <w:r>
        <w:t xml:space="preserve">Las conclusiones deben reflejar las prioridades de la comunidad, no los deseos de la CRV o de terceros con intereses en la intervención. •</w:t>
      </w:r>
    </w:p>
    <w:p>
      <w:pPr>
        <w:numPr>
          <w:ilvl w:val="0"/>
          <w:numId w:val="1021"/>
        </w:numPr>
        <w:pStyle w:val="Compact"/>
      </w:pPr>
      <w:r>
        <w:t xml:space="preserve">Si los</w:t>
      </w:r>
      <w:r>
        <w:t xml:space="preserve"> </w:t>
      </w:r>
      <w:r>
        <w:t xml:space="preserve">“</w:t>
      </w:r>
      <w:r>
        <w:t xml:space="preserve">interesados</w:t>
      </w:r>
      <w:r>
        <w:t xml:space="preserve">”</w:t>
      </w:r>
      <w:r>
        <w:t xml:space="preserve"> </w:t>
      </w:r>
      <w:r>
        <w:t xml:space="preserve">no ven reflejada su voz, se incrementa el riesgo de expulsión o desinterés por la iniciativa. •</w:t>
      </w:r>
    </w:p>
    <w:p>
      <w:pPr>
        <w:numPr>
          <w:ilvl w:val="0"/>
          <w:numId w:val="1021"/>
        </w:numPr>
        <w:pStyle w:val="Compact"/>
      </w:pPr>
      <w:r>
        <w:t xml:space="preserve">La CRV clasifica los problemas detectados en la comunidad según su mandato y capacidad de acción. •</w:t>
      </w:r>
    </w:p>
    <w:p>
      <w:pPr>
        <w:numPr>
          <w:ilvl w:val="0"/>
          <w:numId w:val="1021"/>
        </w:numPr>
        <w:pStyle w:val="Compact"/>
      </w:pPr>
      <w:r>
        <w:t xml:space="preserve">Se informa sobre la viabilidad logística: horarios seguros y rutas de acceso basadas en la vulnerabilidad mapeada en la Fase 3. •</w:t>
      </w:r>
    </w:p>
    <w:p>
      <w:pPr>
        <w:numPr>
          <w:ilvl w:val="0"/>
          <w:numId w:val="1021"/>
        </w:numPr>
        <w:pStyle w:val="Compact"/>
      </w:pPr>
      <w:r>
        <w:t xml:space="preserve">Se especifica qué voluntarios o especialistas se requieren para el trabajo en la comunidad (ej. especialistas en agua para rehabilitar el pozo). •</w:t>
      </w:r>
    </w:p>
    <w:bookmarkEnd w:id="66"/>
    <w:bookmarkEnd w:id="67"/>
    <w:bookmarkStart w:id="68" w:name="X296854e3c4981c9b877ae5e3f13f1ab73c1d982"/>
    <w:p>
      <w:pPr>
        <w:pStyle w:val="Heading3"/>
      </w:pPr>
      <w:r>
        <w:rPr>
          <w:bCs/>
          <w:b/>
        </w:rPr>
        <w:t xml:space="preserve">2. Gestión de la tensión entre los objetivos de la intervención y la realidad comunitaria</w:t>
      </w:r>
    </w:p>
    <w:p>
      <w:pPr>
        <w:pStyle w:val="FirstParagraph"/>
      </w:pPr>
      <w:r>
        <w:rPr>
          <w:bCs/>
          <w:b/>
        </w:rPr>
        <w:t xml:space="preserve">Acción:</w:t>
      </w:r>
      <w:r>
        <w:t xml:space="preserve"> </w:t>
      </w:r>
      <w:r>
        <w:t xml:space="preserve">Durante la síntesis de hallazgos, la filial debe documentar de manera explícita cualquier discrepancia entre los objetivos y actividades predefinidos por el proyecto y las necesidades reales identificadas en la comunidad. Esta documentación es la base para fundamentar ajustes ante la instancia que orienta o coordina la intervención, y para garantizar que esta responda efectivamente a la realidad en terreno.</w:t>
      </w:r>
    </w:p>
    <w:bookmarkEnd w:id="68"/>
    <w:bookmarkStart w:id="69" w:name="marco-para-documentar-la-discrepancia"/>
    <w:p>
      <w:pPr>
        <w:pStyle w:val="Heading3"/>
      </w:pPr>
      <w:r>
        <w:rPr>
          <w:bCs/>
          <w:b/>
        </w:rPr>
        <w:t xml:space="preserve">Marco para documentar la discrepancia:</w:t>
      </w:r>
    </w:p>
    <w:p>
      <w:pPr>
        <w:pStyle w:val="FirstParagraph"/>
      </w:pPr>
      <w:r>
        <w:t xml:space="preserve">Cuando el proyecto exige desarrollar el componente</w:t>
      </w:r>
      <w:r>
        <w:t xml:space="preserve"> </w:t>
      </w:r>
      <w:r>
        <w:t xml:space="preserve">“</w:t>
      </w:r>
      <w:r>
        <w:t xml:space="preserve">X</w:t>
      </w:r>
      <w:r>
        <w:t xml:space="preserve">”</w:t>
      </w:r>
      <w:r>
        <w:t xml:space="preserve"> </w:t>
      </w:r>
      <w:r>
        <w:t xml:space="preserve">pero la comunidad requiere el componente</w:t>
      </w:r>
      <w:r>
        <w:t xml:space="preserve"> </w:t>
      </w:r>
      <w:r>
        <w:t xml:space="preserve">“</w:t>
      </w:r>
      <w:r>
        <w:t xml:space="preserve">Y</w:t>
      </w:r>
      <w:r>
        <w:t xml:space="preserve">”</w:t>
      </w:r>
      <w:r>
        <w:t xml:space="preserve">, el informe de campo debe registrar:</w:t>
      </w:r>
    </w:p>
    <w:p>
      <w:pPr>
        <w:numPr>
          <w:ilvl w:val="0"/>
          <w:numId w:val="1022"/>
        </w:numPr>
        <w:pStyle w:val="Compact"/>
      </w:pPr>
      <w:r>
        <w:t xml:space="preserve">Descripción de</w:t>
      </w:r>
      <w:r>
        <w:t xml:space="preserve"> </w:t>
      </w:r>
      <w:r>
        <w:t xml:space="preserve">“</w:t>
      </w:r>
      <w:r>
        <w:t xml:space="preserve">X</w:t>
      </w:r>
      <w:r>
        <w:t xml:space="preserve">”</w:t>
      </w:r>
      <w:r>
        <w:t xml:space="preserve"> </w:t>
      </w:r>
      <w:r>
        <w:t xml:space="preserve">según el marco lógico del proyecto. •</w:t>
      </w:r>
    </w:p>
    <w:p>
      <w:pPr>
        <w:numPr>
          <w:ilvl w:val="0"/>
          <w:numId w:val="1022"/>
        </w:numPr>
        <w:pStyle w:val="Compact"/>
      </w:pPr>
      <w:r>
        <w:t xml:space="preserve">Descripción de</w:t>
      </w:r>
      <w:r>
        <w:t xml:space="preserve"> </w:t>
      </w:r>
      <w:r>
        <w:t xml:space="preserve">“</w:t>
      </w:r>
      <w:r>
        <w:t xml:space="preserve">Y</w:t>
      </w:r>
      <w:r>
        <w:t xml:space="preserve">”</w:t>
      </w:r>
      <w:r>
        <w:t xml:space="preserve"> </w:t>
      </w:r>
      <w:r>
        <w:t xml:space="preserve">según los hallazgos en terreno, con evidencia de al menos tres fuentes. •</w:t>
      </w:r>
    </w:p>
    <w:p>
      <w:pPr>
        <w:numPr>
          <w:ilvl w:val="0"/>
          <w:numId w:val="1022"/>
        </w:numPr>
        <w:pStyle w:val="Compact"/>
      </w:pPr>
      <w:r>
        <w:t xml:space="preserve">Impacto de implementar</w:t>
      </w:r>
      <w:r>
        <w:t xml:space="preserve"> </w:t>
      </w:r>
      <w:r>
        <w:t xml:space="preserve">“</w:t>
      </w:r>
      <w:r>
        <w:t xml:space="preserve">X</w:t>
      </w:r>
      <w:r>
        <w:t xml:space="preserve">”</w:t>
      </w:r>
      <w:r>
        <w:t xml:space="preserve"> </w:t>
      </w:r>
      <w:r>
        <w:t xml:space="preserve">sin atender</w:t>
      </w:r>
      <w:r>
        <w:t xml:space="preserve"> </w:t>
      </w:r>
      <w:r>
        <w:t xml:space="preserve">“</w:t>
      </w:r>
      <w:r>
        <w:t xml:space="preserve">Y</w:t>
      </w:r>
      <w:r>
        <w:t xml:space="preserve">”</w:t>
      </w:r>
      <w:r>
        <w:t xml:space="preserve">: qué riesgos o limitaciones genera para la comunidad. •</w:t>
      </w:r>
    </w:p>
    <w:p>
      <w:pPr>
        <w:numPr>
          <w:ilvl w:val="0"/>
          <w:numId w:val="1022"/>
        </w:numPr>
        <w:pStyle w:val="Compact"/>
      </w:pPr>
      <w:r>
        <w:t xml:space="preserve">Propuesta de ajuste: cómo podría modificarse la actividad o el indicador para atender ambas necesidades sin comprometer los objetivos generales de la intervención. •</w:t>
      </w:r>
    </w:p>
    <w:bookmarkEnd w:id="69"/>
    <w:bookmarkStart w:id="70" w:name="X73343dc6b2347f40d047795602c9a452c11c71a"/>
    <w:p>
      <w:pPr>
        <w:pStyle w:val="Heading3"/>
      </w:pPr>
      <w:r>
        <w:rPr>
          <w:bCs/>
          <w:b/>
        </w:rPr>
        <w:t xml:space="preserve">Estrategias para gestionar la discrepancia entre el plan y la realidad:</w:t>
      </w:r>
    </w:p>
    <w:p>
      <w:pPr>
        <w:numPr>
          <w:ilvl w:val="0"/>
          <w:numId w:val="1023"/>
        </w:numPr>
        <w:pStyle w:val="Compact"/>
      </w:pPr>
      <w:r>
        <w:t xml:space="preserve">Presentar los hallazgos en terreno como evidencia técnica, no como desviación del plan: el ajuste se fundamenta en la calidad del diagnóstico, no en una falla de implementación. •</w:t>
      </w:r>
    </w:p>
    <w:p>
      <w:pPr>
        <w:numPr>
          <w:ilvl w:val="0"/>
          <w:numId w:val="1023"/>
        </w:numPr>
        <w:pStyle w:val="Compact"/>
      </w:pPr>
      <w:r>
        <w:t xml:space="preserve">Proponer modificaciones acotadas: cambios en la forma de implementar una actividad —sin alterar sus objetivos generales— facilitan la aceptación de los ajustes. •</w:t>
      </w:r>
    </w:p>
    <w:p>
      <w:pPr>
        <w:numPr>
          <w:ilvl w:val="0"/>
          <w:numId w:val="1023"/>
        </w:numPr>
        <w:pStyle w:val="Compact"/>
      </w:pPr>
      <w:r>
        <w:t xml:space="preserve">Documentar los recursos alternativos gestionados para atender</w:t>
      </w:r>
      <w:r>
        <w:t xml:space="preserve"> </w:t>
      </w:r>
      <w:r>
        <w:t xml:space="preserve">“</w:t>
      </w:r>
      <w:r>
        <w:t xml:space="preserve">Y</w:t>
      </w:r>
      <w:r>
        <w:t xml:space="preserve">”</w:t>
      </w:r>
      <w:r>
        <w:t xml:space="preserve"> </w:t>
      </w:r>
      <w:r>
        <w:t xml:space="preserve">fuera del alcance o presupuesto original de la intervención, como evidencia del compromiso institucional con la comunidad. •</w:t>
      </w:r>
    </w:p>
    <w:p>
      <w:pPr>
        <w:numPr>
          <w:ilvl w:val="0"/>
          <w:numId w:val="1023"/>
        </w:numPr>
        <w:pStyle w:val="Compact"/>
      </w:pPr>
      <w:r>
        <w:t xml:space="preserve">Si la instancia coordinadora no acepta ajustes, registrar en el informe interno la discrepancia y las acciones tomadas para mitigar su impacto. •</w:t>
      </w:r>
    </w:p>
    <w:p>
      <w:pPr>
        <w:pStyle w:val="FirstParagraph"/>
      </w:pPr>
      <w:r>
        <w:rPr>
          <w:bCs/>
          <w:b/>
        </w:rPr>
        <w:t xml:space="preserve">Punto crítico:</w:t>
      </w:r>
      <w:r>
        <w:t xml:space="preserve"> </w:t>
      </w:r>
      <w:r>
        <w:t xml:space="preserve">Los proyectos de GRD son sui géneris: no es posible anticipar con precisión qué se encontrará en terreno. Un marco lógico muy rígido puede llevar a implementaciones que cumplen los indicadores formales pero no generan impacto real. La documentación sistemática de estas brechas es también un insumo para mejorar el diseño de proyectos futuros.</w:t>
      </w:r>
    </w:p>
    <w:p>
      <w:pPr>
        <w:pStyle w:val="BodyText"/>
      </w:pPr>
      <w:r>
        <w:rPr>
          <w:bCs/>
          <w:b/>
        </w:rPr>
        <w:t xml:space="preserve">Estrategia de campo:</w:t>
      </w:r>
      <w:r>
        <w:t xml:space="preserve"> </w:t>
      </w:r>
      <w:r>
        <w:t xml:space="preserve">Mantener un registro interno —separado del reporte oficial— donde se documente qué decisiones de adaptación se tomaron en terreno, por qué y con qué resultado. Este registro protege a la filial ante auditorías y construye memoria institucional sobre cómo adaptar la operación a distintos tipos de intervenciones.</w:t>
      </w:r>
    </w:p>
    <w:p>
      <w:pPr>
        <w:pStyle w:val="BodyText"/>
      </w:pPr>
      <w:r>
        <w:t xml:space="preserve">Hoja de Ruta elaborada por el equipo de PMER con el apoyo y guía del área de Gestión del Riesgo de Desastre en 2026</w:t>
      </w:r>
    </w:p>
    <w:bookmarkEnd w:id="70"/>
    <w:bookmarkEnd w:id="71"/>
    <w:bookmarkEnd w:id="72"/>
    <w:sectPr>
      <w:headerReference w:type="default" r:id="rId9"/>
      <w:footerReference w:type="default" r:id="rId10"/>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1" w:color="0F4761"/>
      </w:pBdr>
    </w:pPr>
    <w:r>
      <w:rPr>
        <w:color w:val="0F4761"/>
        <w:sz w:val="16"/>
      </w:rPr>
      <w:t xml:space="preserve">Cruz Roja Venezolana  ·  Orientaciones para el acceso a las comunidades  ·  Página </w:t>
    </w:r>
    <w:r>
      <w:rPr>
        <w:color w:val="0F4761"/>
        <w:sz w:val="16"/>
      </w:rPr>
      <w:fldChar w:fldCharType="begin"/>
    </w:r>
    <w:r>
      <w:rPr>
        <w:color w:val="0F4761"/>
        <w:sz w:val="16"/>
      </w:rPr>
      <w:instrText> PAGE </w:instrText>
    </w:r>
    <w:r>
      <w:rPr>
        <w:color w:val="0F4761"/>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12" w:space="1" w:color="0F4761"/>
      </w:pBdr>
    </w:pPr>
    <w:r>
      <w:drawing>
        <wp:inline xmlns:a="http://schemas.openxmlformats.org/drawingml/2006/main" xmlns:pic="http://schemas.openxmlformats.org/drawingml/2006/picture">
          <wp:extent cx="685800" cy="685800"/>
          <wp:docPr id="1" name="Picture 1"/>
          <wp:cNvGraphicFramePr>
            <a:graphicFrameLocks noChangeAspect="1"/>
          </wp:cNvGraphicFramePr>
          <a:graphic>
            <a:graphicData uri="http://schemas.openxmlformats.org/drawingml/2006/picture">
              <pic:pic>
                <pic:nvPicPr>
                  <pic:cNvPr id="0" name="logo_precise.png"/>
                  <pic:cNvPicPr/>
                </pic:nvPicPr>
                <pic:blipFill>
                  <a:blip r:embed="rId1"/>
                  <a:stretch>
                    <a:fillRect/>
                  </a:stretch>
                </pic:blipFill>
                <pic:spPr>
                  <a:xfrm>
                    <a:off x="0" y="0"/>
                    <a:ext cx="685800" cy="685800"/>
                  </a:xfrm>
                  <a:prstGeom prst="rect"/>
                </pic:spPr>
              </pic:pic>
            </a:graphicData>
          </a:graphic>
        </wp:inline>
      </w:drawing>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pPr>
    <w:rPr>
      <w:rFonts w:ascii="Calibri" w:hAnsi="Calibri"/>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360"/>
      <w:outlineLvl w:val="0"/>
    </w:pPr>
    <w:rPr>
      <w:rFonts w:asciiTheme="majorHAnsi" w:cstheme="majorBidi" w:eastAsiaTheme="majorEastAsia" w:hAnsiTheme="majorHAnsi"/>
      <w:b/>
      <w:bCs/>
      <w:color w:val="0F4761"/>
      <w:sz w:val="32"/>
      <w:szCs w:val="32"/>
    </w:rPr>
  </w:style>
  <w:style w:styleId="Heading2" w:type="paragraph">
    <w:name w:val="Heading 2"/>
    <w:basedOn w:val="Normal"/>
    <w:next w:val="BodyText"/>
    <w:uiPriority w:val="9"/>
    <w:unhideWhenUsed/>
    <w:qFormat/>
    <w:pPr>
      <w:keepNext/>
      <w:keepLines/>
      <w:spacing w:after="60" w:before="240"/>
      <w:outlineLvl w:val="1"/>
    </w:pPr>
    <w:rPr>
      <w:rFonts w:asciiTheme="majorHAnsi" w:cstheme="majorBidi" w:eastAsiaTheme="majorEastAsia" w:hAnsiTheme="majorHAnsi"/>
      <w:b/>
      <w:bCs/>
      <w:color w:val="0F4761"/>
      <w:sz w:val="26"/>
      <w:szCs w:val="28"/>
    </w:rPr>
  </w:style>
  <w:style w:styleId="Heading3" w:type="paragraph">
    <w:name w:val="Heading 3"/>
    <w:basedOn w:val="Normal"/>
    <w:next w:val="BodyText"/>
    <w:uiPriority w:val="9"/>
    <w:unhideWhenUsed/>
    <w:qFormat/>
    <w:pPr>
      <w:keepNext/>
      <w:keepLines/>
      <w:spacing w:after="40" w:before="160"/>
      <w:outlineLvl w:val="2"/>
    </w:pPr>
    <w:rPr>
      <w:rFonts w:asciiTheme="majorHAnsi" w:cstheme="majorBidi" w:eastAsiaTheme="majorEastAsia" w:hAnsiTheme="majorHAnsi"/>
      <w:b/>
      <w:bCs/>
      <w:color w:val="0F4761"/>
      <w:sz w:val="22"/>
      <w:szCs w:val="24"/>
    </w:rPr>
  </w:style>
  <w:style w:styleId="Heading4" w:type="paragraph">
    <w:name w:val="Heading 4"/>
    <w:basedOn w:val="Normal"/>
    <w:next w:val="BodyText"/>
    <w:uiPriority w:val="9"/>
    <w:unhideWhenUsed/>
    <w:qFormat/>
    <w:pPr>
      <w:keepNext/>
      <w:keepLines/>
      <w:spacing w:after="40" w:before="120"/>
      <w:outlineLvl w:val="3"/>
    </w:pPr>
    <w:rPr>
      <w:rFonts w:asciiTheme="majorHAnsi" w:cstheme="majorBidi" w:eastAsiaTheme="majorEastAsia" w:hAnsiTheme="majorHAnsi"/>
      <w:i/>
      <w:b/>
      <w:bCs/>
      <w:color w:val="F41114"/>
      <w:sz w:val="20"/>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6" Type="http://schemas.openxmlformats.org/officeDocument/2006/relationships/hyperlink" Target="https://ee.ifrc.org/x/M28RoiY6"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6" Type="http://schemas.openxmlformats.org/officeDocument/2006/relationships/hyperlink" Target="https://ee.ifrc.org/x/M28RoiY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2026-06-09T18:42:52Z</dcterms:created>
  <dcterms:modified xsi:type="dcterms:W3CDTF">2026-06-09T18:42:52Z</dcterms:modified>
</cp:coreProperties>
</file>

<file path=docProps/custom.xml><?xml version="1.0" encoding="utf-8"?>
<Properties xmlns="http://schemas.openxmlformats.org/officeDocument/2006/custom-properties" xmlns:vt="http://schemas.openxmlformats.org/officeDocument/2006/docPropsVTypes"/>
</file>