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654" w:type="dxa"/>
            <w:tcMar>
              <w:top w:w="0" w:type="dxa"/>
              <w:bottom w:w="0" w:type="dxa"/>
              <w:left w:w="0" w:type="dxa"/>
              <w:right w:w="160" w:type="dxa"/>
            </w:tcMar>
          </w:tcPr>
          <w:p>
            <w:pPr>
              <w:spacing w:before="0" w:after="0"/>
            </w:pPr>
            <w:r>
              <w:rPr>
                <w:b/>
                <w:color w:val="0F4761"/>
                <w:sz w:val="44"/>
              </w:rPr>
              <w:t>Orientaciones para el acceso a las comunidades y la legitimación de la Cruz Roja Venezolana en el terreno</w:t>
            </w:r>
          </w:p>
        </w:tc>
        <w:tc>
          <w:tcPr>
            <w:tcW w:w="1417" w:type="dxa"/>
            <w:tcMar>
              <w:top w:w="0" w:type="dxa"/>
              <w:bottom w:w="0" w:type="dxa"/>
              <w:left w:w="0" w:type="dxa"/>
              <w:right w:w="0" w:type="dxa"/>
            </w:tcMar>
          </w:tcPr>
          <w:p>
            <w:pPr>
              <w:jc w:val="right"/>
              <w:spacing w:before="0" w:after="0"/>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logo_precise.png"/>
                          <pic:cNvPicPr/>
                        </pic:nvPicPr>
                        <pic:blipFill>
                          <a:blip r:embed="rId13"/>
                          <a:stretch>
                            <a:fillRect/>
                          </a:stretch>
                        </pic:blipFill>
                        <pic:spPr>
                          <a:xfrm>
                            <a:off x="0" y="0"/>
                            <a:ext cx="1007999" cy="1007999"/>
                          </a:xfrm>
                          <a:prstGeom prst="rect"/>
                        </pic:spPr>
                      </pic:pic>
                    </a:graphicData>
                  </a:graphic>
                </wp:inline>
              </w:drawing>
            </w:r>
          </w:p>
        </w:tc>
      </w:tr>
    </w:tbl>
    <w:p>
      <w:pPr>
        <w:spacing w:before="80" w:after="80"/>
        <w:pBdr>
          <w:bottom w:val="single" w:sz="6" w:space="1" w:color="0F4761"/>
        </w:pBdr>
      </w:pPr>
    </w:p>
    <w:p>
      <w:pPr>
        <w:spacing w:before="80" w:after="60"/>
      </w:pPr>
      <w:r>
        <w:rPr>
          <w:color w:val="202020"/>
          <w:sz w:val="20"/>
        </w:rPr>
        <w:t>Esta hoja de ruta establece puntos críticos, protocolos de seguridad, herramientas de análisis social y técnicas de comunicación adaptadas del Manual Ampliado AVCA. Está estructurada en cuatro fases para facilitar a las filiales una inmersión responsable en las comunidades.</w:t>
      </w:r>
    </w:p>
    <w:p>
      <w:pPr>
        <w:spacing w:before="0" w:after="80"/>
      </w:pPr>
      <w:r>
        <w:rPr>
          <w:color w:val="202020"/>
          <w:sz w:val="20"/>
        </w:rPr>
        <w:t>Los datos que se produzcan deben nacer de un acuerdo entre la filial y la comunidad. En ese sentido, los instrumentos de medición que se empleen son herramientas de partida para facilitar el diálogo.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1: Análisis previo a la 1.ª visita</w:t>
            </w:r>
          </w:p>
          <w:p>
            <w:pPr>
              <w:spacing w:before="0" w:after="0"/>
            </w:pPr>
            <w:r>
              <w:rPr>
                <w:color w:val="303030"/>
                <w:sz w:val="18"/>
              </w:rPr>
              <w:t>La filial investiga sobre la comunidad para obtener un perfil preliminar sobre actividades económicas, dinámicas sociales y patrones culturales, con el ánimo de evitar rechazos y reducir errores de aproximación.</w:t>
            </w:r>
          </w:p>
        </w:tc>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2: Aproximación y legitimación</w:t>
            </w:r>
          </w:p>
          <w:p>
            <w:pPr>
              <w:spacing w:before="0" w:after="0"/>
            </w:pPr>
            <w:r>
              <w:rPr>
                <w:color w:val="303030"/>
                <w:sz w:val="18"/>
              </w:rPr>
              <w:t>Primer contacto físico orientado a obtener el aval operativo de los líderes comunitarios e información sobre los modos en que las comunidades se organizan para cumplir sus funciones sociales y económicas.</w:t>
            </w:r>
          </w:p>
        </w:tc>
      </w:tr>
      <w:tr>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3: Inmersión y profundización</w:t>
            </w:r>
          </w:p>
          <w:p>
            <w:pPr>
              <w:spacing w:before="0" w:after="0"/>
            </w:pPr>
            <w:r>
              <w:rPr>
                <w:color w:val="303030"/>
                <w:sz w:val="18"/>
              </w:rPr>
              <w:t>Etapa de operación en terreno donde se levanta información sobre dinámicas sociales mediante herramientas de trabajo comunitario y validación cultural con autoridades y líderes.</w:t>
            </w:r>
          </w:p>
        </w:tc>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4: Consolidación</w:t>
            </w:r>
          </w:p>
          <w:p>
            <w:pPr>
              <w:spacing w:before="0" w:after="0"/>
            </w:pPr>
            <w:r>
              <w:rPr>
                <w:color w:val="303030"/>
                <w:sz w:val="18"/>
              </w:rPr>
              <w:t>Sistematización de hallazgos para la toma de decisiones presupuestarias y de seguridad, aplicando triangulación de datos entre entrevistas, noticias y datos de autoridades.</w:t>
            </w:r>
          </w:p>
        </w:tc>
      </w:tr>
    </w:tbl>
    <w:p>
      <w:pPr>
        <w:spacing w:before="0"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0F4761"/>
            <w:tcMar>
              <w:top w:w="80" w:type="dxa"/>
              <w:bottom w:w="80" w:type="dxa"/>
              <w:left w:w="160" w:type="dxa"/>
              <w:right w:w="0" w:type="dxa"/>
            </w:tcMar>
            <w:tcW w:w="7371" w:type="dxa"/>
          </w:tcPr>
          <w:p>
            <w:pPr>
              <w:pStyle w:val="Heading1"/>
              <w:spacing w:before="0" w:after="0"/>
            </w:pPr>
            <w:r>
              <w:rPr>
                <w:b/>
                <w:i w:val="0"/>
                <w:color w:val="FFFFFF"/>
                <w:sz w:val="24"/>
                <w:u w:val="none"/>
              </w:rPr>
              <w:t>Fase 1: Pre-despliegue</w:t>
            </w:r>
          </w:p>
        </w:tc>
        <w:tc>
          <w:tcPr>
            <w:shd w:val="clear" w:color="auto" w:fill="0F4761"/>
            <w:tcMar>
              <w:top w:w="80" w:type="dxa"/>
              <w:bottom w:w="80" w:type="dxa"/>
              <w:left w:w="0" w:type="dxa"/>
              <w:right w:w="160" w:type="dxa"/>
            </w:tcMar>
            <w:tcW w:w="1984" w:type="dxa"/>
          </w:tcPr>
          <w:p>
            <w:pPr>
              <w:spacing w:before="0" w:after="0"/>
              <w:jc w:val="right"/>
            </w:pPr>
            <w:r>
              <w:rPr>
                <w:b w:val="0"/>
                <w:color w:val="FFFFFF"/>
                <w:sz w:val="18"/>
              </w:rPr>
              <w:t>5 secciones</w:t>
            </w:r>
          </w:p>
        </w:tc>
      </w:tr>
    </w:tbl>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Establecer una aproximación segura a la comunidad.</w:t>
      </w:r>
    </w:p>
    <w:p>
      <w:pPr>
        <w:pStyle w:val="Heading2"/>
        <w:spacing w:before="160" w:after="40"/>
        <w:pBdr>
          <w:bottom w:val="single" w:sz="8" w:space="1" w:color="0F4761"/>
        </w:pBdr>
      </w:pPr>
      <w:r>
        <w:rPr>
          <w:b/>
          <w:i w:val="0"/>
          <w:color w:val="0F4761"/>
          <w:sz w:val="22"/>
          <w:u w:val="none"/>
        </w:rPr>
        <w:t>1. Protocolo de priorización y selección de comunidades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iniciar cualquier análisis de datos secundarios, la filial debe justificar formalmente la selección de la comunidad a intervenir. Esta decisión no debe basarse en criterios informales como la facilidad de acceso, la existencia de un contacto previo o el hecho de que la comunidad haya contactado a la filial. La selección debe estar orientada por al menos tres de los siguientes criterios:</w:t>
      </w:r>
    </w:p>
    <w:p>
      <w:pPr>
        <w:spacing w:before="20" w:after="20"/>
        <w:ind w:left="453" w:hanging="180"/>
      </w:pPr>
      <w:r>
        <w:rPr>
          <w:color w:val="0F4761"/>
          <w:sz w:val="20"/>
        </w:rPr>
        <w:t xml:space="preserve">•  </w:t>
      </w:r>
      <w:r>
        <w:rPr>
          <w:b/>
          <w:color w:val="202020"/>
          <w:sz w:val="20"/>
        </w:rPr>
        <w:t>Vulnerabilidad documentada:</w:t>
      </w:r>
      <w:r>
        <w:rPr>
          <w:b w:val="0"/>
          <w:color w:val="202020"/>
          <w:sz w:val="20"/>
        </w:rPr>
        <w:t xml:space="preserve"> Existen datos secundarios, reportes institucionales o historia de eventos que confirman una condición de riesgo en la comunidad.</w:t>
      </w:r>
    </w:p>
    <w:p>
      <w:pPr>
        <w:spacing w:before="20" w:after="20"/>
        <w:ind w:left="453" w:hanging="180"/>
      </w:pPr>
      <w:r>
        <w:rPr>
          <w:color w:val="0F4761"/>
          <w:sz w:val="20"/>
        </w:rPr>
        <w:t xml:space="preserve">•  </w:t>
      </w:r>
      <w:r>
        <w:rPr>
          <w:b/>
          <w:color w:val="202020"/>
          <w:sz w:val="20"/>
        </w:rPr>
        <w:t>Historia de trabajo previo:</w:t>
      </w:r>
      <w:r>
        <w:rPr>
          <w:b w:val="0"/>
          <w:color w:val="202020"/>
          <w:sz w:val="20"/>
        </w:rPr>
        <w:t xml:space="preserve"> La comunidad está ubicada preferentemente en un radio de 10 km de la filial.</w:t>
      </w:r>
    </w:p>
    <w:p>
      <w:pPr>
        <w:spacing w:before="20" w:after="20"/>
        <w:ind w:left="453" w:hanging="180"/>
      </w:pPr>
      <w:r>
        <w:rPr>
          <w:color w:val="0F4761"/>
          <w:sz w:val="20"/>
        </w:rPr>
        <w:t xml:space="preserve">•  </w:t>
      </w:r>
      <w:r>
        <w:rPr>
          <w:b/>
          <w:color w:val="202020"/>
          <w:sz w:val="20"/>
        </w:rPr>
        <w:t>Historia de trabajo previo:</w:t>
      </w:r>
      <w:r>
        <w:rPr>
          <w:b w:val="0"/>
          <w:color w:val="202020"/>
          <w:sz w:val="20"/>
        </w:rPr>
        <w:t xml:space="preserve"> La filial o la CRV ha tenido presencia anterior en la comunidad, lo que facilita la legitimación y reduce los tiempos de aproximación.</w:t>
      </w:r>
    </w:p>
    <w:p>
      <w:pPr>
        <w:spacing w:before="20" w:after="20"/>
        <w:ind w:left="453" w:hanging="180"/>
      </w:pPr>
      <w:r>
        <w:rPr>
          <w:color w:val="0F4761"/>
          <w:sz w:val="20"/>
        </w:rPr>
        <w:t xml:space="preserve">•  </w:t>
      </w:r>
      <w:r>
        <w:rPr>
          <w:b/>
          <w:color w:val="202020"/>
          <w:sz w:val="20"/>
        </w:rPr>
        <w:t>Capacidad operativa de la filial:</w:t>
      </w:r>
      <w:r>
        <w:rPr>
          <w:b w:val="0"/>
          <w:color w:val="202020"/>
          <w:sz w:val="20"/>
        </w:rPr>
        <w:t xml:space="preserve"> La filial cuenta con los recursos humanos, técnicos y logísticos mínimos para sostener el trabajo por el tiempo necesario para generar los cambios deseados.</w:t>
      </w:r>
    </w:p>
    <w:p>
      <w:pPr>
        <w:spacing w:before="20" w:after="20"/>
        <w:ind w:left="453" w:hanging="180"/>
      </w:pPr>
      <w:r>
        <w:rPr>
          <w:color w:val="0F4761"/>
          <w:sz w:val="20"/>
        </w:rPr>
        <w:t xml:space="preserve">•  </w:t>
      </w:r>
      <w:r>
        <w:rPr>
          <w:b/>
          <w:color w:val="202020"/>
          <w:sz w:val="20"/>
        </w:rPr>
        <w:t>Cohesión social mínima:</w:t>
      </w:r>
      <w:r>
        <w:rPr>
          <w:b w:val="0"/>
          <w:color w:val="202020"/>
          <w:sz w:val="20"/>
        </w:rPr>
        <w:t xml:space="preserve"> Existen indicios de organización comunitaria activa —liderazgo identificable, historia de acción colectiva, participación en iniciativas anteriores— que permitan anticipar condiciones básicas para la convocatoria y la participación sostenida.</w:t>
      </w:r>
    </w:p>
    <w:p>
      <w:pPr>
        <w:spacing w:before="20" w:after="20"/>
        <w:ind w:left="453" w:hanging="180"/>
      </w:pPr>
      <w:r>
        <w:rPr>
          <w:color w:val="0F4761"/>
          <w:sz w:val="20"/>
        </w:rPr>
        <w:t xml:space="preserve">•  </w:t>
      </w:r>
      <w:r>
        <w:rPr>
          <w:b/>
          <w:color w:val="202020"/>
          <w:sz w:val="20"/>
        </w:rPr>
        <w:t>Pertinencia con el mandato:</w:t>
      </w:r>
      <w:r>
        <w:rPr>
          <w:b w:val="0"/>
          <w:color w:val="202020"/>
          <w:sz w:val="20"/>
        </w:rPr>
        <w:t xml:space="preserve"> El problema que se busca atender está dentro del mandato y las competencias técnicas de la filial.</w:t>
      </w:r>
    </w:p>
    <w:p>
      <w:pPr>
        <w:spacing w:before="20" w:after="20"/>
        <w:ind w:left="453" w:hanging="180"/>
      </w:pPr>
      <w:r>
        <w:rPr>
          <w:color w:val="0F4761"/>
          <w:sz w:val="20"/>
        </w:rPr>
        <w:t xml:space="preserve">•  </w:t>
      </w:r>
      <w:r>
        <w:rPr>
          <w:b/>
          <w:color w:val="202020"/>
          <w:sz w:val="20"/>
        </w:rPr>
        <w:t>Historia de desastre reciente:</w:t>
      </w:r>
      <w:r>
        <w:rPr>
          <w:b w:val="0"/>
          <w:color w:val="202020"/>
          <w:sz w:val="20"/>
        </w:rPr>
        <w:t xml:space="preserve"> Las comunidades que han vivido un evento de desastre muestran mayor disposición a participar, mejor convocatoria y mayor capacidad de replicar lo aprendido. Si existen comunidades candidatas con condiciones operativas comparables, priorizar aquellas con historia reciente de desastre como punto de entrada.</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selección basada únicamente en acceso fácil o redes de contacto introduce sesgos sistemáticos: se trabaja donde es cómodo, no necesariamente donde la necesidad es mayor. Documentar y justificar la selección fortalece la coherencia entre el mandato institucional y la práctica operativa, y respalda a la filial ante cualquier instancia de rendición de cuentas.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la comunidad fue seleccionada por una instancia externa a la filial —sede central, un cooperante, autoridades locales u otra instancia institucional—, verificar que cumple al menos tres de los criterios anteriores antes de avanzar. Si no los cumple, documentar las brechas y comunicarlas formalmente antes de iniciar el despliegue.</w:t>
      </w:r>
    </w:p>
    <w:p>
      <w:pPr>
        <w:pStyle w:val="Heading2"/>
        <w:spacing w:before="160" w:after="40"/>
        <w:pBdr>
          <w:bottom w:val="single" w:sz="8" w:space="1" w:color="0F4761"/>
        </w:pBdr>
      </w:pPr>
      <w:r>
        <w:rPr>
          <w:b/>
          <w:i w:val="0"/>
          <w:color w:val="0F4761"/>
          <w:sz w:val="22"/>
          <w:u w:val="none"/>
        </w:rPr>
        <w:t>2. Articulación interna previa al despliegue</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iniciar el análisis de datos secundarios, la filial debe verificar internamente si la CRV tiene o ha tenido presencia en esa comunidad. Esta consulta interna evita duplicidades, mensajes contradictorios y diagnósticos fragmentados.</w:t>
      </w:r>
    </w:p>
    <w:p>
      <w:pPr>
        <w:pStyle w:val="Heading3"/>
        <w:spacing w:before="100" w:after="30"/>
      </w:pPr>
      <w:r>
        <w:rPr>
          <w:b/>
          <w:i w:val="0"/>
          <w:color w:val="0F4761"/>
          <w:sz w:val="20"/>
          <w:u w:val="none"/>
        </w:rPr>
        <w:t>Preguntas de articulación interna:</w:t>
      </w:r>
    </w:p>
    <w:p>
      <w:pPr>
        <w:spacing w:before="20" w:after="20"/>
        <w:ind w:left="453" w:hanging="180"/>
      </w:pPr>
      <w:r>
        <w:rPr>
          <w:color w:val="0F4761"/>
          <w:sz w:val="20"/>
        </w:rPr>
        <w:t xml:space="preserve">•  </w:t>
      </w:r>
      <w:r>
        <w:rPr>
          <w:b w:val="0"/>
          <w:color w:val="202020"/>
          <w:sz w:val="20"/>
        </w:rPr>
        <w:t>¿Qué programas de la filial han trabajado o trabajan actualmente en esta comunidad?</w:t>
      </w:r>
    </w:p>
    <w:p>
      <w:pPr>
        <w:spacing w:before="20" w:after="20"/>
        <w:ind w:left="453" w:hanging="180"/>
      </w:pPr>
      <w:r>
        <w:rPr>
          <w:color w:val="0F4761"/>
          <w:sz w:val="20"/>
        </w:rPr>
        <w:t xml:space="preserve">•  </w:t>
      </w:r>
      <w:r>
        <w:rPr>
          <w:b w:val="0"/>
          <w:color w:val="202020"/>
          <w:sz w:val="20"/>
        </w:rPr>
        <w:t>¿Qué diagnósticos o evaluaciones se han realizado previamente y están disponibles?</w:t>
      </w:r>
    </w:p>
    <w:p>
      <w:pPr>
        <w:spacing w:before="20" w:after="20"/>
        <w:ind w:left="453" w:hanging="180"/>
      </w:pPr>
      <w:r>
        <w:rPr>
          <w:color w:val="0F4761"/>
          <w:sz w:val="20"/>
        </w:rPr>
        <w:t xml:space="preserve">•  </w:t>
      </w:r>
      <w:r>
        <w:rPr>
          <w:b w:val="0"/>
          <w:color w:val="202020"/>
          <w:sz w:val="20"/>
        </w:rPr>
        <w:t>¿Qué vínculos institucionales existen con actores de esa comunidad?</w:t>
      </w:r>
    </w:p>
    <w:p>
      <w:pPr>
        <w:spacing w:before="20" w:after="20"/>
        <w:ind w:left="453" w:hanging="180"/>
      </w:pPr>
      <w:r>
        <w:rPr>
          <w:color w:val="0F4761"/>
          <w:sz w:val="20"/>
        </w:rPr>
        <w:t xml:space="preserve">•  </w:t>
      </w:r>
      <w:r>
        <w:rPr>
          <w:b w:val="0"/>
          <w:color w:val="202020"/>
          <w:sz w:val="20"/>
        </w:rPr>
        <w:t>¿Hay actividades planificadas por otras áreas que puedan coincidir con el período de despliegue?</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Los diagnósticos comunitarios realizados por distintas áreas de forma aislada generan información fragmentada, duplican el esfuerzo de campo y envían señales confusas sobre la articulación interna en la CRV. La articulación interna previa al despliegue es condición para presentar una imagen institucional coherente.</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existen diagnósticos previos de otras áreas, incorporarlos como insumo del análisis de datos secundarios antes de planificar nuevas visitas. Coordinar con las áreas activas para definir cómo se presentará la CRV y cuál será el rol de cada programa durante el despliegue.</w:t>
      </w:r>
    </w:p>
    <w:p>
      <w:pPr>
        <w:pStyle w:val="Heading2"/>
        <w:spacing w:before="160" w:after="40"/>
        <w:pBdr>
          <w:bottom w:val="single" w:sz="8" w:space="1" w:color="0F4761"/>
        </w:pBdr>
      </w:pPr>
      <w:r>
        <w:rPr>
          <w:b/>
          <w:i w:val="0"/>
          <w:color w:val="0F4761"/>
          <w:sz w:val="22"/>
          <w:u w:val="none"/>
        </w:rPr>
        <w:t>3. Auditoría de datos secundarios y sesgos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Recopilar información sobre la comunidad: noticias, redes sociales, estadísticas oficiales y mapas.</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Reconocer la imagen que los medios de comunicación, el Estado y las redes sociales han proyectado sobre la comunidad:</w:t>
      </w:r>
    </w:p>
    <w:p>
      <w:pPr>
        <w:spacing w:before="20" w:after="20"/>
        <w:ind w:left="453" w:hanging="180"/>
      </w:pPr>
      <w:r>
        <w:rPr>
          <w:color w:val="0F4761"/>
          <w:sz w:val="20"/>
        </w:rPr>
        <w:t xml:space="preserve">•  </w:t>
      </w:r>
      <w:r>
        <w:rPr>
          <w:b w:val="0"/>
          <w:color w:val="202020"/>
          <w:sz w:val="20"/>
        </w:rPr>
        <w:t>¿Es positiva o negativa? ¿Respetuosa o discriminatoria? ¿Refuerza prejuicios, estereotipos o exclusión social?</w:t>
      </w:r>
    </w:p>
    <w:p>
      <w:pPr>
        <w:spacing w:before="20" w:after="20"/>
        <w:ind w:left="453" w:hanging="180"/>
      </w:pPr>
      <w:r>
        <w:rPr>
          <w:color w:val="0F4761"/>
          <w:sz w:val="20"/>
        </w:rPr>
        <w:t xml:space="preserve">•  </w:t>
      </w:r>
      <w:r>
        <w:rPr>
          <w:b w:val="0"/>
          <w:color w:val="202020"/>
          <w:sz w:val="20"/>
        </w:rPr>
        <w:t>¿Qué información falta o no fue proporcionada por la comunidad? (por ej.: minorías, violencia de género).</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Preguntar si la comunidad participó anteriormente en proyectos parecidos, si tuvieron éxito o si hubo conflictos.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Anticipar estrategias para gestionar la desconfianza si hubo malas experiencias previas.</w:t>
      </w:r>
    </w:p>
    <w:p>
      <w:pPr>
        <w:pStyle w:val="Heading2"/>
        <w:spacing w:before="160" w:after="40"/>
        <w:pBdr>
          <w:bottom w:val="single" w:sz="8" w:space="1" w:color="0F4761"/>
        </w:pBdr>
      </w:pPr>
      <w:r>
        <w:rPr>
          <w:b/>
          <w:i w:val="0"/>
          <w:color w:val="0F4761"/>
          <w:sz w:val="22"/>
          <w:u w:val="none"/>
        </w:rPr>
        <w:t>4. Evaluación preliminar de cohesión social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Como parte del análisis previo, la filial debe construir una estimación de la cohesión social de la comunidad utilizando fuentes secundarias. Este indicador permite anticipar las condiciones de convocatoria, participación y sostenibilidad del proyecto antes de la primera visita.</w:t>
      </w:r>
    </w:p>
    <w:p>
      <w:pPr>
        <w:pStyle w:val="Heading3"/>
        <w:spacing w:before="100" w:after="30"/>
      </w:pPr>
      <w:r>
        <w:rPr>
          <w:b/>
          <w:i w:val="0"/>
          <w:color w:val="0F4761"/>
          <w:sz w:val="20"/>
          <w:u w:val="none"/>
        </w:rPr>
        <w:t>Indicadores evaluables de forma remota:</w:t>
      </w:r>
    </w:p>
    <w:p>
      <w:pPr>
        <w:spacing w:before="20" w:after="20"/>
        <w:ind w:left="453" w:hanging="180"/>
      </w:pPr>
      <w:r>
        <w:rPr>
          <w:color w:val="0F4761"/>
          <w:sz w:val="20"/>
        </w:rPr>
        <w:t xml:space="preserve">•  </w:t>
      </w:r>
      <w:r>
        <w:rPr>
          <w:b w:val="0"/>
          <w:color w:val="202020"/>
          <w:sz w:val="20"/>
        </w:rPr>
        <w:t>Existencia de organizaciones comunitarias activas: juntas de vecinos, comités de salud, grupos religiosos, equipos deportivos u otras.</w:t>
      </w:r>
    </w:p>
    <w:p>
      <w:pPr>
        <w:spacing w:before="20" w:after="20"/>
        <w:ind w:left="453" w:hanging="180"/>
      </w:pPr>
      <w:r>
        <w:rPr>
          <w:color w:val="0F4761"/>
          <w:sz w:val="20"/>
        </w:rPr>
        <w:t xml:space="preserve">•  </w:t>
      </w:r>
      <w:r>
        <w:rPr>
          <w:b w:val="0"/>
          <w:color w:val="202020"/>
          <w:sz w:val="20"/>
        </w:rPr>
        <w:t>Historia de acción colectiva ante problemas comunes: festividades, jornadas de trabajo, respuestas ante emergencias.</w:t>
      </w:r>
    </w:p>
    <w:p>
      <w:pPr>
        <w:spacing w:before="20" w:after="20"/>
        <w:ind w:left="453" w:hanging="180"/>
      </w:pPr>
      <w:r>
        <w:rPr>
          <w:color w:val="0F4761"/>
          <w:sz w:val="20"/>
        </w:rPr>
        <w:t xml:space="preserve">•  </w:t>
      </w:r>
      <w:r>
        <w:rPr>
          <w:b w:val="0"/>
          <w:color w:val="202020"/>
          <w:sz w:val="20"/>
        </w:rPr>
        <w:t>Presencia de redes de comunicación interna: grupos de mensajería, radios comunitarias, carteleras.</w:t>
      </w:r>
    </w:p>
    <w:p>
      <w:pPr>
        <w:spacing w:before="20" w:after="20"/>
        <w:ind w:left="453" w:hanging="180"/>
      </w:pPr>
      <w:r>
        <w:rPr>
          <w:color w:val="0F4761"/>
          <w:sz w:val="20"/>
        </w:rPr>
        <w:t xml:space="preserve">•  </w:t>
      </w:r>
      <w:r>
        <w:rPr>
          <w:b w:val="0"/>
          <w:color w:val="202020"/>
          <w:sz w:val="20"/>
        </w:rPr>
        <w:t>Ausencia de conflictos públicos documentados entre facciones o sectores de la comunidad.</w:t>
      </w:r>
    </w:p>
    <w:p>
      <w:pPr>
        <w:pStyle w:val="Heading3"/>
        <w:spacing w:before="100" w:after="30"/>
      </w:pPr>
      <w:r>
        <w:rPr>
          <w:b/>
          <w:i w:val="0"/>
          <w:color w:val="0F4761"/>
          <w:sz w:val="20"/>
          <w:u w:val="none"/>
        </w:rPr>
        <w:t>Ajuste estratégico según el nivel detectado:</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tcMar>
              <w:top w:w="60" w:type="dxa"/>
              <w:bottom w:w="60" w:type="dxa"/>
              <w:left w:w="115" w:type="dxa"/>
              <w:right w:w="115" w:type="dxa"/>
            </w:tcMar>
            <w:shd w:val="clear" w:color="auto" w:fill="0F4761"/>
          </w:tcPr>
          <w:p>
            <w:pPr>
              <w:spacing w:before="0" w:after="0"/>
            </w:pPr>
            <w:r>
              <w:rPr>
                <w:b/>
                <w:color w:val="FFFFFF"/>
                <w:sz w:val="18"/>
              </w:rPr>
              <w:t>Nivel de cohesión</w:t>
            </w:r>
          </w:p>
        </w:tc>
        <w:tc>
          <w:tcPr>
            <w:tcW w:type="dxa" w:w="3024"/>
            <w:tcMar>
              <w:top w:w="60" w:type="dxa"/>
              <w:bottom w:w="60" w:type="dxa"/>
              <w:left w:w="115" w:type="dxa"/>
              <w:right w:w="115" w:type="dxa"/>
            </w:tcMar>
            <w:shd w:val="clear" w:color="auto" w:fill="0F4761"/>
          </w:tcPr>
          <w:p>
            <w:pPr>
              <w:spacing w:before="0" w:after="0"/>
            </w:pPr>
            <w:r>
              <w:rPr>
                <w:b/>
                <w:color w:val="FFFFFF"/>
                <w:sz w:val="18"/>
              </w:rPr>
              <w:t>Señales observadas</w:t>
            </w:r>
          </w:p>
        </w:tc>
        <w:tc>
          <w:tcPr>
            <w:tcW w:type="dxa" w:w="3024"/>
            <w:tcMar>
              <w:top w:w="60" w:type="dxa"/>
              <w:bottom w:w="60" w:type="dxa"/>
              <w:left w:w="115" w:type="dxa"/>
              <w:right w:w="115" w:type="dxa"/>
            </w:tcMar>
            <w:shd w:val="clear" w:color="auto" w:fill="0F4761"/>
          </w:tcPr>
          <w:p>
            <w:pPr>
              <w:spacing w:before="0" w:after="0"/>
            </w:pPr>
            <w:r>
              <w:rPr>
                <w:b/>
                <w:color w:val="FFFFFF"/>
                <w:sz w:val="18"/>
              </w:rPr>
              <w:t>Ajuste</w:t>
            </w:r>
          </w:p>
        </w:tc>
      </w:tr>
      <w:tr>
        <w:tc>
          <w:tcPr>
            <w:tcW w:type="dxa" w:w="3024"/>
            <w:tcMar>
              <w:top w:w="60" w:type="dxa"/>
              <w:bottom w:w="60" w:type="dxa"/>
              <w:left w:w="115" w:type="dxa"/>
              <w:right w:w="115" w:type="dxa"/>
            </w:tcMar>
          </w:tcPr>
          <w:p>
            <w:pPr>
              <w:spacing w:before="0" w:after="0"/>
            </w:pPr>
            <w:r>
              <w:rPr>
                <w:b w:val="0"/>
                <w:color w:val="202020"/>
                <w:sz w:val="18"/>
              </w:rPr>
              <w:t>Alta</w:t>
            </w:r>
          </w:p>
        </w:tc>
        <w:tc>
          <w:tcPr>
            <w:tcW w:type="dxa" w:w="3024"/>
            <w:tcMar>
              <w:top w:w="60" w:type="dxa"/>
              <w:bottom w:w="60" w:type="dxa"/>
              <w:left w:w="115" w:type="dxa"/>
              <w:right w:w="115" w:type="dxa"/>
            </w:tcMar>
          </w:tcPr>
          <w:p>
            <w:pPr>
              <w:spacing w:before="0" w:after="0"/>
            </w:pPr>
            <w:r>
              <w:rPr>
                <w:b w:val="0"/>
                <w:color w:val="202020"/>
                <w:sz w:val="18"/>
              </w:rPr>
              <w:t>Múltiples organizaciones activas, historia de acción colectiva, liderazgo diverso</w:t>
            </w:r>
          </w:p>
        </w:tc>
        <w:tc>
          <w:tcPr>
            <w:tcW w:type="dxa" w:w="3024"/>
            <w:tcMar>
              <w:top w:w="60" w:type="dxa"/>
              <w:bottom w:w="60" w:type="dxa"/>
              <w:left w:w="115" w:type="dxa"/>
              <w:right w:w="115" w:type="dxa"/>
            </w:tcMar>
          </w:tcPr>
          <w:p>
            <w:pPr>
              <w:spacing w:before="0" w:after="0"/>
            </w:pPr>
            <w:r>
              <w:rPr>
                <w:b w:val="0"/>
                <w:color w:val="202020"/>
                <w:sz w:val="18"/>
              </w:rPr>
              <w:t>Estrategia estándar de entrada. La convocatoria puede apoyarse con mayor confianza en el liderazgo.</w:t>
            </w:r>
          </w:p>
        </w:tc>
      </w:tr>
      <w:tr>
        <w:tc>
          <w:tcPr>
            <w:tcW w:type="dxa" w:w="3024"/>
            <w:tcMar>
              <w:top w:w="60" w:type="dxa"/>
              <w:bottom w:w="60" w:type="dxa"/>
              <w:left w:w="115" w:type="dxa"/>
              <w:right w:w="115" w:type="dxa"/>
            </w:tcMar>
            <w:shd w:val="clear" w:color="auto" w:fill="F7F7F7"/>
          </w:tcPr>
          <w:p>
            <w:pPr>
              <w:spacing w:before="0" w:after="0"/>
            </w:pPr>
            <w:r>
              <w:rPr>
                <w:b w:val="0"/>
                <w:color w:val="202020"/>
                <w:sz w:val="18"/>
              </w:rPr>
              <w:t>Media</w:t>
            </w:r>
          </w:p>
        </w:tc>
        <w:tc>
          <w:tcPr>
            <w:tcW w:type="dxa" w:w="3024"/>
            <w:tcMar>
              <w:top w:w="60" w:type="dxa"/>
              <w:bottom w:w="60" w:type="dxa"/>
              <w:left w:w="115" w:type="dxa"/>
              <w:right w:w="115" w:type="dxa"/>
            </w:tcMar>
            <w:shd w:val="clear" w:color="auto" w:fill="F7F7F7"/>
          </w:tcPr>
          <w:p>
            <w:pPr>
              <w:spacing w:before="0" w:after="0"/>
            </w:pPr>
            <w:r>
              <w:rPr>
                <w:b w:val="0"/>
                <w:color w:val="202020"/>
                <w:sz w:val="18"/>
              </w:rPr>
              <w:t>Alguna organización activa pero con alcance limitado, liderazgo concentrado</w:t>
            </w:r>
          </w:p>
        </w:tc>
        <w:tc>
          <w:tcPr>
            <w:tcW w:type="dxa" w:w="3024"/>
            <w:tcMar>
              <w:top w:w="60" w:type="dxa"/>
              <w:bottom w:w="60" w:type="dxa"/>
              <w:left w:w="115" w:type="dxa"/>
              <w:right w:w="115" w:type="dxa"/>
            </w:tcMar>
            <w:shd w:val="clear" w:color="auto" w:fill="F7F7F7"/>
          </w:tcPr>
          <w:p>
            <w:pPr>
              <w:spacing w:before="0" w:after="0"/>
            </w:pPr>
            <w:r>
              <w:rPr>
                <w:b w:val="0"/>
                <w:color w:val="202020"/>
                <w:sz w:val="18"/>
              </w:rPr>
              <w:t>Diversificar estrategias de convocatoria desde el inicio. No depender de un solo líder.</w:t>
            </w:r>
          </w:p>
        </w:tc>
      </w:tr>
      <w:tr>
        <w:tc>
          <w:tcPr>
            <w:tcW w:type="dxa" w:w="3024"/>
            <w:tcMar>
              <w:top w:w="60" w:type="dxa"/>
              <w:bottom w:w="60" w:type="dxa"/>
              <w:left w:w="115" w:type="dxa"/>
              <w:right w:w="115" w:type="dxa"/>
            </w:tcMar>
          </w:tcPr>
          <w:p>
            <w:pPr>
              <w:spacing w:before="0" w:after="0"/>
            </w:pPr>
            <w:r>
              <w:rPr>
                <w:b w:val="0"/>
                <w:color w:val="202020"/>
                <w:sz w:val="18"/>
              </w:rPr>
              <w:t>Baja</w:t>
            </w:r>
          </w:p>
        </w:tc>
        <w:tc>
          <w:tcPr>
            <w:tcW w:type="dxa" w:w="3024"/>
            <w:tcMar>
              <w:top w:w="60" w:type="dxa"/>
              <w:bottom w:w="60" w:type="dxa"/>
              <w:left w:w="115" w:type="dxa"/>
              <w:right w:w="115" w:type="dxa"/>
            </w:tcMar>
          </w:tcPr>
          <w:p>
            <w:pPr>
              <w:spacing w:before="0" w:after="0"/>
            </w:pPr>
            <w:r>
              <w:rPr>
                <w:b w:val="0"/>
                <w:color w:val="202020"/>
                <w:sz w:val="18"/>
              </w:rPr>
              <w:t>Ausencia de organizaciones, conflictos documentados, liderazgo débil o inexistente</w:t>
            </w:r>
          </w:p>
        </w:tc>
        <w:tc>
          <w:tcPr>
            <w:tcW w:type="dxa" w:w="3024"/>
            <w:tcMar>
              <w:top w:w="60" w:type="dxa"/>
              <w:bottom w:w="60" w:type="dxa"/>
              <w:left w:w="115" w:type="dxa"/>
              <w:right w:w="115" w:type="dxa"/>
            </w:tcMar>
          </w:tcPr>
          <w:p>
            <w:pPr>
              <w:spacing w:before="0" w:after="0"/>
            </w:pPr>
            <w:r>
              <w:rPr>
                <w:b w:val="0"/>
                <w:color w:val="202020"/>
                <w:sz w:val="18"/>
              </w:rPr>
              <w:t>Planificar tiempos de legitimación más largos. Priorizar la construcción de confianza antes de iniciar actividades formales. Evaluar si la comunidad cumple el umbral mínimo de viabilidad.</w:t>
            </w:r>
          </w:p>
        </w:tc>
      </w:tr>
    </w:tbl>
    <w:p>
      <w:pPr>
        <w:spacing w:before="0" w:after="80"/>
      </w:pP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w:t>
      </w:r>
    </w:p>
    <w:p>
      <w:pPr>
        <w:pStyle w:val="Heading2"/>
        <w:spacing w:before="160" w:after="40"/>
        <w:pBdr>
          <w:bottom w:val="single" w:sz="8" w:space="1" w:color="0F4761"/>
        </w:pBdr>
      </w:pPr>
      <w:r>
        <w:rPr>
          <w:b/>
          <w:i w:val="0"/>
          <w:color w:val="0F4761"/>
          <w:sz w:val="22"/>
          <w:u w:val="none"/>
        </w:rPr>
        <w:t>5. Mapeo de actores clave</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Identificar —sin que esto implique aún visitar la comunidad— a directores de escuelas, personal médico, líderes religiosos, líderes comunitarios, referentes históricos locales, sabios de la tercera edad, cultores populares o cronistas locales que gocen de respeto y confianza en la zona, así como aquellos actores que, por su capacidad de control o influencia fáctica, incidan en la seguridad y el acceso a la zona. Esta información debe recopilarse de forma remota mediante redes sociales, medios locales, contactos clave u otras fuentes secundarias.</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Aunque estos actores son el primer punto de contacto, el trato con ellos no equivale necesariamente a reconocerlos como representantes de toda la comunidad. Se recomienda conversar con al menos tres personas sin perfil de líderes antes de cerrar la fase preparatoria.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Elaborar la lista de autoridades y verificar si exigen requisitos para trabajar en la comunidad (alcaldes, directores locales de salud y educación, GN, Policía y otros grupos con influencia real sobre la zona).</w:t>
      </w:r>
    </w:p>
    <w:p>
      <w:pPr>
        <w:spacing w:before="40" w:after="40"/>
        <w:ind w:left="115"/>
        <w:shd w:val="clear" w:color="auto" w:fill="F2F2F2"/>
        <w:pBdr>
          <w:left w:val="single" w:sz="18" w:space="6" w:color="999999"/>
        </w:pBdr>
      </w:pPr>
      <w:r>
        <w:rPr>
          <w:b/>
          <w:color w:val="0F4761"/>
          <w:sz w:val="20"/>
        </w:rPr>
        <w:t xml:space="preserve">Ajuste de seguridad: </w:t>
      </w:r>
      <w:r>
        <w:rPr>
          <w:b w:val="0"/>
          <w:color w:val="202020"/>
          <w:sz w:val="20"/>
        </w:rPr>
        <w:t>Mantener esta información en reserva hasta que se valide en la Fase 2 que el contacto con estas autoridades no compromete la aceptación de la comunidad.</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0F4761"/>
            <w:tcMar>
              <w:top w:w="80" w:type="dxa"/>
              <w:bottom w:w="80" w:type="dxa"/>
              <w:left w:w="160" w:type="dxa"/>
              <w:right w:w="0" w:type="dxa"/>
            </w:tcMar>
            <w:tcW w:w="7371" w:type="dxa"/>
          </w:tcPr>
          <w:p>
            <w:pPr>
              <w:pStyle w:val="Heading1"/>
              <w:spacing w:before="0" w:after="0"/>
            </w:pPr>
            <w:r>
              <w:rPr>
                <w:b/>
                <w:i w:val="0"/>
                <w:color w:val="FFFFFF"/>
                <w:sz w:val="24"/>
                <w:u w:val="none"/>
              </w:rPr>
              <w:t>Fase 2: Aproximación y legitimación</w:t>
            </w:r>
          </w:p>
        </w:tc>
        <w:tc>
          <w:tcPr>
            <w:shd w:val="clear" w:color="auto" w:fill="0F4761"/>
            <w:tcMar>
              <w:top w:w="80" w:type="dxa"/>
              <w:bottom w:w="80" w:type="dxa"/>
              <w:left w:w="0" w:type="dxa"/>
              <w:right w:w="160" w:type="dxa"/>
            </w:tcMar>
            <w:tcW w:w="1984" w:type="dxa"/>
          </w:tcPr>
          <w:p>
            <w:pPr>
              <w:spacing w:before="0" w:after="0"/>
              <w:jc w:val="right"/>
            </w:pPr>
            <w:r>
              <w:rPr>
                <w:b w:val="0"/>
                <w:color w:val="FFFFFF"/>
                <w:sz w:val="18"/>
              </w:rPr>
              <w:t>5 secciones</w:t>
            </w:r>
          </w:p>
        </w:tc>
      </w:tr>
    </w:tbl>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Obtener el aval del liderazgo local antes de informar el acceso a las autoridades administrativas y/o gubernamentales.</w:t>
      </w:r>
    </w:p>
    <w:p>
      <w:pPr>
        <w:pStyle w:val="Heading2"/>
        <w:spacing w:before="160" w:after="40"/>
        <w:pBdr>
          <w:bottom w:val="single" w:sz="8" w:space="1" w:color="0F4761"/>
        </w:pBdr>
      </w:pPr>
      <w:r>
        <w:rPr>
          <w:b/>
          <w:i w:val="0"/>
          <w:color w:val="0F4761"/>
          <w:sz w:val="22"/>
          <w:u w:val="none"/>
        </w:rPr>
        <w:t>1. Primer contacto: la "pre-visita" de cortesía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Realizar una visita con equipo técnico reducido dirigida exclusivamente al liderazgo identificado en la Fase 1. Esta visita debe realizarse en compañía de personal y/o voluntarios con enfoque en trabajo social y/o comunitario.</w:t>
      </w:r>
    </w:p>
    <w:p>
      <w:pPr>
        <w:spacing w:before="40" w:after="40"/>
        <w:ind w:left="115"/>
        <w:shd w:val="clear" w:color="auto" w:fill="F2F2F2"/>
        <w:pBdr>
          <w:left w:val="single" w:sz="18" w:space="6" w:color="999999"/>
        </w:pBdr>
      </w:pPr>
      <w:r>
        <w:rPr>
          <w:b/>
          <w:color w:val="0F4761"/>
          <w:sz w:val="20"/>
        </w:rPr>
        <w:t xml:space="preserve">Propósito: </w:t>
      </w:r>
      <w:r>
        <w:rPr>
          <w:b w:val="0"/>
          <w:color w:val="202020"/>
          <w:sz w:val="20"/>
        </w:rPr>
        <w:t>Validar y legitimar formalmente el rol del liderazgo local, presentar el mandato humanitario de la CRV y el objetivo de la intervención, y solicitar la orientación estratégica de los vecinos sobre la mejor vía para el ingreso formal del equipo a la comunidad.</w:t>
      </w:r>
    </w:p>
    <w:p>
      <w:pPr>
        <w:pStyle w:val="Heading2"/>
        <w:spacing w:before="160" w:after="40"/>
        <w:pBdr>
          <w:bottom w:val="single" w:sz="8" w:space="1" w:color="0F4761"/>
        </w:pBdr>
      </w:pPr>
      <w:r>
        <w:rPr>
          <w:b/>
          <w:i w:val="0"/>
          <w:color w:val="0F4761"/>
          <w:sz w:val="22"/>
          <w:u w:val="none"/>
        </w:rPr>
        <w:t>2. Aplicación obligatoria del Cuestionario de Evaluación Rápida en Comunidades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obtenido el aval del liderazgo comunitario, la filial debe aplicar de forma obligatoria el Cuestionario de Evaluación Rápida en Comunidades antes de avanzar a la Fase 3. Este instrumento permite obtener un diagnóstico preliminar del nivel de severidad humanitaria en cinco dimensiones: Alojamiento y Vivienda, Gestión del Riesgo, Salud y Bienestar, Agua, Saneamiento e Higiene, y Cohesión y Protección Social.</w:t>
      </w:r>
    </w:p>
    <w:p>
      <w:pPr>
        <w:pStyle w:val="Heading3"/>
        <w:spacing w:before="100" w:after="30"/>
      </w:pPr>
      <w:r>
        <w:rPr>
          <w:b/>
          <w:i w:val="0"/>
          <w:color w:val="0F4761"/>
          <w:sz w:val="20"/>
          <w:u w:val="none"/>
        </w:rPr>
        <w:t>Instrucciones de aplicación:</w:t>
      </w:r>
    </w:p>
    <w:p>
      <w:pPr>
        <w:spacing w:before="20" w:after="20"/>
        <w:ind w:left="453" w:hanging="180"/>
      </w:pPr>
      <w:r>
        <w:rPr>
          <w:color w:val="0F4761"/>
          <w:sz w:val="20"/>
        </w:rPr>
        <w:t xml:space="preserve">•  </w:t>
      </w:r>
      <w:r>
        <w:rPr>
          <w:b w:val="0"/>
          <w:color w:val="202020"/>
          <w:sz w:val="20"/>
        </w:rPr>
        <w:t>El cuestionario debe ser respondido por líderes comunitarios, personal de salud y/o personal docente, según la sección que se esté completando.</w:t>
      </w:r>
    </w:p>
    <w:p>
      <w:pPr>
        <w:spacing w:before="20" w:after="20"/>
        <w:ind w:left="453" w:hanging="180"/>
      </w:pPr>
      <w:r>
        <w:rPr>
          <w:color w:val="0F4761"/>
          <w:sz w:val="20"/>
        </w:rPr>
        <w:t xml:space="preserve">•  </w:t>
      </w:r>
      <w:r>
        <w:rPr>
          <w:b w:val="0"/>
          <w:color w:val="202020"/>
          <w:sz w:val="20"/>
        </w:rPr>
        <w:t>Se aplica un solo cuestionario por comunidad.</w:t>
      </w:r>
    </w:p>
    <w:p>
      <w:pPr>
        <w:spacing w:before="20" w:after="20"/>
        <w:ind w:left="453" w:hanging="180"/>
      </w:pPr>
      <w:r>
        <w:rPr>
          <w:color w:val="0F4761"/>
          <w:sz w:val="20"/>
        </w:rPr>
        <w:t xml:space="preserve">•  </w:t>
      </w:r>
      <w:r>
        <w:rPr>
          <w:b w:val="0"/>
          <w:color w:val="202020"/>
          <w:sz w:val="20"/>
        </w:rPr>
        <w:t>Debe transcribirse íntegramente en la plataforma Kobo, incluyendo obligatoriamente: estado, municipio, parroquia, nombre de la comunidad, coordenadas GPS, fecha de la encuesta y nombre de quien entrevista.</w:t>
      </w:r>
    </w:p>
    <w:p>
      <w:pPr>
        <w:spacing w:before="20" w:after="20"/>
        <w:ind w:left="453" w:hanging="180"/>
      </w:pPr>
      <w:r>
        <w:rPr>
          <w:color w:val="0F4761"/>
          <w:sz w:val="20"/>
        </w:rPr>
        <w:t xml:space="preserve">•  </w:t>
      </w:r>
      <w:r>
        <w:rPr>
          <w:color w:val="202020"/>
          <w:sz w:val="20"/>
        </w:rPr>
        <w:t xml:space="preserve">Acceda al cuestionario: </w:t>
      </w:r>
      <w:r>
        <w:rPr>
          <w:color w:val="1F699C"/>
          <w:sz w:val="20"/>
        </w:rPr>
        <w:t>https://ee.ifrc.org/x/M28RoiY6</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aplicación del cuestionario no es opcional. Su resultado orienta la planificación de la Fase 3 al determinar el nivel de severidad de la comunidad —crítica, alta, moderada o baja— y las dimensiones que requieren mayor atención. Omitir este paso compromete la calidad del diagnóstico y la pertinencia de la intervención.</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El cuestionario puede aplicarse durante la pre-visita de cortesía o en un momento posterior, siempre antes de iniciar las actividades de la Fase 3. La guía de aplicación completa está disponible en el documento "Cuestionario de evaluación rápida en comunidades y Guía de aplicación".</w:t>
      </w:r>
    </w:p>
    <w:p>
      <w:pPr>
        <w:pStyle w:val="Heading2"/>
        <w:spacing w:before="160" w:after="40"/>
        <w:pBdr>
          <w:bottom w:val="single" w:sz="8" w:space="1" w:color="0F4761"/>
        </w:pBdr>
      </w:pPr>
      <w:r>
        <w:rPr>
          <w:b/>
          <w:i w:val="0"/>
          <w:color w:val="0F4761"/>
          <w:sz w:val="22"/>
          <w:u w:val="none"/>
        </w:rPr>
        <w:t>3. Interpretación del diagnóstico y orientación del tipo de intervención</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procesados los resultados del Cuestionario de Evaluación Rápida, la filial debe determinar el nivel de severidad de la comunidad y evaluar si cuenta con la capacidad y los recursos para responder a ese perfil. A continuación se detallan las intervenciones sugeridas para cada perfil:</w:t>
      </w:r>
    </w:p>
    <w:p>
      <w:pPr>
        <w:pStyle w:val="Heading3"/>
        <w:spacing w:before="100" w:after="30"/>
      </w:pPr>
      <w:r>
        <w:rPr>
          <w:b/>
          <w:i w:val="0"/>
          <w:color w:val="0F4761"/>
          <w:sz w:val="20"/>
          <w:u w:val="none"/>
        </w:rPr>
        <w:t>Severidad Crítica (Comunidades de Baja Articulación Social y Exclusión Sanitaria)</w:t>
      </w:r>
    </w:p>
    <w:p>
      <w:pPr>
        <w:spacing w:before="0" w:after="40"/>
      </w:pPr>
      <w:r>
        <w:rPr>
          <w:color w:val="202020"/>
          <w:sz w:val="20"/>
        </w:rPr>
        <w:t>Para estas comunidades, que presentan múltiples déficits estructurales y bajo capital social, se recomienda una respuesta integral y urgente:</w:t>
      </w:r>
    </w:p>
    <w:p>
      <w:pPr>
        <w:spacing w:before="20" w:after="20"/>
        <w:ind w:left="453" w:hanging="180"/>
      </w:pPr>
      <w:r>
        <w:rPr>
          <w:color w:val="0F4761"/>
          <w:sz w:val="20"/>
        </w:rPr>
        <w:t xml:space="preserve">•  </w:t>
      </w:r>
      <w:r>
        <w:rPr>
          <w:b/>
          <w:color w:val="202020"/>
          <w:sz w:val="20"/>
        </w:rPr>
        <w:t>Agua y Saneamiento:</w:t>
      </w:r>
      <w:r>
        <w:rPr>
          <w:b w:val="0"/>
          <w:color w:val="202020"/>
          <w:sz w:val="20"/>
        </w:rPr>
        <w:t xml:space="preserve"> Instalación rápida de infraestructura básica para mitigar problemas de acceso y calidad del agua, y resolver la carencia de baños o el uso de letrinas fuera del hogar.</w:t>
      </w:r>
    </w:p>
    <w:p>
      <w:pPr>
        <w:spacing w:before="20" w:after="20"/>
        <w:ind w:left="453" w:hanging="180"/>
      </w:pPr>
      <w:r>
        <w:rPr>
          <w:color w:val="0F4761"/>
          <w:sz w:val="20"/>
        </w:rPr>
        <w:t xml:space="preserve">•  </w:t>
      </w:r>
      <w:r>
        <w:rPr>
          <w:b/>
          <w:color w:val="202020"/>
          <w:sz w:val="20"/>
        </w:rPr>
        <w:t>Cohesión Social:</w:t>
      </w:r>
      <w:r>
        <w:rPr>
          <w:b w:val="0"/>
          <w:color w:val="202020"/>
          <w:sz w:val="20"/>
        </w:rPr>
        <w:t xml:space="preserve"> Estimular y consolidar el capital social a través de la formación o reactivación de organizaciones (deportivas, culturales, religiosas) que permitan una respuesta colectiva ante problemas de salud y riesgo.</w:t>
      </w:r>
    </w:p>
    <w:p>
      <w:pPr>
        <w:spacing w:before="20" w:after="20"/>
        <w:ind w:left="453" w:hanging="180"/>
      </w:pPr>
      <w:r>
        <w:rPr>
          <w:color w:val="0F4761"/>
          <w:sz w:val="20"/>
        </w:rPr>
        <w:t xml:space="preserve">•  </w:t>
      </w:r>
      <w:r>
        <w:rPr>
          <w:b/>
          <w:color w:val="202020"/>
          <w:sz w:val="20"/>
        </w:rPr>
        <w:t>Gestión del Riesgo:</w:t>
      </w:r>
      <w:r>
        <w:rPr>
          <w:b w:val="0"/>
          <w:color w:val="202020"/>
          <w:sz w:val="20"/>
        </w:rPr>
        <w:t xml:space="preserve"> Fortalecer la preparación comunitaria mediante la identificación de amenazas, capacitación en primeros auxilios, simulacros de evacuación y coordinación con entes como Bomberos y Defensa Civil.</w:t>
      </w:r>
    </w:p>
    <w:p>
      <w:pPr>
        <w:pStyle w:val="Heading3"/>
        <w:spacing w:before="100" w:after="30"/>
      </w:pPr>
      <w:r>
        <w:rPr>
          <w:b/>
          <w:i w:val="0"/>
          <w:color w:val="0F4761"/>
          <w:sz w:val="20"/>
          <w:u w:val="none"/>
        </w:rPr>
        <w:t>Severidad Alta (Zonas de Vacío Asistencial)</w:t>
      </w:r>
    </w:p>
    <w:p>
      <w:pPr>
        <w:spacing w:before="0" w:after="40"/>
      </w:pPr>
      <w:r>
        <w:rPr>
          <w:color w:val="202020"/>
          <w:sz w:val="20"/>
        </w:rPr>
        <w:t>En estas comunidades, caracterizadas por una deficiencia grave de servicios de salud, las acciones deben ser de intervención prioritaria:</w:t>
      </w:r>
    </w:p>
    <w:p>
      <w:pPr>
        <w:spacing w:before="20" w:after="20"/>
        <w:ind w:left="453" w:hanging="180"/>
      </w:pPr>
      <w:r>
        <w:rPr>
          <w:color w:val="0F4761"/>
          <w:sz w:val="20"/>
        </w:rPr>
        <w:t xml:space="preserve">•  </w:t>
      </w:r>
      <w:r>
        <w:rPr>
          <w:b/>
          <w:color w:val="202020"/>
          <w:sz w:val="20"/>
        </w:rPr>
        <w:t>Salud Primaria y Especializada:</w:t>
      </w:r>
      <w:r>
        <w:rPr>
          <w:b w:val="0"/>
          <w:color w:val="202020"/>
          <w:sz w:val="20"/>
        </w:rPr>
        <w:t xml:space="preserve"> Despliegue de personal sanitario (médicos, enfermeras), unidades móviles y telemedicina.</w:t>
      </w:r>
    </w:p>
    <w:p>
      <w:pPr>
        <w:spacing w:before="20" w:after="20"/>
        <w:ind w:left="453" w:hanging="180"/>
      </w:pPr>
      <w:r>
        <w:rPr>
          <w:color w:val="0F4761"/>
          <w:sz w:val="20"/>
        </w:rPr>
        <w:t xml:space="preserve">•  </w:t>
      </w:r>
      <w:r>
        <w:rPr>
          <w:b/>
          <w:color w:val="202020"/>
          <w:sz w:val="20"/>
        </w:rPr>
        <w:t>Soporte Psicosocial:</w:t>
      </w:r>
      <w:r>
        <w:rPr>
          <w:b w:val="0"/>
          <w:color w:val="202020"/>
          <w:sz w:val="20"/>
        </w:rPr>
        <w:t xml:space="preserve"> Incorporar redes de autoayuda y asegurar el acceso a servicios de salud mental.</w:t>
      </w:r>
    </w:p>
    <w:p>
      <w:pPr>
        <w:spacing w:before="20" w:after="20"/>
        <w:ind w:left="453" w:hanging="180"/>
      </w:pPr>
      <w:r>
        <w:rPr>
          <w:color w:val="0F4761"/>
          <w:sz w:val="20"/>
        </w:rPr>
        <w:t xml:space="preserve">•  </w:t>
      </w:r>
      <w:r>
        <w:rPr>
          <w:b/>
          <w:color w:val="202020"/>
          <w:sz w:val="20"/>
        </w:rPr>
        <w:t>Sistemas de Referencia:</w:t>
      </w:r>
      <w:r>
        <w:rPr>
          <w:b w:val="0"/>
          <w:color w:val="202020"/>
          <w:sz w:val="20"/>
        </w:rPr>
        <w:t xml:space="preserve"> Establecer sistemas logísticos y de comunicación operativos para el traslado de pacientes, incluso para servicios básicos como el control prenatal.</w:t>
      </w:r>
    </w:p>
    <w:p>
      <w:pPr>
        <w:pStyle w:val="Heading3"/>
        <w:spacing w:before="100" w:after="30"/>
      </w:pPr>
      <w:r>
        <w:rPr>
          <w:b/>
          <w:i w:val="0"/>
          <w:color w:val="0F4761"/>
          <w:sz w:val="20"/>
          <w:u w:val="none"/>
        </w:rPr>
        <w:t>Severidad Moderada (Núcleos de Fortaleza Social y Sanitaria)</w:t>
      </w:r>
    </w:p>
    <w:p>
      <w:pPr>
        <w:spacing w:before="0" w:after="40"/>
      </w:pPr>
      <w:r>
        <w:rPr>
          <w:color w:val="202020"/>
          <w:sz w:val="20"/>
        </w:rPr>
        <w:t>Dado que estas comunidades ya cuentan con fortalezas activas, las intervenciones deben centrarse en el mantenimiento y preservación de lo existente:</w:t>
      </w:r>
    </w:p>
    <w:p>
      <w:pPr>
        <w:spacing w:before="20" w:after="20"/>
        <w:ind w:left="453" w:hanging="180"/>
      </w:pPr>
      <w:r>
        <w:rPr>
          <w:color w:val="0F4761"/>
          <w:sz w:val="20"/>
        </w:rPr>
        <w:t xml:space="preserve">•  </w:t>
      </w:r>
      <w:r>
        <w:rPr>
          <w:b/>
          <w:color w:val="202020"/>
          <w:sz w:val="20"/>
        </w:rPr>
        <w:t>Mantenimiento de Servicios:</w:t>
      </w:r>
      <w:r>
        <w:rPr>
          <w:b w:val="0"/>
          <w:color w:val="202020"/>
          <w:sz w:val="20"/>
        </w:rPr>
        <w:t xml:space="preserve"> Garantizar que las obras y servicios existentes no se deterioren con el tiempo.</w:t>
      </w:r>
    </w:p>
    <w:p>
      <w:pPr>
        <w:spacing w:before="20" w:after="20"/>
        <w:ind w:left="453" w:hanging="180"/>
      </w:pPr>
      <w:r>
        <w:rPr>
          <w:color w:val="0F4761"/>
          <w:sz w:val="20"/>
        </w:rPr>
        <w:t xml:space="preserve">•  </w:t>
      </w:r>
      <w:r>
        <w:rPr>
          <w:b/>
          <w:color w:val="202020"/>
          <w:sz w:val="20"/>
        </w:rPr>
        <w:t>Redes Comunitarias:</w:t>
      </w:r>
      <w:r>
        <w:rPr>
          <w:b w:val="0"/>
          <w:color w:val="202020"/>
          <w:sz w:val="20"/>
        </w:rPr>
        <w:t xml:space="preserve"> Reforzar continuamente las redes sociales y el capital social activo.</w:t>
      </w:r>
    </w:p>
    <w:p>
      <w:pPr>
        <w:spacing w:before="20" w:after="20"/>
        <w:ind w:left="453" w:hanging="180"/>
      </w:pPr>
      <w:r>
        <w:rPr>
          <w:color w:val="0F4761"/>
          <w:sz w:val="20"/>
        </w:rPr>
        <w:t xml:space="preserve">•  </w:t>
      </w:r>
      <w:r>
        <w:rPr>
          <w:b/>
          <w:color w:val="202020"/>
          <w:sz w:val="20"/>
        </w:rPr>
        <w:t>Formación Continua:</w:t>
      </w:r>
      <w:r>
        <w:rPr>
          <w:b w:val="0"/>
          <w:color w:val="202020"/>
          <w:sz w:val="20"/>
        </w:rPr>
        <w:t xml:space="preserve"> Asegurar la actualización permanente del personal sanitario para preservar la capacidad de atención actual.</w:t>
      </w:r>
    </w:p>
    <w:p>
      <w:pPr>
        <w:pStyle w:val="Heading3"/>
        <w:spacing w:before="100" w:after="30"/>
      </w:pPr>
      <w:r>
        <w:rPr>
          <w:b/>
          <w:i w:val="0"/>
          <w:color w:val="0F4761"/>
          <w:sz w:val="20"/>
          <w:u w:val="none"/>
        </w:rPr>
        <w:t>Severidad Baja (Áreas de Gestión de Riesgo y Sanitaria Integrada)</w:t>
      </w:r>
    </w:p>
    <w:p>
      <w:pPr>
        <w:spacing w:before="0" w:after="40"/>
      </w:pPr>
      <w:r>
        <w:rPr>
          <w:color w:val="202020"/>
          <w:sz w:val="20"/>
        </w:rPr>
        <w:t>Estas comunidades presentan el mejor estado de bienestar relativo, por lo que su rol es estratégico para el entorno:</w:t>
      </w:r>
    </w:p>
    <w:p>
      <w:pPr>
        <w:spacing w:before="20" w:after="20"/>
        <w:ind w:left="453" w:hanging="180"/>
      </w:pPr>
      <w:r>
        <w:rPr>
          <w:color w:val="0F4761"/>
          <w:sz w:val="20"/>
        </w:rPr>
        <w:t xml:space="preserve">•  </w:t>
      </w:r>
      <w:r>
        <w:rPr>
          <w:b/>
          <w:color w:val="202020"/>
          <w:sz w:val="20"/>
        </w:rPr>
        <w:t>Centros de Referencia:</w:t>
      </w:r>
      <w:r>
        <w:rPr>
          <w:b w:val="0"/>
          <w:color w:val="202020"/>
          <w:sz w:val="20"/>
        </w:rPr>
        <w:t xml:space="preserve"> Consolidarlas como plataformas de aprendizaje y centros de referencia para comunidades aledañas con mayor vulnerabilidad.</w:t>
      </w:r>
    </w:p>
    <w:p>
      <w:pPr>
        <w:spacing w:before="20" w:after="20"/>
        <w:ind w:left="453" w:hanging="180"/>
      </w:pPr>
      <w:r>
        <w:rPr>
          <w:color w:val="0F4761"/>
          <w:sz w:val="20"/>
        </w:rPr>
        <w:t xml:space="preserve">•  </w:t>
      </w:r>
      <w:r>
        <w:rPr>
          <w:b/>
          <w:color w:val="202020"/>
          <w:sz w:val="20"/>
        </w:rPr>
        <w:t>Optimización:</w:t>
      </w:r>
      <w:r>
        <w:rPr>
          <w:b w:val="0"/>
          <w:color w:val="202020"/>
          <w:sz w:val="20"/>
        </w:rPr>
        <w:t xml:space="preserve"> Intervenir para mantener y optimizar los servicios de salud y de gestión de riesgos que ya funcionan de manera integrada.</w:t>
      </w:r>
    </w:p>
    <w:p>
      <w:pPr>
        <w:spacing w:before="120" w:after="40"/>
      </w:pPr>
      <w:r>
        <w:rPr>
          <w:b/>
          <w:color w:val="0F4761"/>
          <w:sz w:val="22"/>
        </w:rPr>
        <w:t>Notificación a Sede Central: Formulario de inicio de exploración comunitaria</w:t>
      </w:r>
    </w:p>
    <w:p>
      <w:pPr>
        <w:spacing w:before="0" w:after="60"/>
      </w:pPr>
      <w:r>
        <w:rPr>
          <w:color w:val="202020"/>
          <w:sz w:val="20"/>
        </w:rPr>
        <w:t>Antes de avanzar a la Fase 3, la filial debe completar el Formulario de inicio de exploración comunitaria disponible en la plataforma Kobo. Este registro tiene dos propósitos: notificar formalmente a la Sede Central sobre el trabajo que la filial planea iniciar, y construir memoria institucional sobre las decisiones tomadas antes del despliegue.</w:t>
      </w:r>
    </w:p>
    <w:p>
      <w:pPr>
        <w:spacing w:before="0" w:after="60"/>
      </w:pPr>
      <w:r>
        <w:rPr>
          <w:color w:val="202020"/>
          <w:sz w:val="20"/>
        </w:rPr>
        <w:t>El formulario recoge los datos básicos de la filial y la comunidad, los resultados del Cuestionario de Evaluación Rápida, el tipo de iniciativa y áreas de intervención contempladas, los recursos disponibles y los próximos pasos. Su llenado es un paso administrativo, no un compromiso operativo: la filial puede completarlo incluso si aún no ha definido con precisión el alcance de la intervención.</w:t>
      </w:r>
    </w:p>
    <w:p>
      <w:pPr>
        <w:spacing w:before="0" w:after="80"/>
        <w:ind w:left="115"/>
        <w:shd w:val="clear" w:color="auto" w:fill="E8F4FD"/>
        <w:pBdr>
          <w:left w:val="single" w:sz="18" w:space="6" w:color="1F699C"/>
        </w:pBdr>
      </w:pPr>
      <w:r>
        <w:rPr>
          <w:b/>
          <w:color w:val="1F699C"/>
          <w:sz w:val="20"/>
        </w:rPr>
        <w:t xml:space="preserve">Acceda al formulario: </w:t>
      </w:r>
      <w:r>
        <w:rPr>
          <w:color w:val="1F699C"/>
          <w:sz w:val="20"/>
        </w:rPr>
        <w:t>https://ee.ifrc.org/x/xsLJqlzG</w:t>
      </w:r>
    </w:p>
    <w:p>
      <w:pPr>
        <w:pStyle w:val="Heading2"/>
        <w:spacing w:before="160" w:after="40"/>
        <w:pBdr>
          <w:bottom w:val="single" w:sz="8" w:space="1" w:color="0F4761"/>
        </w:pBdr>
      </w:pPr>
      <w:r>
        <w:rPr>
          <w:b/>
          <w:i w:val="0"/>
          <w:color w:val="0F4761"/>
          <w:sz w:val="22"/>
          <w:u w:val="none"/>
        </w:rPr>
        <w:t>4. Planificación de la convocatoria comunitaria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establecido el vínculo con el liderazgo y definido el propósito del trabajo conjunto, la filial debe planificar de manera explícita cómo se convocará a los miembros de la comunidad para las actividades del proyecto. Por ejemplo, en el área de GRD, una convocatoria sostenida de entre 15 y 30 personas debe considerarse un resultado exitoso. Partir de expectativas más altas puede llevar a evaluaciones de fracaso que no reflejan la realidad del trabajo comunitario en este campo.</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Delegar la convocatoria exclusivamente en el liderazgo comunitario es la estrategia más común, pero también la más frágil: los líderes convocan a quienes conocen, una práctica que puede excluir sectores de la comunidad y generar una participación desequilibrada.</w:t>
      </w:r>
    </w:p>
    <w:p>
      <w:pPr>
        <w:pStyle w:val="Heading3"/>
        <w:spacing w:before="100" w:after="30"/>
      </w:pPr>
      <w:r>
        <w:rPr>
          <w:b/>
          <w:i w:val="0"/>
          <w:color w:val="0F4761"/>
          <w:sz w:val="20"/>
          <w:u w:val="none"/>
        </w:rPr>
        <w:t>Estrategias alternativas de convocatoria:</w:t>
      </w:r>
    </w:p>
    <w:p>
      <w:pPr>
        <w:spacing w:before="20" w:after="20"/>
        <w:ind w:left="453" w:hanging="180"/>
      </w:pPr>
      <w:r>
        <w:rPr>
          <w:color w:val="0F4761"/>
          <w:sz w:val="20"/>
        </w:rPr>
        <w:t xml:space="preserve">•  </w:t>
      </w:r>
      <w:r>
        <w:rPr>
          <w:b/>
          <w:color w:val="202020"/>
          <w:sz w:val="20"/>
        </w:rPr>
        <w:t>Integración programática:</w:t>
      </w:r>
      <w:r>
        <w:rPr>
          <w:b w:val="0"/>
          <w:color w:val="202020"/>
          <w:sz w:val="20"/>
        </w:rPr>
        <w:t xml:space="preserve"> Coordinar con otras áreas o programas de la filial que ya tengan presencia en la comunidad para incorporar las actividades dentro de espacios ya establecidos (ej. inducciones en salas de espera de centros de salud).</w:t>
      </w:r>
    </w:p>
    <w:p>
      <w:pPr>
        <w:spacing w:before="20" w:after="20"/>
        <w:ind w:left="453" w:hanging="180"/>
      </w:pPr>
      <w:r>
        <w:rPr>
          <w:color w:val="0F4761"/>
          <w:sz w:val="20"/>
        </w:rPr>
        <w:t xml:space="preserve">•  </w:t>
      </w:r>
      <w:r>
        <w:rPr>
          <w:b/>
          <w:color w:val="202020"/>
          <w:sz w:val="20"/>
        </w:rPr>
        <w:t>Redes secundarias:</w:t>
      </w:r>
      <w:r>
        <w:rPr>
          <w:b w:val="0"/>
          <w:color w:val="202020"/>
          <w:sz w:val="20"/>
        </w:rPr>
        <w:t xml:space="preserve"> Identificar, junto al liderazgo, personas con capacidad de convocatoria en sectores específicos que no dependen del líder principal: promotores de salud, docentes, líderes religiosos, representantes de grupos de jóvenes o adultos mayores.</w:t>
      </w:r>
    </w:p>
    <w:p>
      <w:pPr>
        <w:spacing w:before="20" w:after="20"/>
        <w:ind w:left="453" w:hanging="180"/>
      </w:pPr>
      <w:r>
        <w:rPr>
          <w:color w:val="0F4761"/>
          <w:sz w:val="20"/>
        </w:rPr>
        <w:t xml:space="preserve">•  </w:t>
      </w:r>
      <w:r>
        <w:rPr>
          <w:b/>
          <w:color w:val="202020"/>
          <w:sz w:val="20"/>
        </w:rPr>
        <w:t>Momentos y espacios de alta concurrencia:</w:t>
      </w:r>
      <w:r>
        <w:rPr>
          <w:b w:val="0"/>
          <w:color w:val="202020"/>
          <w:sz w:val="20"/>
        </w:rPr>
        <w:t xml:space="preserve"> Planificar actividades en horarios y lugares donde la comunidad ya se congrega de forma natural, reduciendo la barrera de asistencia.</w:t>
      </w:r>
    </w:p>
    <w:p>
      <w:pPr>
        <w:spacing w:before="20" w:after="20"/>
        <w:ind w:left="453" w:hanging="180"/>
      </w:pPr>
      <w:r>
        <w:rPr>
          <w:color w:val="0F4761"/>
          <w:sz w:val="20"/>
        </w:rPr>
        <w:t xml:space="preserve">•  </w:t>
      </w:r>
      <w:r>
        <w:rPr>
          <w:b/>
          <w:color w:val="202020"/>
          <w:sz w:val="20"/>
        </w:rPr>
        <w:t>Atractivo del proyecto:</w:t>
      </w:r>
      <w:r>
        <w:rPr>
          <w:b w:val="0"/>
          <w:color w:val="202020"/>
          <w:sz w:val="20"/>
        </w:rPr>
        <w:t xml:space="preserve"> Asegurarse de que la primera actividad ofrezca un valor tangible e inmediato para los participantes, de modo que la experiencia genere motivación para futuras convocatorias.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la participación cae por debajo del umbral mínimo acordado en dos o más actividades consecutivas, la filial debe evaluar si el problema es de convocatoria o si indica una limitación estructural de la comunidad como sitio de intervención. Esta evaluación debe documentarse antes de continuar.</w:t>
      </w:r>
    </w:p>
    <w:p>
      <w:pPr>
        <w:pStyle w:val="Heading2"/>
        <w:spacing w:before="160" w:after="40"/>
        <w:pBdr>
          <w:bottom w:val="single" w:sz="8" w:space="1" w:color="0F4761"/>
        </w:pBdr>
      </w:pPr>
      <w:r>
        <w:rPr>
          <w:b/>
          <w:i w:val="0"/>
          <w:color w:val="0F4761"/>
          <w:sz w:val="22"/>
          <w:u w:val="none"/>
        </w:rPr>
        <w:t>5. Gestión de permisos y notificación a autoridades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obtenido el permiso de los líderes, y solo en caso de ser necesario, proceder a tramitar los permisos con las autoridades del Estado mencionados en la Fase 1 (alcaldía, cuerpos de seguridad).</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Entrar con el aval de la comunidad protege al personal ante las autoridades civiles o militares.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El criterio de "solo en caso de ser necesario" requiere una evaluación explícita. Antes de decidir si tramita o no permisos con autoridades, la filial debe considerar los siguientes factores: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tcMar>
              <w:top w:w="60" w:type="dxa"/>
              <w:bottom w:w="60" w:type="dxa"/>
              <w:left w:w="115" w:type="dxa"/>
              <w:right w:w="115" w:type="dxa"/>
            </w:tcMar>
            <w:shd w:val="clear" w:color="auto" w:fill="0F4761"/>
          </w:tcPr>
          <w:p>
            <w:pPr>
              <w:spacing w:before="0" w:after="0"/>
            </w:pPr>
            <w:r>
              <w:rPr>
                <w:b/>
                <w:color w:val="FFFFFF"/>
                <w:sz w:val="18"/>
              </w:rPr>
              <w:t>Factor</w:t>
            </w:r>
          </w:p>
        </w:tc>
        <w:tc>
          <w:tcPr>
            <w:tcW w:type="dxa" w:w="3024"/>
            <w:tcMar>
              <w:top w:w="60" w:type="dxa"/>
              <w:bottom w:w="60" w:type="dxa"/>
              <w:left w:w="115" w:type="dxa"/>
              <w:right w:w="115" w:type="dxa"/>
            </w:tcMar>
            <w:shd w:val="clear" w:color="auto" w:fill="0F4761"/>
          </w:tcPr>
          <w:p>
            <w:pPr>
              <w:spacing w:before="0" w:after="0"/>
            </w:pPr>
            <w:r>
              <w:rPr>
                <w:b/>
                <w:color w:val="FFFFFF"/>
                <w:sz w:val="18"/>
              </w:rPr>
              <w:t>Sugiere notificar</w:t>
            </w:r>
          </w:p>
        </w:tc>
        <w:tc>
          <w:tcPr>
            <w:tcW w:type="dxa" w:w="3024"/>
            <w:tcMar>
              <w:top w:w="60" w:type="dxa"/>
              <w:bottom w:w="60" w:type="dxa"/>
              <w:left w:w="115" w:type="dxa"/>
              <w:right w:w="115" w:type="dxa"/>
            </w:tcMar>
            <w:shd w:val="clear" w:color="auto" w:fill="0F4761"/>
          </w:tcPr>
          <w:p>
            <w:pPr>
              <w:spacing w:before="0" w:after="0"/>
            </w:pPr>
            <w:r>
              <w:rPr>
                <w:b/>
                <w:color w:val="FFFFFF"/>
                <w:sz w:val="18"/>
              </w:rPr>
              <w:t>Sugiere no notificar</w:t>
            </w:r>
          </w:p>
        </w:tc>
      </w:tr>
      <w:tr>
        <w:tc>
          <w:tcPr>
            <w:tcW w:type="dxa" w:w="3024"/>
            <w:tcMar>
              <w:top w:w="60" w:type="dxa"/>
              <w:bottom w:w="60" w:type="dxa"/>
              <w:left w:w="115" w:type="dxa"/>
              <w:right w:w="115" w:type="dxa"/>
            </w:tcMar>
          </w:tcPr>
          <w:p>
            <w:pPr>
              <w:spacing w:before="0" w:after="0"/>
            </w:pPr>
            <w:r>
              <w:rPr>
                <w:b w:val="0"/>
                <w:color w:val="202020"/>
                <w:sz w:val="18"/>
              </w:rPr>
              <w:t>Escala de la actividad</w:t>
            </w:r>
          </w:p>
        </w:tc>
        <w:tc>
          <w:tcPr>
            <w:tcW w:type="dxa" w:w="3024"/>
            <w:tcMar>
              <w:top w:w="60" w:type="dxa"/>
              <w:bottom w:w="60" w:type="dxa"/>
              <w:left w:w="115" w:type="dxa"/>
              <w:right w:w="115" w:type="dxa"/>
            </w:tcMar>
          </w:tcPr>
          <w:p>
            <w:pPr>
              <w:spacing w:before="0" w:after="0"/>
            </w:pPr>
            <w:r>
              <w:rPr>
                <w:b w:val="0"/>
                <w:color w:val="202020"/>
                <w:sz w:val="18"/>
              </w:rPr>
              <w:t>Actividad masiva, visible o de larga duración</w:t>
            </w:r>
          </w:p>
        </w:tc>
        <w:tc>
          <w:tcPr>
            <w:tcW w:type="dxa" w:w="3024"/>
            <w:tcMar>
              <w:top w:w="60" w:type="dxa"/>
              <w:bottom w:w="60" w:type="dxa"/>
              <w:left w:w="115" w:type="dxa"/>
              <w:right w:w="115" w:type="dxa"/>
            </w:tcMar>
          </w:tcPr>
          <w:p>
            <w:pPr>
              <w:spacing w:before="0" w:after="0"/>
            </w:pPr>
            <w:r>
              <w:rPr>
                <w:b w:val="0"/>
                <w:color w:val="202020"/>
                <w:sz w:val="18"/>
              </w:rPr>
              <w:t>Actividad pequeña, discreta o puntual</w:t>
            </w:r>
          </w:p>
        </w:tc>
      </w:tr>
      <w:tr>
        <w:tc>
          <w:tcPr>
            <w:tcW w:type="dxa" w:w="3024"/>
            <w:tcMar>
              <w:top w:w="60" w:type="dxa"/>
              <w:bottom w:w="60" w:type="dxa"/>
              <w:left w:w="115" w:type="dxa"/>
              <w:right w:w="115" w:type="dxa"/>
            </w:tcMar>
            <w:shd w:val="clear" w:color="auto" w:fill="F7F7F7"/>
          </w:tcPr>
          <w:p>
            <w:pPr>
              <w:spacing w:before="0" w:after="0"/>
            </w:pPr>
            <w:r>
              <w:rPr>
                <w:b w:val="0"/>
                <w:color w:val="202020"/>
                <w:sz w:val="18"/>
              </w:rPr>
              <w:t>Tipo de actividad</w:t>
            </w:r>
          </w:p>
        </w:tc>
        <w:tc>
          <w:tcPr>
            <w:tcW w:type="dxa" w:w="3024"/>
            <w:tcMar>
              <w:top w:w="60" w:type="dxa"/>
              <w:bottom w:w="60" w:type="dxa"/>
              <w:left w:w="115" w:type="dxa"/>
              <w:right w:w="115" w:type="dxa"/>
            </w:tcMar>
            <w:shd w:val="clear" w:color="auto" w:fill="F7F7F7"/>
          </w:tcPr>
          <w:p>
            <w:pPr>
              <w:spacing w:before="0" w:after="0"/>
            </w:pPr>
            <w:r>
              <w:rPr>
                <w:b w:val="0"/>
                <w:color w:val="202020"/>
                <w:sz w:val="18"/>
              </w:rPr>
              <w:t>Simulacros, distribuciones, eventos públicos</w:t>
            </w:r>
          </w:p>
        </w:tc>
        <w:tc>
          <w:tcPr>
            <w:tcW w:type="dxa" w:w="3024"/>
            <w:tcMar>
              <w:top w:w="60" w:type="dxa"/>
              <w:bottom w:w="60" w:type="dxa"/>
              <w:left w:w="115" w:type="dxa"/>
              <w:right w:w="115" w:type="dxa"/>
            </w:tcMar>
            <w:shd w:val="clear" w:color="auto" w:fill="F7F7F7"/>
          </w:tcPr>
          <w:p>
            <w:pPr>
              <w:spacing w:before="0" w:after="0"/>
            </w:pPr>
            <w:r>
              <w:rPr>
                <w:b w:val="0"/>
                <w:color w:val="202020"/>
                <w:sz w:val="18"/>
              </w:rPr>
              <w:t>Talleres, reuniones internas, visitas de diagnóstico</w:t>
            </w:r>
          </w:p>
        </w:tc>
      </w:tr>
      <w:tr>
        <w:tc>
          <w:tcPr>
            <w:tcW w:type="dxa" w:w="3024"/>
            <w:tcMar>
              <w:top w:w="60" w:type="dxa"/>
              <w:bottom w:w="60" w:type="dxa"/>
              <w:left w:w="115" w:type="dxa"/>
              <w:right w:w="115" w:type="dxa"/>
            </w:tcMar>
          </w:tcPr>
          <w:p>
            <w:pPr>
              <w:spacing w:before="0" w:after="0"/>
            </w:pPr>
            <w:r>
              <w:rPr>
                <w:b w:val="0"/>
                <w:color w:val="202020"/>
                <w:sz w:val="18"/>
              </w:rPr>
              <w:t>Contexto político local</w:t>
            </w:r>
          </w:p>
        </w:tc>
        <w:tc>
          <w:tcPr>
            <w:tcW w:type="dxa" w:w="3024"/>
            <w:tcMar>
              <w:top w:w="60" w:type="dxa"/>
              <w:bottom w:w="60" w:type="dxa"/>
              <w:left w:w="115" w:type="dxa"/>
              <w:right w:w="115" w:type="dxa"/>
            </w:tcMar>
          </w:tcPr>
          <w:p>
            <w:pPr>
              <w:spacing w:before="0" w:after="0"/>
            </w:pPr>
            <w:r>
              <w:rPr>
                <w:b w:val="0"/>
                <w:color w:val="202020"/>
                <w:sz w:val="18"/>
              </w:rPr>
              <w:t>La autoridad es un actor de legitimación necesario o puede bloquear el acceso</w:t>
            </w:r>
          </w:p>
        </w:tc>
        <w:tc>
          <w:tcPr>
            <w:tcW w:type="dxa" w:w="3024"/>
            <w:tcMar>
              <w:top w:w="60" w:type="dxa"/>
              <w:bottom w:w="60" w:type="dxa"/>
              <w:left w:w="115" w:type="dxa"/>
              <w:right w:w="115" w:type="dxa"/>
            </w:tcMar>
          </w:tcPr>
          <w:p>
            <w:pPr>
              <w:spacing w:before="0" w:after="0"/>
            </w:pPr>
            <w:r>
              <w:rPr>
                <w:b w:val="0"/>
                <w:color w:val="202020"/>
                <w:sz w:val="18"/>
              </w:rPr>
              <w:t>La autoridad no tiene injerencia directa o su presencia podría generar rechazo comunitario</w:t>
            </w:r>
          </w:p>
        </w:tc>
      </w:tr>
      <w:tr>
        <w:tc>
          <w:tcPr>
            <w:tcW w:type="dxa" w:w="3024"/>
            <w:tcMar>
              <w:top w:w="60" w:type="dxa"/>
              <w:bottom w:w="60" w:type="dxa"/>
              <w:left w:w="115" w:type="dxa"/>
              <w:right w:w="115" w:type="dxa"/>
            </w:tcMar>
            <w:shd w:val="clear" w:color="auto" w:fill="F7F7F7"/>
          </w:tcPr>
          <w:p>
            <w:pPr>
              <w:spacing w:before="0" w:after="0"/>
            </w:pPr>
            <w:r>
              <w:rPr>
                <w:b w:val="0"/>
                <w:color w:val="202020"/>
                <w:sz w:val="18"/>
              </w:rPr>
              <w:t>Experiencia previa de la filial</w:t>
            </w:r>
          </w:p>
        </w:tc>
        <w:tc>
          <w:tcPr>
            <w:tcW w:type="dxa" w:w="3024"/>
            <w:tcMar>
              <w:top w:w="60" w:type="dxa"/>
              <w:bottom w:w="60" w:type="dxa"/>
              <w:left w:w="115" w:type="dxa"/>
              <w:right w:w="115" w:type="dxa"/>
            </w:tcMar>
            <w:shd w:val="clear" w:color="auto" w:fill="F7F7F7"/>
          </w:tcPr>
          <w:p>
            <w:pPr>
              <w:spacing w:before="0" w:after="0"/>
            </w:pPr>
            <w:r>
              <w:rPr>
                <w:b w:val="0"/>
                <w:color w:val="202020"/>
                <w:sz w:val="18"/>
              </w:rPr>
              <w:t>Existe una relación de trabajo establecida y de confianza con esa autoridad</w:t>
            </w:r>
          </w:p>
        </w:tc>
        <w:tc>
          <w:tcPr>
            <w:tcW w:type="dxa" w:w="3024"/>
            <w:tcMar>
              <w:top w:w="60" w:type="dxa"/>
              <w:bottom w:w="60" w:type="dxa"/>
              <w:left w:w="115" w:type="dxa"/>
              <w:right w:w="115" w:type="dxa"/>
            </w:tcMar>
            <w:shd w:val="clear" w:color="auto" w:fill="F7F7F7"/>
          </w:tcPr>
          <w:p>
            <w:pPr>
              <w:spacing w:before="0" w:after="0"/>
            </w:pPr>
            <w:r>
              <w:rPr>
                <w:b w:val="0"/>
                <w:color w:val="202020"/>
                <w:sz w:val="18"/>
              </w:rPr>
              <w:t>No hay relación previa o existen antecedentes de interferencia en proyectos anteriores</w:t>
            </w:r>
          </w:p>
        </w:tc>
      </w:tr>
      <w:tr>
        <w:tc>
          <w:tcPr>
            <w:tcW w:type="dxa" w:w="3024"/>
            <w:tcMar>
              <w:top w:w="60" w:type="dxa"/>
              <w:bottom w:w="60" w:type="dxa"/>
              <w:left w:w="115" w:type="dxa"/>
              <w:right w:w="115" w:type="dxa"/>
            </w:tcMar>
          </w:tcPr>
          <w:p>
            <w:pPr>
              <w:spacing w:before="0" w:after="0"/>
            </w:pPr>
            <w:r>
              <w:rPr>
                <w:b w:val="0"/>
                <w:color w:val="202020"/>
                <w:sz w:val="18"/>
              </w:rPr>
              <w:t>Indicación del liderazgo comunitario</w:t>
            </w:r>
          </w:p>
        </w:tc>
        <w:tc>
          <w:tcPr>
            <w:tcW w:type="dxa" w:w="3024"/>
            <w:tcMar>
              <w:top w:w="60" w:type="dxa"/>
              <w:bottom w:w="60" w:type="dxa"/>
              <w:left w:w="115" w:type="dxa"/>
              <w:right w:w="115" w:type="dxa"/>
            </w:tcMar>
          </w:tcPr>
          <w:p>
            <w:pPr>
              <w:spacing w:before="0" w:after="0"/>
            </w:pPr>
            <w:r>
              <w:rPr>
                <w:b w:val="0"/>
                <w:color w:val="202020"/>
                <w:sz w:val="18"/>
              </w:rPr>
              <w:t>El liderazgo recomienda o exige la notificación</w:t>
            </w:r>
          </w:p>
        </w:tc>
        <w:tc>
          <w:tcPr>
            <w:tcW w:type="dxa" w:w="3024"/>
            <w:tcMar>
              <w:top w:w="60" w:type="dxa"/>
              <w:bottom w:w="60" w:type="dxa"/>
              <w:left w:w="115" w:type="dxa"/>
              <w:right w:w="115" w:type="dxa"/>
            </w:tcMar>
          </w:tcPr>
          <w:p>
            <w:pPr>
              <w:spacing w:before="0" w:after="0"/>
            </w:pPr>
            <w:r>
              <w:rPr>
                <w:b w:val="0"/>
                <w:color w:val="202020"/>
                <w:sz w:val="18"/>
              </w:rPr>
              <w:t>El liderazgo desaconseja el contacto con esa autoridad</w:t>
            </w:r>
          </w:p>
        </w:tc>
      </w:tr>
    </w:tbl>
    <w:p>
      <w:pPr>
        <w:spacing w:before="0" w:after="80"/>
      </w:pP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Notificar a las autoridades sin el aval previo de la comunidad puede comprometer la aceptación de la CRV. Sin embargo, omitir la notificación cuando la autoridad tiene injerencia real puede generar obstáculos operativos en etapas avanzadas. La decisión tomada debe documentarse junto con su justificación.</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Algunas filiales mantienen relaciones de trabajo estrechas con alcaldías,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0F4761"/>
            <w:tcMar>
              <w:top w:w="80" w:type="dxa"/>
              <w:bottom w:w="80" w:type="dxa"/>
              <w:left w:w="160" w:type="dxa"/>
              <w:right w:w="0" w:type="dxa"/>
            </w:tcMar>
            <w:tcW w:w="7371" w:type="dxa"/>
          </w:tcPr>
          <w:p>
            <w:pPr>
              <w:pStyle w:val="Heading1"/>
              <w:spacing w:before="0" w:after="0"/>
            </w:pPr>
            <w:r>
              <w:rPr>
                <w:b/>
                <w:i w:val="0"/>
                <w:color w:val="FFFFFF"/>
                <w:sz w:val="24"/>
                <w:u w:val="none"/>
              </w:rPr>
              <w:t>Fase 3: Inmersión y profundización (operación en terreno)</w:t>
            </w:r>
          </w:p>
        </w:tc>
        <w:tc>
          <w:tcPr>
            <w:shd w:val="clear" w:color="auto" w:fill="0F4761"/>
            <w:tcMar>
              <w:top w:w="80" w:type="dxa"/>
              <w:bottom w:w="80" w:type="dxa"/>
              <w:left w:w="0" w:type="dxa"/>
              <w:right w:w="160" w:type="dxa"/>
            </w:tcMar>
            <w:tcW w:w="1984" w:type="dxa"/>
          </w:tcPr>
          <w:p>
            <w:pPr>
              <w:spacing w:before="0" w:after="0"/>
              <w:jc w:val="right"/>
            </w:pPr>
            <w:r>
              <w:rPr>
                <w:b w:val="0"/>
                <w:color w:val="FFFFFF"/>
                <w:sz w:val="18"/>
              </w:rPr>
              <w:t>9 secciones</w:t>
            </w:r>
          </w:p>
        </w:tc>
      </w:tr>
    </w:tbl>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Levantar información en campo para identificar dinámicas comunitarias.</w:t>
      </w:r>
    </w:p>
    <w:p>
      <w:pPr>
        <w:pStyle w:val="Heading2"/>
        <w:spacing w:before="160" w:after="40"/>
        <w:pBdr>
          <w:bottom w:val="single" w:sz="8" w:space="1" w:color="0F4761"/>
        </w:pBdr>
      </w:pPr>
      <w:r>
        <w:rPr>
          <w:b/>
          <w:i w:val="0"/>
          <w:color w:val="0F4761"/>
          <w:sz w:val="22"/>
          <w:u w:val="none"/>
        </w:rPr>
        <w:t>1. Estrategia de muestreo inclusivo y verificación de representatividad</w:t>
      </w:r>
    </w:p>
    <w:p>
      <w:pPr>
        <w:spacing w:before="40" w:after="40"/>
        <w:ind w:left="115"/>
        <w:shd w:val="clear" w:color="auto" w:fill="F2F2F2"/>
        <w:pBdr>
          <w:left w:val="single" w:sz="18" w:space="6" w:color="999999"/>
        </w:pBdr>
      </w:pPr>
      <w:r>
        <w:rPr>
          <w:b/>
          <w:color w:val="0F4761"/>
          <w:sz w:val="20"/>
        </w:rPr>
        <w:t xml:space="preserve">Acción: </w:t>
      </w:r>
    </w:p>
    <w:p>
      <w:pPr>
        <w:spacing w:before="20" w:after="20"/>
        <w:ind w:left="453" w:hanging="180"/>
      </w:pPr>
      <w:r>
        <w:rPr>
          <w:color w:val="0F4761"/>
          <w:sz w:val="20"/>
        </w:rPr>
        <w:t xml:space="preserve">•  </w:t>
      </w:r>
      <w:r>
        <w:rPr>
          <w:b w:val="0"/>
          <w:color w:val="202020"/>
          <w:sz w:val="20"/>
        </w:rPr>
        <w:t>Identificar informantes clave que sirvan de traductores de la cultura local.</w:t>
      </w:r>
    </w:p>
    <w:p>
      <w:pPr>
        <w:spacing w:before="20" w:after="20"/>
        <w:ind w:left="453" w:hanging="180"/>
      </w:pPr>
      <w:r>
        <w:rPr>
          <w:color w:val="0F4761"/>
          <w:sz w:val="20"/>
        </w:rPr>
        <w:t xml:space="preserve">•  </w:t>
      </w:r>
      <w:r>
        <w:rPr>
          <w:b w:val="0"/>
          <w:color w:val="202020"/>
          <w:sz w:val="20"/>
        </w:rPr>
        <w:t>Identificar grupos de la comunidad o personas que no suelen estar en las reuniones.</w:t>
      </w:r>
    </w:p>
    <w:p>
      <w:pPr>
        <w:spacing w:before="20" w:after="20"/>
        <w:ind w:left="453" w:hanging="180"/>
      </w:pPr>
      <w:r>
        <w:rPr>
          <w:color w:val="0F4761"/>
          <w:sz w:val="20"/>
        </w:rPr>
        <w:t xml:space="preserve">•  </w:t>
      </w:r>
      <w:r>
        <w:rPr>
          <w:b w:val="0"/>
          <w:color w:val="202020"/>
          <w:sz w:val="20"/>
        </w:rPr>
        <w:t>Asegurar que los informantes representen a todos los sectores de la comunidad.</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Los informantes clave no son necesariamente líderes de la comunidad. Su principal atributo es la capacidad para relacionarse con todos los sectores, entablar diálogos con facilidad y entender la dinámica de trabajo de las organizaciones humanitarias. A través de ellos, la filial puede conocer si el proyecto es social y culturalmente pertinente o si existen grupos excluidos de las reuniones. Preguntar si hay algún sector o grupo que por su horario o ubicación no haya podido hablar con los representantes de la filial.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iniciadas las actividades en terreno, verificar activamente si los grupos que participan representan la diversidad real de la comunidad. Esta lectura sistemática de quién está presente y quién no debe hacerse al inicio de cada actividad.</w:t>
      </w:r>
    </w:p>
    <w:p>
      <w:pPr>
        <w:pStyle w:val="Heading3"/>
        <w:spacing w:before="100" w:after="30"/>
      </w:pPr>
      <w:r>
        <w:rPr>
          <w:b/>
          <w:i w:val="0"/>
          <w:color w:val="0F4761"/>
          <w:sz w:val="20"/>
          <w:u w:val="none"/>
        </w:rPr>
        <w:t>Criterios de auditoría:</w:t>
      </w:r>
    </w:p>
    <w:p>
      <w:pPr>
        <w:spacing w:before="20" w:after="20"/>
        <w:ind w:left="453" w:hanging="180"/>
      </w:pPr>
      <w:r>
        <w:rPr>
          <w:color w:val="0F4761"/>
          <w:sz w:val="20"/>
        </w:rPr>
        <w:t xml:space="preserve">•  </w:t>
      </w:r>
      <w:r>
        <w:rPr>
          <w:b/>
          <w:color w:val="202020"/>
          <w:sz w:val="20"/>
        </w:rPr>
        <w:t>Edad:</w:t>
      </w:r>
      <w:r>
        <w:rPr>
          <w:b w:val="0"/>
          <w:color w:val="202020"/>
          <w:sz w:val="20"/>
        </w:rPr>
        <w:t xml:space="preserve"> ¿Están presentes adultos mayores, jóvenes y población en edad productiva?</w:t>
      </w:r>
    </w:p>
    <w:p>
      <w:pPr>
        <w:spacing w:before="20" w:after="20"/>
        <w:ind w:left="453" w:hanging="180"/>
      </w:pPr>
      <w:r>
        <w:rPr>
          <w:color w:val="0F4761"/>
          <w:sz w:val="20"/>
        </w:rPr>
        <w:t xml:space="preserve">•  </w:t>
      </w:r>
      <w:r>
        <w:rPr>
          <w:b/>
          <w:color w:val="202020"/>
          <w:sz w:val="20"/>
        </w:rPr>
        <w:t>Género:</w:t>
      </w:r>
      <w:r>
        <w:rPr>
          <w:b w:val="0"/>
          <w:color w:val="202020"/>
          <w:sz w:val="20"/>
        </w:rPr>
        <w:t xml:space="preserve"> ¿La participación de mujeres y hombres es equilibrada?</w:t>
      </w:r>
    </w:p>
    <w:p>
      <w:pPr>
        <w:spacing w:before="20" w:after="20"/>
        <w:ind w:left="453" w:hanging="180"/>
      </w:pPr>
      <w:r>
        <w:rPr>
          <w:color w:val="0F4761"/>
          <w:sz w:val="20"/>
        </w:rPr>
        <w:t xml:space="preserve">•  </w:t>
      </w:r>
      <w:r>
        <w:rPr>
          <w:b/>
          <w:color w:val="202020"/>
          <w:sz w:val="20"/>
        </w:rPr>
        <w:t>Ubicación geográfica:</w:t>
      </w:r>
      <w:r>
        <w:rPr>
          <w:b w:val="0"/>
          <w:color w:val="202020"/>
          <w:sz w:val="20"/>
        </w:rPr>
        <w:t xml:space="preserve"> ¿Participan personas de distintos sectores o barrios de la comunidad?</w:t>
      </w:r>
    </w:p>
    <w:p>
      <w:pPr>
        <w:spacing w:before="20" w:after="20"/>
        <w:ind w:left="453" w:hanging="180"/>
      </w:pPr>
      <w:r>
        <w:rPr>
          <w:color w:val="0F4761"/>
          <w:sz w:val="20"/>
        </w:rPr>
        <w:t xml:space="preserve">•  </w:t>
      </w:r>
      <w:r>
        <w:rPr>
          <w:b/>
          <w:color w:val="202020"/>
          <w:sz w:val="20"/>
        </w:rPr>
        <w:t>Actividad económica:</w:t>
      </w:r>
      <w:r>
        <w:rPr>
          <w:b w:val="0"/>
          <w:color w:val="202020"/>
          <w:sz w:val="20"/>
        </w:rPr>
        <w:t xml:space="preserve"> ¿Están representados distintos grupos según su ocupación (comerciantes, trabajadores agrícolas, amas de casa, etc.)?</w:t>
      </w:r>
    </w:p>
    <w:p>
      <w:pPr>
        <w:spacing w:before="20" w:after="20"/>
        <w:ind w:left="453" w:hanging="180"/>
      </w:pPr>
      <w:r>
        <w:rPr>
          <w:color w:val="0F4761"/>
          <w:sz w:val="20"/>
        </w:rPr>
        <w:t xml:space="preserve">•  </w:t>
      </w:r>
      <w:r>
        <w:rPr>
          <w:b/>
          <w:color w:val="202020"/>
          <w:sz w:val="20"/>
        </w:rPr>
        <w:t>Grupos en situación de vulnerabilidad:</w:t>
      </w:r>
      <w:r>
        <w:rPr>
          <w:b w:val="0"/>
          <w:color w:val="202020"/>
          <w:sz w:val="20"/>
        </w:rPr>
        <w:t xml:space="preserve"> ¿Hay presencia de personas con discapacidad, migrantes, minorías u otros grupos que suelen quedar excluidos de las convocatorias ordinarias?</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convocatoria gestionada por el liderazgo tiende a reproducir las redes sociales del líder, no la diversidad real de la comunidad. Una participación aparentemente numerosa puede encubrir la exclusión sistemática de sectores enteros.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se detecta la ausencia de alguno de los grupos anteriores, activar las estrategias de convocatoria alternativas definidas en la Fase 2. Documentar en el informe de campo qué grupos estuvieron ausentes y qué acciones se tomaron para incluirlos.</w:t>
      </w:r>
    </w:p>
    <w:p>
      <w:pPr>
        <w:pStyle w:val="Heading2"/>
        <w:spacing w:before="160" w:after="40"/>
        <w:pBdr>
          <w:bottom w:val="single" w:sz="8" w:space="1" w:color="0F4761"/>
        </w:pBdr>
      </w:pPr>
      <w:r>
        <w:rPr>
          <w:b/>
          <w:i w:val="0"/>
          <w:color w:val="0F4761"/>
          <w:sz w:val="22"/>
          <w:u w:val="none"/>
        </w:rPr>
        <w:t>2. Mapeo de gobernanza, relaciones económicas y poder real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Registrar cómo se toman las decisiones (consensos, asambleas o jerarquías), qué redes de intercambio existen y si las mismas están basadas en lazos familiares extendidos, vecinales, amistad o burocracia del Estado.</w:t>
      </w:r>
    </w:p>
    <w:p>
      <w:pPr>
        <w:spacing w:before="40" w:after="40"/>
        <w:ind w:left="115"/>
        <w:shd w:val="clear" w:color="auto" w:fill="F2F2F2"/>
        <w:pBdr>
          <w:left w:val="single" w:sz="18" w:space="6" w:color="999999"/>
        </w:pBdr>
      </w:pPr>
      <w:r>
        <w:rPr>
          <w:b/>
          <w:color w:val="0F4761"/>
          <w:sz w:val="20"/>
        </w:rPr>
        <w:t xml:space="preserve">Herramienta: </w:t>
      </w:r>
      <w:r>
        <w:rPr>
          <w:b w:val="0"/>
          <w:color w:val="202020"/>
          <w:sz w:val="20"/>
        </w:rPr>
        <w:t>Reconocer redes de influencia para mapear los flujos de poder y la autoridad moral dentro de la comunidad.</w:t>
      </w:r>
    </w:p>
    <w:p>
      <w:pPr>
        <w:pStyle w:val="Heading2"/>
        <w:spacing w:before="160" w:after="40"/>
        <w:pBdr>
          <w:bottom w:val="single" w:sz="8" w:space="1" w:color="0F4761"/>
        </w:pBdr>
      </w:pPr>
      <w:r>
        <w:rPr>
          <w:b/>
          <w:i w:val="0"/>
          <w:color w:val="0F4761"/>
          <w:sz w:val="22"/>
          <w:u w:val="none"/>
        </w:rPr>
        <w:t>3. Identificación y gestión de actores de poder informal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Aunque el mapeo de gobernanza permite identificar la estructura formal del liderazgo,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p>
      <w:pPr>
        <w:pStyle w:val="Heading3"/>
        <w:spacing w:before="100" w:after="30"/>
      </w:pPr>
      <w:r>
        <w:rPr>
          <w:b/>
          <w:i w:val="0"/>
          <w:color w:val="0F4761"/>
          <w:sz w:val="20"/>
          <w:u w:val="none"/>
        </w:rPr>
        <w:t>Señales de alerta:</w:t>
      </w:r>
    </w:p>
    <w:p>
      <w:pPr>
        <w:spacing w:before="20" w:after="20"/>
        <w:ind w:left="453" w:hanging="180"/>
      </w:pPr>
      <w:r>
        <w:rPr>
          <w:color w:val="0F4761"/>
          <w:sz w:val="20"/>
        </w:rPr>
        <w:t xml:space="preserve">•  </w:t>
      </w:r>
      <w:r>
        <w:rPr>
          <w:b w:val="0"/>
          <w:color w:val="202020"/>
          <w:sz w:val="20"/>
        </w:rPr>
        <w:t>Personas sin cargo formal a quienes el liderazgo consulta o pide aprobación antes de tomar decisiones.</w:t>
      </w:r>
    </w:p>
    <w:p>
      <w:pPr>
        <w:spacing w:before="20" w:after="20"/>
        <w:ind w:left="453" w:hanging="180"/>
      </w:pPr>
      <w:r>
        <w:rPr>
          <w:color w:val="0F4761"/>
          <w:sz w:val="20"/>
        </w:rPr>
        <w:t xml:space="preserve">•  </w:t>
      </w:r>
      <w:r>
        <w:rPr>
          <w:b w:val="0"/>
          <w:color w:val="202020"/>
          <w:sz w:val="20"/>
        </w:rPr>
        <w:t>Referencias veladas a "permisos" o "acuerdos" que deben gestionarse fuera de los canales formales.</w:t>
      </w:r>
    </w:p>
    <w:p>
      <w:pPr>
        <w:spacing w:before="20" w:after="20"/>
        <w:ind w:left="453" w:hanging="180"/>
      </w:pPr>
      <w:r>
        <w:rPr>
          <w:color w:val="0F4761"/>
          <w:sz w:val="20"/>
        </w:rPr>
        <w:t xml:space="preserve">•  </w:t>
      </w:r>
      <w:r>
        <w:rPr>
          <w:b w:val="0"/>
          <w:color w:val="202020"/>
          <w:sz w:val="20"/>
        </w:rPr>
        <w:t>Cambios repentinos de actitud del liderazgo sin explicación aparente.</w:t>
      </w:r>
    </w:p>
    <w:p>
      <w:pPr>
        <w:spacing w:before="20" w:after="20"/>
        <w:ind w:left="453" w:hanging="180"/>
      </w:pPr>
      <w:r>
        <w:rPr>
          <w:color w:val="0F4761"/>
          <w:sz w:val="20"/>
        </w:rPr>
        <w:t xml:space="preserve">•  </w:t>
      </w:r>
      <w:r>
        <w:rPr>
          <w:b w:val="0"/>
          <w:color w:val="202020"/>
          <w:sz w:val="20"/>
        </w:rPr>
        <w:t>Restricciones espontáneas sobre ciertos espacios físicos, horarios o temas de conversación.</w:t>
      </w:r>
    </w:p>
    <w:p>
      <w:pPr>
        <w:spacing w:before="20" w:after="20"/>
        <w:ind w:left="453" w:hanging="180"/>
      </w:pPr>
      <w:r>
        <w:rPr>
          <w:color w:val="0F4761"/>
          <w:sz w:val="20"/>
        </w:rPr>
        <w:t xml:space="preserve">•  </w:t>
      </w:r>
      <w:r>
        <w:rPr>
          <w:b w:val="0"/>
          <w:color w:val="202020"/>
          <w:sz w:val="20"/>
        </w:rPr>
        <w:t>Presencia de personas no identificadas que observan las actividades sin participar.</w:t>
      </w:r>
    </w:p>
    <w:p>
      <w:pPr>
        <w:pStyle w:val="Heading3"/>
        <w:spacing w:before="100" w:after="30"/>
      </w:pPr>
      <w:r>
        <w:rPr>
          <w:b/>
          <w:i w:val="0"/>
          <w:color w:val="0F4761"/>
          <w:sz w:val="20"/>
          <w:u w:val="none"/>
        </w:rPr>
        <w:t>Protocolo de neutralidad:</w:t>
      </w:r>
    </w:p>
    <w:p>
      <w:pPr>
        <w:spacing w:before="20" w:after="20"/>
        <w:ind w:left="453" w:hanging="180"/>
      </w:pPr>
      <w:r>
        <w:rPr>
          <w:color w:val="0F4761"/>
          <w:sz w:val="20"/>
        </w:rPr>
        <w:t xml:space="preserve">•  </w:t>
      </w:r>
      <w:r>
        <w:rPr>
          <w:b w:val="0"/>
          <w:color w:val="202020"/>
          <w:sz w:val="20"/>
        </w:rPr>
        <w:t>No tomar partido ni alinearse públicamente con ningún actor de poder —formal o informal— que tenga disputas internas dentro de la comunidad.</w:t>
      </w:r>
    </w:p>
    <w:p>
      <w:pPr>
        <w:spacing w:before="20" w:after="20"/>
        <w:ind w:left="453" w:hanging="180"/>
      </w:pPr>
      <w:r>
        <w:rPr>
          <w:color w:val="0F4761"/>
          <w:sz w:val="20"/>
        </w:rPr>
        <w:t xml:space="preserve">•  </w:t>
      </w:r>
      <w:r>
        <w:rPr>
          <w:b w:val="0"/>
          <w:color w:val="202020"/>
          <w:sz w:val="20"/>
        </w:rPr>
        <w:t>Evitar que el proyecto sea asociado con una facción política, religiosa o económica específica.</w:t>
      </w:r>
    </w:p>
    <w:p>
      <w:pPr>
        <w:spacing w:before="20" w:after="20"/>
        <w:ind w:left="453" w:hanging="180"/>
      </w:pPr>
      <w:r>
        <w:rPr>
          <w:color w:val="0F4761"/>
          <w:sz w:val="20"/>
        </w:rPr>
        <w:t xml:space="preserve">•  </w:t>
      </w:r>
      <w:r>
        <w:rPr>
          <w:b w:val="0"/>
          <w:color w:val="202020"/>
          <w:sz w:val="20"/>
        </w:rPr>
        <w:t>Si un actor informal condiciona el acceso o la continuidad del proyecto, documentar el hecho internamente y escalar a la coordinación de la filial antes de tomar cualquier decisión.</w:t>
      </w:r>
    </w:p>
    <w:p>
      <w:pPr>
        <w:spacing w:before="20" w:after="20"/>
        <w:ind w:left="453" w:hanging="180"/>
      </w:pPr>
      <w:r>
        <w:rPr>
          <w:color w:val="0F4761"/>
          <w:sz w:val="20"/>
        </w:rPr>
        <w:t xml:space="preserve">•  </w:t>
      </w:r>
      <w:r>
        <w:rPr>
          <w:b w:val="0"/>
          <w:color w:val="202020"/>
          <w:sz w:val="20"/>
        </w:rPr>
        <w:t>En caso de materializarse algún acuerdo con autoridades no estatales, el mismo debe ser abierto y comunicado a las autoridades del Estado. Igualmente, los acuerdos con instituciones o funcionarios del Estado deben ser comunicados a las autoridades no oficiales cuando estas tengan control total o parcial sobre la zona.</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Ante la presencia de actores de poder informal, la postura de la filial es de observación activa. El objetivo es comprender su rol sin ceder ante condiciones que comprometan la neutralidad institucional o la seguridad del equipo.</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Si la presencia de estos grupos representa un riesgo para el equipo o la comunidad, debe activarse el protocolo de seguridad de la filial.</w:t>
      </w:r>
    </w:p>
    <w:p>
      <w:pPr>
        <w:pStyle w:val="Heading2"/>
        <w:spacing w:before="160" w:after="40"/>
        <w:pBdr>
          <w:bottom w:val="single" w:sz="8" w:space="1" w:color="0F4761"/>
        </w:pBdr>
      </w:pPr>
      <w:r>
        <w:rPr>
          <w:b/>
          <w:i w:val="0"/>
          <w:color w:val="0F4761"/>
          <w:sz w:val="22"/>
          <w:u w:val="none"/>
        </w:rPr>
        <w:t>4. Acercamiento al problema, amenazas y análisis de contexto</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presentar cualquier propuesta, el equipo debe documentar cómo la comunidad resuelve actualmente el problema que la CRV busca enfrentar. Este análisis debe hacerse con base en aquello que la comunidad ya hace bien, preguntar por qué lo hace de ese modo, y solo entonces proponer complementos o mejoras.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Identificar los eventos naturales, económicos y socioculturales que se repiten en el tiempo.</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Ser conscientes de la historia y los ciclos estacionales de la comunidad. Usar la memoria de la comunidad para entender los peligros actuales.</w:t>
      </w:r>
    </w:p>
    <w:p>
      <w:pPr>
        <w:pStyle w:val="Heading2"/>
        <w:spacing w:before="160" w:after="40"/>
        <w:pBdr>
          <w:bottom w:val="single" w:sz="8" w:space="1" w:color="0F4761"/>
        </w:pBdr>
      </w:pPr>
      <w:r>
        <w:rPr>
          <w:b/>
          <w:i w:val="0"/>
          <w:color w:val="0F4761"/>
          <w:sz w:val="22"/>
          <w:u w:val="none"/>
        </w:rPr>
        <w:t>5. Herramientas de protección</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Hacer entrevistas cara a cara con informantes clave para temas de migración, violencia sexual, violencia armada o temas delicados.</w:t>
      </w:r>
    </w:p>
    <w:p>
      <w:pPr>
        <w:spacing w:before="40" w:after="40"/>
        <w:ind w:left="115"/>
        <w:shd w:val="clear" w:color="auto" w:fill="F2F2F2"/>
        <w:pBdr>
          <w:left w:val="single" w:sz="18" w:space="6" w:color="999999"/>
        </w:pBdr>
      </w:pPr>
      <w:r>
        <w:rPr>
          <w:b/>
          <w:color w:val="0F4761"/>
          <w:sz w:val="20"/>
        </w:rPr>
        <w:t xml:space="preserve">Restricción: </w:t>
      </w:r>
      <w:r>
        <w:rPr>
          <w:b w:val="0"/>
          <w:color w:val="202020"/>
          <w:sz w:val="20"/>
        </w:rPr>
        <w:t>Prohibido usar grupos focales para estos temas o entrevistas sin la debida privacidad. El riesgo de revictimización o delación es alto.</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Asegurar la presencia de mujeres en el equipo de la filial que visita la comunidad.</w:t>
      </w:r>
    </w:p>
    <w:p>
      <w:pPr>
        <w:spacing w:before="40" w:after="40"/>
        <w:ind w:left="115"/>
        <w:shd w:val="clear" w:color="auto" w:fill="F2F2F2"/>
        <w:pBdr>
          <w:left w:val="single" w:sz="18" w:space="6" w:color="999999"/>
        </w:pBdr>
      </w:pPr>
      <w:r>
        <w:rPr>
          <w:b/>
          <w:color w:val="0F4761"/>
          <w:sz w:val="20"/>
        </w:rPr>
        <w:t xml:space="preserve">Herramienta: </w:t>
      </w:r>
      <w:r>
        <w:rPr>
          <w:b w:val="0"/>
          <w:color w:val="202020"/>
          <w:sz w:val="20"/>
        </w:rPr>
        <w:t>Mapeo de vulnerabilidades (dónde viven las personas que ameritan los servicios de protección).</w:t>
      </w:r>
    </w:p>
    <w:p>
      <w:pPr>
        <w:pStyle w:val="Heading2"/>
        <w:spacing w:before="160" w:after="40"/>
        <w:pBdr>
          <w:bottom w:val="single" w:sz="8" w:space="1" w:color="0F4761"/>
        </w:pBdr>
      </w:pPr>
      <w:r>
        <w:rPr>
          <w:b/>
          <w:i w:val="0"/>
          <w:color w:val="0F4761"/>
          <w:sz w:val="22"/>
          <w:u w:val="none"/>
        </w:rPr>
        <w:t>6. Gestión de la presencia del liderazgo en espacios grupales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p>
      <w:pPr>
        <w:pStyle w:val="Heading3"/>
        <w:spacing w:before="100" w:after="30"/>
      </w:pPr>
      <w:r>
        <w:rPr>
          <w:b/>
          <w:i w:val="0"/>
          <w:color w:val="0F4761"/>
          <w:sz w:val="20"/>
          <w:u w:val="none"/>
        </w:rPr>
        <w:t>Señales de alerta:</w:t>
      </w:r>
    </w:p>
    <w:p>
      <w:pPr>
        <w:spacing w:before="20" w:after="20"/>
        <w:ind w:left="453" w:hanging="180"/>
      </w:pPr>
      <w:r>
        <w:rPr>
          <w:color w:val="0F4761"/>
          <w:sz w:val="20"/>
        </w:rPr>
        <w:t xml:space="preserve">•  </w:t>
      </w:r>
      <w:r>
        <w:rPr>
          <w:b w:val="0"/>
          <w:color w:val="202020"/>
          <w:sz w:val="20"/>
        </w:rPr>
        <w:t>Los participantes responden brevemente o remiten sus respuestas al líder presente.</w:t>
      </w:r>
    </w:p>
    <w:p>
      <w:pPr>
        <w:spacing w:before="20" w:after="20"/>
        <w:ind w:left="453" w:hanging="180"/>
      </w:pPr>
      <w:r>
        <w:rPr>
          <w:color w:val="0F4761"/>
          <w:sz w:val="20"/>
        </w:rPr>
        <w:t xml:space="preserve">•  </w:t>
      </w:r>
      <w:r>
        <w:rPr>
          <w:b w:val="0"/>
          <w:color w:val="202020"/>
          <w:sz w:val="20"/>
        </w:rPr>
        <w:t>Solo hablan las mismas personas, generalmente el líder o su entorno cercano.</w:t>
      </w:r>
    </w:p>
    <w:p>
      <w:pPr>
        <w:spacing w:before="20" w:after="20"/>
        <w:ind w:left="453" w:hanging="180"/>
      </w:pPr>
      <w:r>
        <w:rPr>
          <w:color w:val="0F4761"/>
          <w:sz w:val="20"/>
        </w:rPr>
        <w:t xml:space="preserve">•  </w:t>
      </w:r>
      <w:r>
        <w:rPr>
          <w:b w:val="0"/>
          <w:color w:val="202020"/>
          <w:sz w:val="20"/>
        </w:rPr>
        <w:t>El grupo muestra signos de incomodidad o evita ciertos temas cuando el líder está presente.</w:t>
      </w:r>
    </w:p>
    <w:p>
      <w:pPr>
        <w:spacing w:before="20" w:after="20"/>
        <w:ind w:left="453" w:hanging="180"/>
      </w:pPr>
      <w:r>
        <w:rPr>
          <w:color w:val="0F4761"/>
          <w:sz w:val="20"/>
        </w:rPr>
        <w:t xml:space="preserve">•  </w:t>
      </w:r>
      <w:r>
        <w:rPr>
          <w:b w:val="0"/>
          <w:color w:val="202020"/>
          <w:sz w:val="20"/>
        </w:rPr>
        <w:t>El líder responde en nombre del grupo sin que se lo soliciten.</w:t>
      </w:r>
    </w:p>
    <w:p>
      <w:pPr>
        <w:pStyle w:val="Heading3"/>
        <w:spacing w:before="100" w:after="30"/>
      </w:pPr>
      <w:r>
        <w:rPr>
          <w:b/>
          <w:i w:val="0"/>
          <w:color w:val="0F4761"/>
          <w:sz w:val="20"/>
          <w:u w:val="none"/>
        </w:rPr>
        <w:t>Estrategia de campo:</w:t>
      </w:r>
    </w:p>
    <w:p>
      <w:pPr>
        <w:spacing w:before="20" w:after="20"/>
        <w:ind w:left="453" w:hanging="180"/>
      </w:pPr>
      <w:r>
        <w:rPr>
          <w:color w:val="0F4761"/>
          <w:sz w:val="20"/>
        </w:rPr>
        <w:t xml:space="preserve">•  </w:t>
      </w:r>
      <w:r>
        <w:rPr>
          <w:b w:val="0"/>
          <w:color w:val="202020"/>
          <w:sz w:val="20"/>
        </w:rPr>
        <w:t>Para la presentación del proyecto o diagnóstico general, la presencia del liderazgo es válida y recomendable.</w:t>
      </w:r>
    </w:p>
    <w:p>
      <w:pPr>
        <w:spacing w:before="20" w:after="20"/>
        <w:ind w:left="453" w:hanging="180"/>
      </w:pPr>
      <w:r>
        <w:rPr>
          <w:color w:val="0F4761"/>
          <w:sz w:val="20"/>
        </w:rPr>
        <w:t xml:space="preserve">•  </w:t>
      </w:r>
      <w:r>
        <w:rPr>
          <w:b w:val="0"/>
          <w:color w:val="202020"/>
          <w:sz w:val="20"/>
        </w:rPr>
        <w:t>Para temas de diagnóstico de problemas internos, conflictos comunitarios o evaluación de proyectos anteriores, planificar espacios de trabajo separados: un grupo con el liderazgo y otro con el resto de la comunidad, de forma simultánea o en momentos distintos.</w:t>
      </w:r>
    </w:p>
    <w:p>
      <w:pPr>
        <w:spacing w:before="20" w:after="20"/>
        <w:ind w:left="453" w:hanging="180"/>
      </w:pPr>
      <w:r>
        <w:rPr>
          <w:color w:val="0F4761"/>
          <w:sz w:val="20"/>
        </w:rPr>
        <w:t xml:space="preserve">•  </w:t>
      </w:r>
      <w:r>
        <w:rPr>
          <w:b w:val="0"/>
          <w:color w:val="202020"/>
          <w:sz w:val="20"/>
        </w:rPr>
        <w:t>En actividades de formación, diseñar dinámicas que permitan la expresión individual: tarjetas de respuesta anónima, trabajo en grupos pequeños sin presencia del líder, plenarias con facilitación activa.</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El silencio en presencia del liderazgo no siempre es visible. A veces el grupo parece participativo, pero los temas más relevantes nunca se abordan porque existe un acuerdo tácito sobre lo que "puede" decirse. El equipo facilitador debe distinguir entre participación real y participación performativa.</w:t>
      </w:r>
    </w:p>
    <w:p>
      <w:pPr>
        <w:pStyle w:val="Heading2"/>
        <w:spacing w:before="160" w:after="40"/>
        <w:pBdr>
          <w:bottom w:val="single" w:sz="8" w:space="1" w:color="0F4761"/>
        </w:pBdr>
      </w:pPr>
      <w:r>
        <w:rPr>
          <w:b/>
          <w:i w:val="0"/>
          <w:color w:val="0F4761"/>
          <w:sz w:val="22"/>
          <w:u w:val="none"/>
        </w:rPr>
        <w:t>7. Apropiación y adaptación local de herramientas técnicas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p>
      <w:pPr>
        <w:pStyle w:val="Heading3"/>
        <w:spacing w:before="100" w:after="30"/>
      </w:pPr>
      <w:r>
        <w:rPr>
          <w:b/>
          <w:i w:val="0"/>
          <w:color w:val="0F4761"/>
          <w:sz w:val="20"/>
          <w:u w:val="none"/>
        </w:rPr>
        <w:t>Criterios de apropiación:</w:t>
      </w:r>
    </w:p>
    <w:p>
      <w:pPr>
        <w:spacing w:before="20" w:after="20"/>
        <w:ind w:left="453" w:hanging="180"/>
      </w:pPr>
      <w:r>
        <w:rPr>
          <w:color w:val="0F4761"/>
          <w:sz w:val="20"/>
        </w:rPr>
        <w:t xml:space="preserve">•  </w:t>
      </w:r>
      <w:r>
        <w:rPr>
          <w:b/>
          <w:color w:val="202020"/>
          <w:sz w:val="20"/>
        </w:rPr>
        <w:t>Comprensión funcional:</w:t>
      </w:r>
      <w:r>
        <w:rPr>
          <w:b w:val="0"/>
          <w:color w:val="202020"/>
          <w:sz w:val="20"/>
        </w:rPr>
        <w:t xml:space="preserve"> Los participantes pueden explicar con sus propias palabras para qué sirve la herramienta y cómo se usa, sin recurrir a la terminología técnica del proyecto.</w:t>
      </w:r>
    </w:p>
    <w:p>
      <w:pPr>
        <w:spacing w:before="20" w:after="20"/>
        <w:ind w:left="453" w:hanging="180"/>
      </w:pPr>
      <w:r>
        <w:rPr>
          <w:color w:val="0F4761"/>
          <w:sz w:val="20"/>
        </w:rPr>
        <w:t xml:space="preserve">•  </w:t>
      </w:r>
      <w:r>
        <w:rPr>
          <w:b/>
          <w:color w:val="202020"/>
          <w:sz w:val="20"/>
        </w:rPr>
        <w:t>Operación autónoma:</w:t>
      </w:r>
      <w:r>
        <w:rPr>
          <w:b w:val="0"/>
          <w:color w:val="202020"/>
          <w:sz w:val="20"/>
        </w:rPr>
        <w:t xml:space="preserve"> Al menos dos personas en la comunidad son capaces de operar la herramienta sin asistencia externa.</w:t>
      </w:r>
    </w:p>
    <w:p>
      <w:pPr>
        <w:spacing w:before="20" w:after="20"/>
        <w:ind w:left="453" w:hanging="180"/>
      </w:pPr>
      <w:r>
        <w:rPr>
          <w:color w:val="0F4761"/>
          <w:sz w:val="20"/>
        </w:rPr>
        <w:t xml:space="preserve">•  </w:t>
      </w:r>
      <w:r>
        <w:rPr>
          <w:b/>
          <w:color w:val="202020"/>
          <w:sz w:val="20"/>
        </w:rPr>
        <w:t>Mantenimiento local:</w:t>
      </w:r>
      <w:r>
        <w:rPr>
          <w:b w:val="0"/>
          <w:color w:val="202020"/>
          <w:sz w:val="20"/>
        </w:rPr>
        <w:t xml:space="preserve"> La comunidad puede realizar el mantenimiento básico con los recursos y conocimientos disponibles localmente.</w:t>
      </w:r>
    </w:p>
    <w:p>
      <w:pPr>
        <w:spacing w:before="20" w:after="20"/>
        <w:ind w:left="453" w:hanging="180"/>
      </w:pPr>
      <w:r>
        <w:rPr>
          <w:color w:val="0F4761"/>
          <w:sz w:val="20"/>
        </w:rPr>
        <w:t xml:space="preserve">•  </w:t>
      </w:r>
      <w:r>
        <w:rPr>
          <w:b/>
          <w:color w:val="202020"/>
          <w:sz w:val="20"/>
        </w:rPr>
        <w:t>Pertinencia percibida:</w:t>
      </w:r>
      <w:r>
        <w:rPr>
          <w:b w:val="0"/>
          <w:color w:val="202020"/>
          <w:sz w:val="20"/>
        </w:rPr>
        <w:t xml:space="preserve"> La comunidad considera que la herramienta responde a un problema real y prioritario para ella, no solo a un requerimiento del proyecto.</w:t>
      </w:r>
    </w:p>
    <w:p>
      <w:pPr>
        <w:pStyle w:val="Heading3"/>
        <w:spacing w:before="100" w:after="30"/>
      </w:pPr>
      <w:r>
        <w:rPr>
          <w:b/>
          <w:i w:val="0"/>
          <w:color w:val="0F4761"/>
          <w:sz w:val="20"/>
          <w:u w:val="none"/>
        </w:rPr>
        <w:t>Protocolo de co-adaptación:</w:t>
      </w:r>
    </w:p>
    <w:p>
      <w:pPr>
        <w:spacing w:before="20" w:after="20"/>
        <w:ind w:left="453" w:hanging="180"/>
      </w:pPr>
      <w:r>
        <w:rPr>
          <w:color w:val="0F4761"/>
          <w:sz w:val="20"/>
        </w:rPr>
        <w:t xml:space="preserve">•  </w:t>
      </w:r>
      <w:r>
        <w:rPr>
          <w:b w:val="0"/>
          <w:color w:val="202020"/>
          <w:sz w:val="20"/>
        </w:rPr>
        <w:t>Antes de introducir cualquier herramienta técnica, presentarla en términos del problema concreto que resuelve, usando ejemplos y lenguaje locales.</w:t>
      </w:r>
    </w:p>
    <w:p>
      <w:pPr>
        <w:spacing w:before="20" w:after="20"/>
        <w:ind w:left="453" w:hanging="180"/>
      </w:pPr>
      <w:r>
        <w:rPr>
          <w:color w:val="0F4761"/>
          <w:sz w:val="20"/>
        </w:rPr>
        <w:t xml:space="preserve">•  </w:t>
      </w:r>
      <w:r>
        <w:rPr>
          <w:b w:val="0"/>
          <w:color w:val="202020"/>
          <w:sz w:val="20"/>
        </w:rPr>
        <w:t>Involucrar a miembros de la comunidad en la definición de cómo se usará en su contexto: qué ajustes requiere, quién la operará, dónde se resguardará y cómo se activará.</w:t>
      </w:r>
    </w:p>
    <w:p>
      <w:pPr>
        <w:spacing w:before="20" w:after="20"/>
        <w:ind w:left="453" w:hanging="180"/>
      </w:pPr>
      <w:r>
        <w:rPr>
          <w:color w:val="0F4761"/>
          <w:sz w:val="20"/>
        </w:rPr>
        <w:t xml:space="preserve">•  </w:t>
      </w:r>
      <w:r>
        <w:rPr>
          <w:b w:val="0"/>
          <w:color w:val="202020"/>
          <w:sz w:val="20"/>
        </w:rPr>
        <w:t>Realizar al menos una práctica supervisada y una práctica autónoma antes de dar por transferida la herramienta.</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Una herramienta técnica instalada pero no apropiada es un indicador de fracaso operativo real. El riesgo es mayor con sistemas complejos —como los SAT— que requieren coordinación entre múltiples actores, mantenimiento continuo y comprensión de cadenas de alerta diseñadas frecuentemente fuera del contexto local.</w:t>
      </w:r>
    </w:p>
    <w:p>
      <w:pPr>
        <w:pStyle w:val="Heading2"/>
        <w:spacing w:before="160" w:after="40"/>
        <w:pBdr>
          <w:bottom w:val="single" w:sz="8" w:space="1" w:color="0F4761"/>
        </w:pBdr>
      </w:pPr>
      <w:r>
        <w:rPr>
          <w:b/>
          <w:i w:val="0"/>
          <w:color w:val="0F4761"/>
          <w:sz w:val="22"/>
          <w:u w:val="none"/>
        </w:rPr>
        <w:t>8. Validación cultural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Entrevistar a personas que habiten en distintos sectores y que representen diversas funciones económicas o profesionales, que pertenezcan a diferentes grupos de edad tanto hombres como mujeres.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Anticipar conflictos con el objetivo de evitar que el proyecto sea bloqueado por un malentendido cultural (ej. proponer reuniones en días sagrados o usar terminología de salud que choque con creencias espirituales). La validación cultural es especialmente útil en comunidades indígenas y en proyectos relacionados con salud sexual y reproductiva.</w:t>
      </w:r>
    </w:p>
    <w:p>
      <w:pPr>
        <w:pStyle w:val="Heading2"/>
        <w:spacing w:before="160" w:after="40"/>
        <w:pBdr>
          <w:bottom w:val="single" w:sz="8" w:space="1" w:color="0F4761"/>
        </w:pBdr>
      </w:pPr>
      <w:r>
        <w:rPr>
          <w:b/>
          <w:i w:val="0"/>
          <w:color w:val="0F4761"/>
          <w:sz w:val="22"/>
          <w:u w:val="none"/>
        </w:rPr>
        <w:t>9. Protocolo de pausa o salida responsable de la comunidad</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p>
      <w:pPr>
        <w:pStyle w:val="Heading3"/>
        <w:spacing w:before="100" w:after="30"/>
      </w:pPr>
      <w:r>
        <w:rPr>
          <w:b/>
          <w:i w:val="0"/>
          <w:color w:val="0F4761"/>
          <w:sz w:val="20"/>
          <w:u w:val="none"/>
        </w:rPr>
        <w:t>Criterios para activar la evaluación:</w:t>
      </w:r>
    </w:p>
    <w:p>
      <w:pPr>
        <w:spacing w:before="20" w:after="20"/>
        <w:ind w:left="453" w:hanging="180"/>
      </w:pPr>
      <w:r>
        <w:rPr>
          <w:color w:val="0F4761"/>
          <w:sz w:val="20"/>
        </w:rPr>
        <w:t xml:space="preserve">•  </w:t>
      </w:r>
      <w:r>
        <w:rPr>
          <w:b w:val="0"/>
          <w:color w:val="202020"/>
          <w:sz w:val="20"/>
        </w:rPr>
        <w:t>La participación cae consistentemente por debajo del umbral mínimo acordado en la Fase 2 en dos o más actividades consecutivas, sin que las estrategias alternativas hayan producido mejora.</w:t>
      </w:r>
    </w:p>
    <w:p>
      <w:pPr>
        <w:spacing w:before="20" w:after="20"/>
        <w:ind w:left="453" w:hanging="180"/>
      </w:pPr>
      <w:r>
        <w:rPr>
          <w:color w:val="0F4761"/>
          <w:sz w:val="20"/>
        </w:rPr>
        <w:t xml:space="preserve">•  </w:t>
      </w:r>
      <w:r>
        <w:rPr>
          <w:b w:val="0"/>
          <w:color w:val="202020"/>
          <w:sz w:val="20"/>
        </w:rPr>
        <w:t>El liderazgo comunitario retira su aval o adopta una postura de obstrucción activa hacia el proyecto.</w:t>
      </w:r>
    </w:p>
    <w:p>
      <w:pPr>
        <w:spacing w:before="20" w:after="20"/>
        <w:ind w:left="453" w:hanging="180"/>
      </w:pPr>
      <w:r>
        <w:rPr>
          <w:color w:val="0F4761"/>
          <w:sz w:val="20"/>
        </w:rPr>
        <w:t xml:space="preserve">•  </w:t>
      </w:r>
      <w:r>
        <w:rPr>
          <w:b w:val="0"/>
          <w:color w:val="202020"/>
          <w:sz w:val="20"/>
        </w:rPr>
        <w:t>Emergen condiciones de seguridad que comprometen la integridad del equipo o de los participantes.</w:t>
      </w:r>
    </w:p>
    <w:p>
      <w:pPr>
        <w:spacing w:before="20" w:after="20"/>
        <w:ind w:left="453" w:hanging="180"/>
      </w:pPr>
      <w:r>
        <w:rPr>
          <w:color w:val="0F4761"/>
          <w:sz w:val="20"/>
        </w:rPr>
        <w:t xml:space="preserve">•  </w:t>
      </w:r>
      <w:r>
        <w:rPr>
          <w:b w:val="0"/>
          <w:color w:val="202020"/>
          <w:sz w:val="20"/>
        </w:rPr>
        <w:t>La comunidad manifiesta de forma explícita su desinterés o rechazo hacia el proyecto.</w:t>
      </w:r>
    </w:p>
    <w:p>
      <w:pPr>
        <w:spacing w:before="20" w:after="20"/>
        <w:ind w:left="453" w:hanging="180"/>
      </w:pPr>
      <w:r>
        <w:rPr>
          <w:color w:val="0F4761"/>
          <w:sz w:val="20"/>
        </w:rPr>
        <w:t xml:space="preserve">•  </w:t>
      </w:r>
      <w:r>
        <w:rPr>
          <w:b w:val="0"/>
          <w:color w:val="202020"/>
          <w:sz w:val="20"/>
        </w:rPr>
        <w:t>Se identifican conflictos internos tan profundos que hacen inviable un trabajo neutral por parte de la filial.</w:t>
      </w:r>
    </w:p>
    <w:p>
      <w:pPr>
        <w:pStyle w:val="Heading3"/>
        <w:spacing w:before="100" w:after="30"/>
      </w:pPr>
      <w:r>
        <w:rPr>
          <w:b/>
          <w:i w:val="0"/>
          <w:color w:val="0F4761"/>
          <w:sz w:val="20"/>
          <w:u w:val="none"/>
        </w:rPr>
        <w:t>Opciones de respuesta:</w:t>
      </w:r>
    </w:p>
    <w:p>
      <w:pPr>
        <w:spacing w:before="20" w:after="20"/>
        <w:ind w:left="453" w:hanging="180"/>
      </w:pPr>
      <w:r>
        <w:rPr>
          <w:color w:val="0F4761"/>
          <w:sz w:val="20"/>
        </w:rPr>
        <w:t xml:space="preserve">•  </w:t>
      </w:r>
      <w:r>
        <w:rPr>
          <w:b/>
          <w:color w:val="202020"/>
          <w:sz w:val="20"/>
        </w:rPr>
        <w:t>Pausa temporal:</w:t>
      </w:r>
      <w:r>
        <w:rPr>
          <w:b w:val="0"/>
          <w:color w:val="202020"/>
          <w:sz w:val="20"/>
        </w:rPr>
        <w:t xml:space="preserve"> Si el problema es coyuntural —contexto político adverso, período de alta actividad comunitaria, conflicto transitorio— suspender las actividades por un período y establecer una fecha de reevaluación.</w:t>
      </w:r>
    </w:p>
    <w:p>
      <w:pPr>
        <w:spacing w:before="20" w:after="20"/>
        <w:ind w:left="453" w:hanging="180"/>
      </w:pPr>
      <w:r>
        <w:rPr>
          <w:color w:val="0F4761"/>
          <w:sz w:val="20"/>
        </w:rPr>
        <w:t xml:space="preserve">•  </w:t>
      </w:r>
      <w:r>
        <w:rPr>
          <w:b/>
          <w:color w:val="202020"/>
          <w:sz w:val="20"/>
        </w:rPr>
        <w:t>Redirección:</w:t>
      </w:r>
      <w:r>
        <w:rPr>
          <w:b w:val="0"/>
          <w:color w:val="202020"/>
          <w:sz w:val="20"/>
        </w:rPr>
        <w:t xml:space="preserve"> Si el problema es de pertinencia, explorar si la intervención puede reorientarse dentro del mandato de la filial hacia lo que la comunidad efectivamente necesita.</w:t>
      </w:r>
    </w:p>
    <w:p>
      <w:pPr>
        <w:spacing w:before="20" w:after="20"/>
        <w:ind w:left="453" w:hanging="180"/>
      </w:pPr>
      <w:r>
        <w:rPr>
          <w:color w:val="0F4761"/>
          <w:sz w:val="20"/>
        </w:rPr>
        <w:t xml:space="preserve">•  </w:t>
      </w:r>
      <w:r>
        <w:rPr>
          <w:b/>
          <w:color w:val="202020"/>
          <w:sz w:val="20"/>
        </w:rPr>
        <w:t>Cierre responsable:</w:t>
      </w:r>
      <w:r>
        <w:rPr>
          <w:b w:val="0"/>
          <w:color w:val="202020"/>
          <w:sz w:val="20"/>
        </w:rPr>
        <w:t xml:space="preserve"> Si las condiciones no permiten continuar, cerrar el trabajo de forma ordenada: informar al liderazgo, documentar los avances alcanzados, sistematizar las lecciones aprendidas y registrar los contactos establecidos para facilitar una futura reactivación.</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Salir de una comunidad sin un protocolo de cierre puede dañar la reputación de la CRV y dificultar el acceso futuro. Una salida responsable mantiene el vínculo institucional y deja abierta la posibilidad de retomar el trabajo cuando las condiciones mejoren.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0F4761"/>
            <w:tcMar>
              <w:top w:w="80" w:type="dxa"/>
              <w:bottom w:w="80" w:type="dxa"/>
              <w:left w:w="160" w:type="dxa"/>
              <w:right w:w="0" w:type="dxa"/>
            </w:tcMar>
            <w:tcW w:w="7371" w:type="dxa"/>
          </w:tcPr>
          <w:p>
            <w:pPr>
              <w:pStyle w:val="Heading1"/>
              <w:spacing w:before="0" w:after="0"/>
            </w:pPr>
            <w:r>
              <w:rPr>
                <w:b/>
                <w:i w:val="0"/>
                <w:color w:val="FFFFFF"/>
                <w:sz w:val="24"/>
                <w:u w:val="none"/>
              </w:rPr>
              <w:t>Fase 4: Consolidación</w:t>
            </w:r>
          </w:p>
        </w:tc>
        <w:tc>
          <w:tcPr>
            <w:shd w:val="clear" w:color="auto" w:fill="0F4761"/>
            <w:tcMar>
              <w:top w:w="80" w:type="dxa"/>
              <w:bottom w:w="80" w:type="dxa"/>
              <w:left w:w="0" w:type="dxa"/>
              <w:right w:w="160" w:type="dxa"/>
            </w:tcMar>
            <w:tcW w:w="1984" w:type="dxa"/>
          </w:tcPr>
          <w:p>
            <w:pPr>
              <w:spacing w:before="0" w:after="0"/>
              <w:jc w:val="right"/>
            </w:pPr>
            <w:r>
              <w:rPr>
                <w:b w:val="0"/>
                <w:color w:val="FFFFFF"/>
                <w:sz w:val="18"/>
              </w:rPr>
              <w:t>2 secciones</w:t>
            </w:r>
          </w:p>
        </w:tc>
      </w:tr>
    </w:tbl>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Sistematizar los hallazgos para la toma de decisiones presupuestarias, técnicas y de seguridad de la organización.</w:t>
      </w:r>
    </w:p>
    <w:p>
      <w:pPr>
        <w:pStyle w:val="Heading2"/>
        <w:spacing w:before="160" w:after="40"/>
        <w:pBdr>
          <w:bottom w:val="single" w:sz="8" w:space="1" w:color="0F4761"/>
        </w:pBdr>
      </w:pPr>
      <w:r>
        <w:rPr>
          <w:b/>
          <w:i w:val="0"/>
          <w:color w:val="0F4761"/>
          <w:sz w:val="22"/>
          <w:u w:val="none"/>
        </w:rPr>
        <w:t>1. Síntesis y triangulación de inteligencia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escribir el informe final, el equipo debe triangular la información obtenida para asegurar que cada hallazgo esté validado por al menos 3 fuentes. Cuando existe contradicción entre estas fuentes, el informe debe documentarla explícitamente sin pretender resolverla a favor de una de ellas.</w:t>
      </w:r>
    </w:p>
    <w:p>
      <w:pPr>
        <w:spacing w:before="40" w:after="40"/>
        <w:ind w:left="115"/>
        <w:shd w:val="clear" w:color="auto" w:fill="F2F2F2"/>
        <w:pBdr>
          <w:left w:val="single" w:sz="18" w:space="6" w:color="999999"/>
        </w:pBdr>
      </w:pPr>
      <w:r>
        <w:rPr>
          <w:b/>
          <w:color w:val="0F4761"/>
          <w:sz w:val="20"/>
        </w:rPr>
        <w:t xml:space="preserve">Lenguaje: </w:t>
      </w:r>
      <w:r>
        <w:rPr>
          <w:b w:val="0"/>
          <w:color w:val="202020"/>
          <w:sz w:val="20"/>
        </w:rPr>
        <w:t>Transformar los hallazgos en afirmaciones positivas y acciones en concreto. En lugar de limitarse a describir carencias, las conclusiones deben establecer vínculos positivos entre los problemas detectados y los recursos potenciales, rescatando siempre las ideas originales de la comunidad para que esta se reconozca en el informe. Por ejemplo, en lugar de concluir que "la comunidad carece de liderazgo en el área de salud", el informe debe afirmar que "Existe una valiosa oportunidad para fortalecer al comité local de salud y conectarlo con el ambulatorio más cercano".</w:t>
      </w:r>
    </w:p>
    <w:p>
      <w:pPr>
        <w:pStyle w:val="Heading3"/>
        <w:spacing w:before="100" w:after="30"/>
      </w:pPr>
      <w:r>
        <w:rPr>
          <w:b/>
          <w:i w:val="0"/>
          <w:color w:val="0F4761"/>
          <w:sz w:val="20"/>
          <w:u w:val="none"/>
        </w:rPr>
        <w:t>Puntos críticos:</w:t>
      </w:r>
    </w:p>
    <w:p>
      <w:pPr>
        <w:spacing w:before="20" w:after="20"/>
        <w:ind w:left="453" w:hanging="180"/>
      </w:pPr>
      <w:r>
        <w:rPr>
          <w:color w:val="0F4761"/>
          <w:sz w:val="20"/>
        </w:rPr>
        <w:t xml:space="preserve">•  </w:t>
      </w:r>
      <w:r>
        <w:rPr>
          <w:b w:val="0"/>
          <w:color w:val="202020"/>
          <w:sz w:val="20"/>
        </w:rPr>
        <w:t>Las conclusiones deben reflejar las prioridades de la comunidad, no los deseos de la CRV o de terceros con intereses en la intervención.</w:t>
      </w:r>
    </w:p>
    <w:p>
      <w:pPr>
        <w:spacing w:before="20" w:after="20"/>
        <w:ind w:left="453" w:hanging="180"/>
      </w:pPr>
      <w:r>
        <w:rPr>
          <w:color w:val="0F4761"/>
          <w:sz w:val="20"/>
        </w:rPr>
        <w:t xml:space="preserve">•  </w:t>
      </w:r>
      <w:r>
        <w:rPr>
          <w:b w:val="0"/>
          <w:color w:val="202020"/>
          <w:sz w:val="20"/>
        </w:rPr>
        <w:t>Si los "interesados" no ven reflejada su voz, se incrementa el riesgo de expulsión o desinterés por la iniciativa.</w:t>
      </w:r>
    </w:p>
    <w:p>
      <w:pPr>
        <w:spacing w:before="20" w:after="20"/>
        <w:ind w:left="453" w:hanging="180"/>
      </w:pPr>
      <w:r>
        <w:rPr>
          <w:color w:val="0F4761"/>
          <w:sz w:val="20"/>
        </w:rPr>
        <w:t xml:space="preserve">•  </w:t>
      </w:r>
      <w:r>
        <w:rPr>
          <w:b w:val="0"/>
          <w:color w:val="202020"/>
          <w:sz w:val="20"/>
        </w:rPr>
        <w:t>La CRV clasifica los problemas detectados en la comunidad según su mandato y capacidad de acción.</w:t>
      </w:r>
    </w:p>
    <w:p>
      <w:pPr>
        <w:spacing w:before="20" w:after="20"/>
        <w:ind w:left="453" w:hanging="180"/>
      </w:pPr>
      <w:r>
        <w:rPr>
          <w:color w:val="0F4761"/>
          <w:sz w:val="20"/>
        </w:rPr>
        <w:t xml:space="preserve">•  </w:t>
      </w:r>
      <w:r>
        <w:rPr>
          <w:b w:val="0"/>
          <w:color w:val="202020"/>
          <w:sz w:val="20"/>
        </w:rPr>
        <w:t>Se informa sobre la viabilidad logística: horarios seguros y rutas de acceso basadas en la vulnerabilidad mapeada en la Fase 3.</w:t>
      </w:r>
    </w:p>
    <w:p>
      <w:pPr>
        <w:spacing w:before="20" w:after="20"/>
        <w:ind w:left="453" w:hanging="180"/>
      </w:pPr>
      <w:r>
        <w:rPr>
          <w:color w:val="0F4761"/>
          <w:sz w:val="20"/>
        </w:rPr>
        <w:t xml:space="preserve">•  </w:t>
      </w:r>
      <w:r>
        <w:rPr>
          <w:b w:val="0"/>
          <w:color w:val="202020"/>
          <w:sz w:val="20"/>
        </w:rPr>
        <w:t>Se especifica qué voluntarios o especialistas se requieren para el trabajo en la comunidad (ej. especialistas en agua para rehabilitar el pozo).</w:t>
      </w:r>
    </w:p>
    <w:p>
      <w:pPr>
        <w:pStyle w:val="Heading2"/>
        <w:spacing w:before="160" w:after="40"/>
        <w:pBdr>
          <w:bottom w:val="single" w:sz="8" w:space="1" w:color="0F4761"/>
        </w:pBdr>
      </w:pPr>
      <w:r>
        <w:rPr>
          <w:b/>
          <w:i w:val="0"/>
          <w:color w:val="0F4761"/>
          <w:sz w:val="22"/>
          <w:u w:val="none"/>
        </w:rPr>
        <w:t>2. Gestión de la tensión entre los objetivos de la intervención y la realidad comunitaria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la instancia que orienta o coordina la intervención, y para garantizar que esta responda efectivamente a la realidad en terreno.</w:t>
      </w:r>
    </w:p>
    <w:p>
      <w:pPr>
        <w:pStyle w:val="Heading3"/>
        <w:spacing w:before="100" w:after="30"/>
      </w:pPr>
      <w:r>
        <w:rPr>
          <w:b/>
          <w:i w:val="0"/>
          <w:color w:val="0F4761"/>
          <w:sz w:val="20"/>
          <w:u w:val="none"/>
        </w:rPr>
        <w:t>Marco para documentar la discrepancia:</w:t>
      </w:r>
    </w:p>
    <w:p>
      <w:pPr>
        <w:spacing w:before="0" w:after="40"/>
      </w:pPr>
      <w:r>
        <w:rPr>
          <w:color w:val="202020"/>
          <w:sz w:val="20"/>
        </w:rPr>
        <w:t>Cuando el proyecto exige desarrollar el componente "X" pero la comunidad requiere el componente "Y", el informe de campo debe registrar:</w:t>
      </w:r>
    </w:p>
    <w:p>
      <w:pPr>
        <w:spacing w:before="20" w:after="20"/>
        <w:ind w:left="453" w:hanging="180"/>
      </w:pPr>
      <w:r>
        <w:rPr>
          <w:color w:val="0F4761"/>
          <w:sz w:val="20"/>
        </w:rPr>
        <w:t xml:space="preserve">•  </w:t>
      </w:r>
      <w:r>
        <w:rPr>
          <w:b w:val="0"/>
          <w:color w:val="202020"/>
          <w:sz w:val="20"/>
        </w:rPr>
        <w:t>Descripción de "X" según el marco lógico del proyecto.</w:t>
      </w:r>
    </w:p>
    <w:p>
      <w:pPr>
        <w:spacing w:before="20" w:after="20"/>
        <w:ind w:left="453" w:hanging="180"/>
      </w:pPr>
      <w:r>
        <w:rPr>
          <w:color w:val="0F4761"/>
          <w:sz w:val="20"/>
        </w:rPr>
        <w:t xml:space="preserve">•  </w:t>
      </w:r>
      <w:r>
        <w:rPr>
          <w:b w:val="0"/>
          <w:color w:val="202020"/>
          <w:sz w:val="20"/>
        </w:rPr>
        <w:t>Descripción de "Y" según los hallazgos en terreno, con evidencia de al menos tres fuentes.</w:t>
      </w:r>
    </w:p>
    <w:p>
      <w:pPr>
        <w:spacing w:before="20" w:after="20"/>
        <w:ind w:left="453" w:hanging="180"/>
      </w:pPr>
      <w:r>
        <w:rPr>
          <w:color w:val="0F4761"/>
          <w:sz w:val="20"/>
        </w:rPr>
        <w:t xml:space="preserve">•  </w:t>
      </w:r>
      <w:r>
        <w:rPr>
          <w:b w:val="0"/>
          <w:color w:val="202020"/>
          <w:sz w:val="20"/>
        </w:rPr>
        <w:t>Impacto de implementar "X" sin atender "Y": qué riesgos o limitaciones genera para la comunidad.</w:t>
      </w:r>
    </w:p>
    <w:p>
      <w:pPr>
        <w:spacing w:before="20" w:after="20"/>
        <w:ind w:left="453" w:hanging="180"/>
      </w:pPr>
      <w:r>
        <w:rPr>
          <w:color w:val="0F4761"/>
          <w:sz w:val="20"/>
        </w:rPr>
        <w:t xml:space="preserve">•  </w:t>
      </w:r>
      <w:r>
        <w:rPr>
          <w:b w:val="0"/>
          <w:color w:val="202020"/>
          <w:sz w:val="20"/>
        </w:rPr>
        <w:t>Propuesta de ajuste: cómo podría modificarse la actividad o el indicador para atender ambas necesidades sin comprometer los objetivos generales de la intervención.</w:t>
      </w:r>
    </w:p>
    <w:p>
      <w:pPr>
        <w:pStyle w:val="Heading3"/>
        <w:spacing w:before="100" w:after="30"/>
      </w:pPr>
      <w:r>
        <w:rPr>
          <w:b/>
          <w:i w:val="0"/>
          <w:color w:val="0F4761"/>
          <w:sz w:val="20"/>
          <w:u w:val="none"/>
        </w:rPr>
        <w:t>Estrategias para gestionar la discrepancia entre el plan y la realidad:</w:t>
      </w:r>
    </w:p>
    <w:p>
      <w:pPr>
        <w:spacing w:before="20" w:after="20"/>
        <w:ind w:left="453" w:hanging="180"/>
      </w:pPr>
      <w:r>
        <w:rPr>
          <w:color w:val="0F4761"/>
          <w:sz w:val="20"/>
        </w:rPr>
        <w:t xml:space="preserve">•  </w:t>
      </w:r>
      <w:r>
        <w:rPr>
          <w:b w:val="0"/>
          <w:color w:val="202020"/>
          <w:sz w:val="20"/>
        </w:rPr>
        <w:t>Presentar los hallazgos en terreno como evidencia técnica, no como desviación del plan: el ajuste se fundamenta en la calidad del diagnóstico, no en una falla de implementación.</w:t>
      </w:r>
    </w:p>
    <w:p>
      <w:pPr>
        <w:spacing w:before="20" w:after="20"/>
        <w:ind w:left="453" w:hanging="180"/>
      </w:pPr>
      <w:r>
        <w:rPr>
          <w:color w:val="0F4761"/>
          <w:sz w:val="20"/>
        </w:rPr>
        <w:t xml:space="preserve">•  </w:t>
      </w:r>
      <w:r>
        <w:rPr>
          <w:b w:val="0"/>
          <w:color w:val="202020"/>
          <w:sz w:val="20"/>
        </w:rPr>
        <w:t>Proponer modificaciones acotadas: cambios en la forma de implementar una actividad —sin alterar sus objetivos generales— facilitan la aceptación de los ajustes.</w:t>
      </w:r>
    </w:p>
    <w:p>
      <w:pPr>
        <w:spacing w:before="20" w:after="20"/>
        <w:ind w:left="453" w:hanging="180"/>
      </w:pPr>
      <w:r>
        <w:rPr>
          <w:color w:val="0F4761"/>
          <w:sz w:val="20"/>
        </w:rPr>
        <w:t xml:space="preserve">•  </w:t>
      </w:r>
      <w:r>
        <w:rPr>
          <w:b w:val="0"/>
          <w:color w:val="202020"/>
          <w:sz w:val="20"/>
        </w:rPr>
        <w:t>Documentar los recursos alternativos gestionados para atender "Y" fuera del alcance o presupuesto original de la intervención, como evidencia del compromiso institucional con la comunidad.</w:t>
      </w:r>
    </w:p>
    <w:p>
      <w:pPr>
        <w:spacing w:before="20" w:after="20"/>
        <w:ind w:left="453" w:hanging="180"/>
      </w:pPr>
      <w:r>
        <w:rPr>
          <w:color w:val="0F4761"/>
          <w:sz w:val="20"/>
        </w:rPr>
        <w:t xml:space="preserve">•  </w:t>
      </w:r>
      <w:r>
        <w:rPr>
          <w:b w:val="0"/>
          <w:color w:val="202020"/>
          <w:sz w:val="20"/>
        </w:rPr>
        <w:t>Si la instancia coordinadora no acepta ajustes, registrar en el informe interno la discrepancia y las acciones tomadas para mitigar su impacto.</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Los proyectos de GRD son sui géneris: no es posible anticipar con precisión qué se encontrará en terreno. Un marco lógico muy rígido puede llevar a implementaciones que cumplen los indicadores formales pero no generan impacto real. La documentación sistemática de estas brechas es también un insumo para mejorar el diseño de proyectos futuros.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Mantener un registro interno —separado del reporte oficial— donde se documente qué decisiones de adaptación se tomaron en terreno, por qué y con qué resultado. Este registro protege a la filial ante auditorías y construye memoria institucional sobre cómo adaptar la operación a distintos tipos de intervenciones.</w:t>
      </w:r>
    </w:p>
    <w:p>
      <w:pPr>
        <w:spacing w:before="160" w:after="0"/>
        <w:pBdr>
          <w:top w:val="single" w:sz="4" w:space="1" w:color="CCCCCC"/>
        </w:pBdr>
      </w:pPr>
    </w:p>
    <w:p>
      <w:pPr>
        <w:spacing w:before="40" w:after="0"/>
      </w:pPr>
      <w:r>
        <w:rPr>
          <w:i/>
          <w:color w:val="808080"/>
          <w:sz w:val="16"/>
        </w:rPr>
        <w:t>Hoja de Ruta elaborada por el equipo de PMER con el apoyo y guía del área de Gestión del Riesgo de Desastre en 2026</w:t>
      </w:r>
    </w:p>
    <w:sectPr w:rsidR="00FC693F" w:rsidRPr="0006063C" w:rsidSect="00034616">
      <w:headerReference w:type="first" r:id="rId9"/>
      <w:headerReference w:type="default" r:id="rId10"/>
      <w:footerReference w:type="first" r:id="rId11"/>
      <w:footerReference w:type="default" r:id="rId12"/>
      <w:pgSz w:w="11906" w:h="16838"/>
      <w:pgMar w:top="1417"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0" w:after="0"/>
    </w:pPr>
    <w:r>
      <w:rPr>
        <w:color w:val="808080"/>
        <w:sz w:val="16"/>
      </w:rPr>
      <w:t xml:space="preserve">Página </w:t>
    </w:r>
    <w:r>
      <w:fldChar w:fldCharType="begin"/>
    </w:r>
    <w:r>
      <w:instrText xml:space="preserve"> PAGE </w:instrText>
    </w:r>
    <w:r>
      <w:fldChar w:fldCharType="end"/>
    </w:r>
    <w:r>
      <w:rPr>
        <w:color w:val="808080"/>
        <w:sz w:val="16"/>
      </w:rPr>
      <w:t xml:space="preserve"> de </w:t>
    </w:r>
    <w:r>
      <w:fldChar w:fldCharType="begin"/>
    </w:r>
    <w:r>
      <w:instrText xml:space="preserve"> NUMPAGES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0" w:after="0"/>
    </w:pPr>
    <w:r>
      <w:rPr>
        <w:color w:val="808080"/>
        <w:sz w:val="16"/>
      </w:rPr>
      <w:t xml:space="preserve">Página </w:t>
    </w:r>
    <w:r>
      <w:fldChar w:fldCharType="begin"/>
    </w:r>
    <w:r>
      <w:instrText xml:space="preserve"> PAGE </w:instrText>
    </w:r>
    <w:r>
      <w:fldChar w:fldCharType="end"/>
    </w:r>
    <w:r>
      <w:rPr>
        <w:color w:val="808080"/>
        <w:sz w:val="16"/>
      </w:rPr>
      <w:t xml:space="preserve"> de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spacing w:before="0" w:after="0"/>
      <w:pBdr>
        <w:bottom w:val="single" w:sz="4" w:space="1" w:color="CCCCCC"/>
      </w:pBdr>
    </w:pPr>
    <w:r>
      <w:rPr>
        <w:color w:val="808080"/>
        <w:sz w:val="16"/>
      </w:rPr>
      <w:t>CRV — Orientaciones para el acceso a las comunidades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b/>
      <w:bCs/>
      <w:i w:val="0"/>
      <w:color w:val="0F4761"/>
      <w:sz w:val="28"/>
      <w:szCs w:val="28"/>
      <w:u w:val="none"/>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Calibri" w:hAnsi="Calibri"/>
      <w:b/>
      <w:bCs/>
      <w:i w:val="0"/>
      <w:color w:val="0F4761"/>
      <w:sz w:val="26"/>
      <w:szCs w:val="26"/>
      <w:u w:val="none"/>
    </w:rPr>
  </w:style>
  <w:style w:type="paragraph" w:styleId="Heading3">
    <w:name w:val="heading 3"/>
    <w:basedOn w:val="Normal"/>
    <w:next w:val="Normal"/>
    <w:link w:val="Heading3Char"/>
    <w:uiPriority w:val="9"/>
    <w:unhideWhenUsed/>
    <w:qFormat/>
    <w:rsid w:val="00FC693F"/>
    <w:pPr>
      <w:keepNext/>
      <w:keepLines/>
      <w:spacing w:before="0" w:after="0"/>
      <w:outlineLvl w:val="2"/>
    </w:pPr>
    <w:rPr>
      <w:rFonts w:asciiTheme="majorHAnsi" w:eastAsiaTheme="majorEastAsia" w:hAnsiTheme="majorHAnsi" w:cstheme="majorBidi" w:ascii="Calibri" w:hAnsi="Calibri"/>
      <w:b/>
      <w:bCs/>
      <w:i w:val="0"/>
      <w:color w:val="0F4761"/>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