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Mapeo de actores clave</w:t>
      </w:r>
      <w:r w:rsidR="003C23A6" w:rsidRPr="003C3D99">
        <w:rPr>
          <w:rFonts w:ascii="Arial" w:hAnsi="Arial" w:cs="Arial"/>
          <w:b/>
          <w:bCs/>
          <w:color w:val="auto"/>
          <w:sz w:val="24"/>
          <w:szCs w:val="24"/>
          <w:lang w:val="es-ES"/>
        </w:rPr>
      </w:r>
      <w:r w:rsidR="00A46F67" w:rsidRPr="003C3D99">
        <w:rPr>
          <w:rFonts w:ascii="Arial" w:hAnsi="Arial" w:cs="Arial"/>
          <w:b/>
          <w:bCs/>
          <w:color w:val="auto"/>
          <w:sz w:val="24"/>
          <w:szCs w:val="24"/>
          <w:lang w:val="es-ES"/>
        </w:rPr>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28B351B1" w14:textId="3FC41080"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6</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Análisis de </w:t>
      </w:r>
      <w:r w:rsidR="000259F9" w:rsidRPr="003C3D99">
        <w:rPr>
          <w:rFonts w:ascii="Arial" w:hAnsi="Arial" w:cs="Arial"/>
          <w:b/>
          <w:bCs/>
          <w:color w:val="auto"/>
          <w:sz w:val="24"/>
          <w:szCs w:val="24"/>
          <w:lang w:val="es-ES"/>
        </w:rPr>
        <w:t>capacidad y lecciones aprendidas</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03FEDE38" w14:textId="3522B171" w:rsidR="00B85D09" w:rsidRPr="003C3D99" w:rsidRDefault="00691393"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7. </w:t>
      </w:r>
      <w:r w:rsidR="00B85D09" w:rsidRPr="003C3D99">
        <w:rPr>
          <w:rFonts w:ascii="Arial" w:hAnsi="Arial" w:cs="Arial"/>
          <w:b/>
          <w:bCs/>
          <w:color w:val="auto"/>
          <w:sz w:val="24"/>
          <w:szCs w:val="24"/>
          <w:lang w:val="es-ES"/>
        </w:rPr>
        <w:t>Historia de desastres como variable de priorización</w:t>
      </w:r>
    </w:p>
    <w:p w14:paraId="639FBABF" w14:textId="77777777" w:rsidR="00B85D09" w:rsidRPr="003C3D99" w:rsidRDefault="00B85D09" w:rsidP="00B85D09">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Además de indagar si la comunidad ha participado en proyectos anteriores, la filial debe identificar si ha vivido eventos de desastre recientes —inundaciones, deslizamientos, sismos, incendios u otros—. Esta información no solo enriquece el diagnóstico de riesgo: es un indicador de viabilidad operativa, ya que las comunidades con experiencia directa en desastres tienden a mostrar mayor disposición a participar, mayor cohesión durante las actividades y mayor capacidad de replicar lo aprendido.</w:t>
      </w:r>
    </w:p>
    <w:p w14:paraId="01CC1844" w14:textId="77777777" w:rsidR="00B85D09" w:rsidRPr="003C3D99" w:rsidRDefault="00B85D09" w:rsidP="00B85D09">
      <w:pPr>
        <w:jc w:val="both"/>
        <w:rPr>
          <w:rFonts w:ascii="Arial" w:hAnsi="Arial" w:cs="Arial"/>
          <w:lang w:val="es-ES"/>
        </w:rPr>
      </w:pPr>
      <w:r w:rsidRPr="003C3D99">
        <w:rPr>
          <w:rFonts w:ascii="Arial" w:hAnsi="Arial" w:cs="Arial"/>
          <w:b/>
          <w:bCs/>
          <w:lang w:val="es-ES"/>
        </w:rPr>
        <w:t>Por qué esta variable importa:</w:t>
      </w:r>
    </w:p>
    <w:p w14:paraId="0DCBAB3E"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Las comunidades que han vivido un desastre conocen de forma directa la diferencia entre estar preparadas y no estarlo, lo que genera motivación intrínseca que otras comunidades no tienen.</w:t>
      </w:r>
    </w:p>
    <w:p w14:paraId="5975286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convocatoria es notablemente más efectiva: los participantes se comprometen y permanecen hasta el final de las actividades.</w:t>
      </w:r>
    </w:p>
    <w:p w14:paraId="7E9B5E0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capacidad de réplica es mayor: los aprendizajes se transfieren con más facilidad a otras personas de la comunidad y la autonomía operativa se alcanza en menor tiempo.</w:t>
      </w:r>
    </w:p>
    <w:p w14:paraId="2972A98E" w14:textId="77777777" w:rsidR="00B85D09" w:rsidRPr="003C3D99" w:rsidRDefault="00B85D09" w:rsidP="00B85D09">
      <w:pPr>
        <w:jc w:val="both"/>
        <w:rPr>
          <w:rFonts w:ascii="Arial" w:hAnsi="Arial" w:cs="Arial"/>
          <w:lang w:val="es-ES"/>
        </w:rPr>
      </w:pPr>
      <w:r w:rsidRPr="003C3D99">
        <w:rPr>
          <w:rFonts w:ascii="Arial" w:hAnsi="Arial" w:cs="Arial"/>
          <w:b/>
          <w:bCs/>
          <w:lang w:val="es-ES"/>
        </w:rPr>
        <w:lastRenderedPageBreak/>
        <w:t>Estrategia de campo:</w:t>
      </w:r>
      <w:r w:rsidRPr="003C3D99">
        <w:rPr>
          <w:rFonts w:ascii="Arial" w:hAnsi="Arial" w:cs="Arial"/>
          <w:lang w:val="es-ES"/>
        </w:rPr>
        <w:t xml:space="preserve"> Si entre las comunidades candidatas existe una con historia reciente de desastre y condiciones operativas comparables, priorizarla como punto de entrada. Los resultados obtenidos en esa comunidad pueden documentarse como caso de referencia y utilizarse para motivar la participación en comunidades vecinas sin esa experiencia.</w:t>
      </w:r>
    </w:p>
    <w:p w14:paraId="2EDF67DB" w14:textId="77777777" w:rsidR="00B85D09" w:rsidRPr="003C3D99" w:rsidRDefault="00B85D09" w:rsidP="00B85D09">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historia de desastre no garantiza por sí sola la viabilidad del trabajo. Debe cruzarse con los demás criterios del protocolo de priorización: cohesión social, capacidad operativa de la filial y pertinencia del mandato. Una comunidad afectada por un desastre reciente sin proceso de recuperación consolidado puede mostrar el patrón opuesto: desorganización, desconfianza y dificultad para proyectarse hacia la prevención.</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8</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permisos y notificación a autoridades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6</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7.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08AF3A8F" w14:textId="281AB2A2" w:rsidR="000F2025" w:rsidRPr="003C3D99" w:rsidRDefault="00504BC3" w:rsidP="00E15F9C">
      <w:pPr>
        <w:pStyle w:val="Ttulo2"/>
        <w:rPr>
          <w:rFonts w:ascii="Arial" w:hAnsi="Arial" w:cs="Arial"/>
          <w:b/>
          <w:bCs/>
          <w:lang w:val="es-ES"/>
        </w:rPr>
      </w:pPr>
      <w:r w:rsidRPr="003C3D99">
        <w:rPr>
          <w:rFonts w:ascii="Arial" w:hAnsi="Arial" w:cs="Arial"/>
          <w:b/>
          <w:bCs/>
          <w:color w:val="auto"/>
          <w:sz w:val="24"/>
          <w:szCs w:val="24"/>
          <w:lang w:val="es-ES"/>
        </w:rPr>
        <w:t>2.</w:t>
      </w:r>
      <w:r w:rsidR="000F2025" w:rsidRPr="003C3D99">
        <w:rPr>
          <w:rFonts w:ascii="Arial" w:hAnsi="Arial" w:cs="Arial"/>
          <w:b/>
          <w:bCs/>
          <w:color w:val="auto"/>
          <w:sz w:val="24"/>
          <w:szCs w:val="24"/>
          <w:lang w:val="es-ES"/>
        </w:rPr>
        <w:t xml:space="preserve"> Auditoría de representatividad de la participación</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3</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4</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9.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