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7F7F7F"/>
          <w:sz w:val="24"/>
          <w:szCs w:val="24"/>
        </w:rPr>
        <w:t xml:space="preserve">SCRIPTIEVOORSTEL</w:t>
      </w:r>
    </w:p>
    <w:p>
      <w:pPr>
        <w:spacing w:after="200"/>
      </w:pPr>
      <w:r>
        <w:rPr>
          <w:b/>
          <w:bCs/>
          <w:color w:val="1F4E79"/>
          <w:sz w:val="56"/>
          <w:szCs w:val="56"/>
        </w:rPr>
        <w:t xml:space="preserve">Vonk in de keten</w:t>
      </w:r>
    </w:p>
    <w:p>
      <w:pPr>
        <w:spacing w:after="600"/>
      </w:pPr>
      <w:r>
        <w:rPr>
          <w:sz w:val="30"/>
          <w:szCs w:val="30"/>
        </w:rPr>
        <w:t xml:space="preserve">Het beheersen van brandrisico’s door lithium-ionbatterijen in de inzamel- en transportketen van [[naam organisatie]]</w:t>
      </w:r>
    </w:p>
    <w:p>
      <w:pPr>
        <w:pBdr>
          <w:bottom w:val="single" w:color="1F4E79" w:sz="8" w:space="4"/>
        </w:pBdr>
      </w:pPr>
    </w:p>
    <w:p>
      <w:pPr>
        <w:spacing w:after="120"/>
      </w:pPr>
    </w:p>
    <w:p>
      <w:pPr>
        <w:spacing w:after="120"/>
      </w:pPr>
      <w:r>
        <w:t xml:space="preserve">Opleiding: Middelbare Veiligheidskunde (MVK)</w:t>
      </w:r>
    </w:p>
    <w:p>
      <w:pPr>
        <w:spacing w:after="120"/>
      </w:pPr>
      <w:r>
        <w:t xml:space="preserve">Student: </w:t>
      </w:r>
      <w:r>
        <w:rPr>
          <w:i/>
          <w:iCs/>
          <w:color w:val="9C5700"/>
          <w:shd w:fill="FFF2CC" w:color="auto" w:val="clear"/>
        </w:rPr>
        <w:t xml:space="preserve">[naam]</w:t>
      </w:r>
      <w:r>
        <w:t xml:space="preserve">  –  Functie: medewerker Arbo &amp; Milieu</w:t>
      </w:r>
    </w:p>
    <w:p>
      <w:pPr>
        <w:spacing w:after="120"/>
      </w:pPr>
      <w:r>
        <w:t xml:space="preserve">Opleidingsinstituut: </w:t>
      </w:r>
      <w:r>
        <w:rPr>
          <w:i/>
          <w:iCs/>
          <w:color w:val="9C5700"/>
          <w:shd w:fill="FFF2CC" w:color="auto" w:val="clear"/>
        </w:rPr>
        <w:t xml:space="preserve">[naam instituut]</w:t>
      </w:r>
    </w:p>
    <w:p>
      <w:pPr>
        <w:spacing w:after="120"/>
      </w:pPr>
      <w:r>
        <w:t xml:space="preserve">Praktijkbegeleider: </w:t>
      </w:r>
      <w:r>
        <w:rPr>
          <w:i/>
          <w:iCs/>
          <w:color w:val="9C5700"/>
          <w:shd w:fill="FFF2CC" w:color="auto" w:val="clear"/>
        </w:rPr>
        <w:t xml:space="preserve">[naam, functie]</w:t>
      </w:r>
    </w:p>
    <w:p>
      <w:pPr>
        <w:spacing w:after="120"/>
      </w:pPr>
      <w:r>
        <w:t xml:space="preserve">Scriptiebegeleider opleiding: </w:t>
      </w:r>
      <w:r>
        <w:rPr>
          <w:i/>
          <w:iCs/>
          <w:color w:val="9C5700"/>
          <w:shd w:fill="FFF2CC" w:color="auto" w:val="clear"/>
        </w:rPr>
        <w:t xml:space="preserve">[naam]</w:t>
      </w:r>
    </w:p>
    <w:p>
      <w:pPr>
        <w:spacing w:after="120"/>
      </w:pPr>
      <w:r>
        <w:t xml:space="preserve">Versie: 0.1 (concept)  –  Datum: </w:t>
      </w:r>
      <w:r>
        <w:rPr>
          <w:i/>
          <w:iCs/>
          <w:color w:val="9C5700"/>
          <w:shd w:fill="FFF2CC" w:color="auto" w:val="clear"/>
        </w:rPr>
        <w:t xml:space="preserve">[datum]</w:t>
      </w:r>
    </w:p>
    <w:p>
      <w:r>
        <w:br w:type="page"/>
      </w:r>
    </w:p>
    <w:p>
      <w:pPr>
        <w:spacing w:after="200"/>
      </w:pPr>
      <w:r>
        <w:rPr>
          <w:b/>
          <w:bCs/>
          <w:color w:val="1F4E79"/>
          <w:sz w:val="32"/>
          <w:szCs w:val="32"/>
        </w:rPr>
        <w:t xml:space="preserve">Inhoud</w:t>
      </w:r>
    </w:p>
    <w:sdt>
      <w:sdtPr>
        <w:alias w:val="Inhoud"/>
      </w:sdtPr>
      <w:sdtContent>
        <w:p>
          <w:r>
            <w:fldChar w:fldCharType="begin" w:dirty="true"/>
            <w:instrText xml:space="preserve">TOC \h \o "1-2"</w:instrText>
            <w:fldChar w:fldCharType="separate"/>
          </w:r>
        </w:p>
        <w:p>
          <w:r>
            <w:fldChar w:fldCharType="end"/>
          </w:r>
        </w:p>
      </w:sdtContent>
    </w:sdt>
    <w:p>
      <w:pPr>
        <w:spacing w:after="120"/>
      </w:pPr>
      <w:r>
        <w:t xml:space="preserve">(Rechtsklik in Word op de inhoudsopgave → “Veld bijwerken” om paginanummers te tonen.)</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CE6F1" w:color="auto" w:val="clear"/>
            <w:tcMar>
              <w:top w:type="dxa" w:w="120"/>
              <w:left w:type="dxa" w:w="180"/>
              <w:bottom w:type="dxa" w:w="120"/>
              <w:right w:type="dxa" w:w="180"/>
            </w:tcMar>
          </w:tcPr>
          <w:p>
            <w:pPr>
              <w:spacing w:after="80"/>
            </w:pPr>
            <w:r>
              <w:rPr>
                <w:b/>
                <w:bCs/>
                <w:color w:val="1F4E79"/>
              </w:rPr>
              <w:t xml:space="preserve">Hoe gebruik je dit document?</w:t>
            </w:r>
          </w:p>
          <w:p>
            <w:pPr>
              <w:spacing w:after="60"/>
            </w:pPr>
            <w:r>
              <w:t xml:space="preserve">Dit is een </w:t>
            </w:r>
            <w:r>
              <w:rPr>
                <w:b/>
                <w:bCs/>
              </w:rPr>
              <w:t xml:space="preserve">scriptievoorstel / plan van aanpak</w:t>
            </w:r>
            <w:r>
              <w:t xml:space="preserve"> dat je bij je opleiding en praktijkbegeleider kunt inleveren. Het is zo opgezet dat het later direct de basis wordt voor hoofdstuk 1 en 3 van je scriptie.</w:t>
            </w:r>
          </w:p>
          <w:p>
            <w:pPr>
              <w:spacing w:after="60"/>
            </w:pPr>
            <w:r>
              <w:t xml:space="preserve">Tekst met een </w:t>
            </w:r>
            <w:r>
              <w:rPr>
                <w:b/>
                <w:bCs/>
              </w:rPr>
              <w:t xml:space="preserve">gele markering</w:t>
            </w:r>
            <w:r>
              <w:t xml:space="preserve"> (zoals </w:t>
            </w:r>
            <w:r>
              <w:rPr>
                <w:i/>
                <w:iCs/>
                <w:color w:val="9C5700"/>
                <w:shd w:fill="FFF2CC" w:color="auto" w:val="clear"/>
              </w:rPr>
              <w:t xml:space="preserve">[dit]</w:t>
            </w:r>
            <w:r>
              <w:t xml:space="preserve">) moet jij zelf invullen met gegevens uit je eigen organisatie.</w:t>
            </w:r>
          </w:p>
          <w:p>
            <w:pPr>
              <w:spacing w:after="60"/>
            </w:pPr>
            <w:r>
              <w:t xml:space="preserve">Controleer de eisen van je opleiding (verplichte hoofdstukken, woordenaantal, bronvermelding APA) en pas de indeling zo nodig aan.</w:t>
            </w:r>
          </w:p>
          <w:p>
            <w:pPr>
              <w:spacing w:after="60"/>
            </w:pPr>
            <w:r>
              <w:t xml:space="preserve">Wet- en regelgeving verandert: controleer bij het schrijven altijd de </w:t>
            </w:r>
            <w:r>
              <w:rPr>
                <w:b/>
                <w:bCs/>
              </w:rPr>
              <w:t xml:space="preserve">actuele versie</w:t>
            </w:r>
            <w:r>
              <w:t xml:space="preserve"> van PGS 37-2, het ADR en de Arbocatalogus.</w:t>
            </w:r>
          </w:p>
        </w:tc>
      </w:tr>
    </w:tbl>
    <w:p>
      <w:pPr>
        <w:spacing w:after="120"/>
      </w:pPr>
    </w:p>
    <w:p>
      <w:pPr>
        <w:pStyle w:val="Heading1"/>
      </w:pPr>
      <w:r>
        <w:t xml:space="preserve">1. Aanleiding</w:t>
      </w:r>
    </w:p>
    <w:p>
      <w:pPr>
        <w:spacing w:after="120"/>
      </w:pPr>
      <w:r>
        <w:t xml:space="preserve">Lithium-ionbatterijen zitten in steeds meer producten: telefoons, e-sigaretten (vapes), elektrische tandenborstels, speelgoed, powerbanks en e-bikes. Wanneer deze batterijen bij het restafval, het PMD of het papier worden weggegooid, komen ze in de inzamelwagen terecht. Door de persbeweging in de laadbak kunnen ze beschadigen en kortsluiten, waarna een zogeheten </w:t>
      </w:r>
      <w:r>
        <w:rPr>
          <w:b/>
          <w:bCs/>
        </w:rPr>
        <w:t xml:space="preserve">thermal runaway</w:t>
      </w:r>
      <w:r>
        <w:t xml:space="preserve"> kan ontstaan: een zichzelf versterkende temperatuurstijging die leidt tot brand, soms met een steekvlam of explosie en het vrijkomen van giftige gassen.</w:t>
      </w:r>
    </w:p>
    <w:p>
      <w:pPr>
        <w:spacing w:after="120"/>
      </w:pPr>
      <w:r>
        <w:t xml:space="preserve">Landelijk is dit een groeiend probleem. Volgens Stichting OPEN kwamen in 2025 naar schatting ruim 100 miljoen batterijen in het Nederlandse restafval terecht (circa 75 miljoen losse batterijen en 25 miljoen in afgedankte apparaten). Branchepartijen (NVRD, Vereniging Afvalbedrijven, BRBS Recycling, TLN, Stichting OPEN) werken daarom samen in de </w:t>
      </w:r>
      <w:r>
        <w:rPr>
          <w:b/>
          <w:bCs/>
        </w:rPr>
        <w:t xml:space="preserve">Taskforce Batterijbranden</w:t>
      </w:r>
      <w:r>
        <w:t xml:space="preserve">. Jaarlijks vinden honderden branden plaats in vuilniswagens, sorteer- en verwerkingsinstallaties, waarbij batterijen een belangrijke oorzaak zijn.</w:t>
      </w:r>
    </w:p>
    <w:p>
      <w:pPr>
        <w:spacing w:after="120"/>
      </w:pPr>
      <w:r>
        <w:t xml:space="preserve">Binnen </w:t>
      </w:r>
      <w:r>
        <w:rPr>
          <w:i/>
          <w:iCs/>
          <w:color w:val="9C5700"/>
          <w:shd w:fill="FFF2CC" w:color="auto" w:val="clear"/>
        </w:rPr>
        <w:t xml:space="preserve">[naam organisatie]</w:t>
      </w:r>
      <w:r>
        <w:t xml:space="preserve"> zijn in de afgelopen </w:t>
      </w:r>
      <w:r>
        <w:rPr>
          <w:i/>
          <w:iCs/>
          <w:color w:val="9C5700"/>
          <w:shd w:fill="FFF2CC" w:color="auto" w:val="clear"/>
        </w:rPr>
        <w:t xml:space="preserve">[periode]</w:t>
      </w:r>
      <w:r>
        <w:t xml:space="preserve"> </w:t>
      </w:r>
      <w:r>
        <w:rPr>
          <w:i/>
          <w:iCs/>
          <w:color w:val="9C5700"/>
          <w:shd w:fill="FFF2CC" w:color="auto" w:val="clear"/>
        </w:rPr>
        <w:t xml:space="preserve">[aantal]</w:t>
      </w:r>
      <w:r>
        <w:t xml:space="preserve"> branden of rookontwikkelingen in inzamelvoertuigen, containers of op de werf/milieustraat geregistreerd. </w:t>
      </w:r>
      <w:r>
        <w:rPr>
          <w:i/>
          <w:iCs/>
          <w:color w:val="9C5700"/>
          <w:shd w:fill="FFF2CC" w:color="auto" w:val="clear"/>
        </w:rPr>
        <w:t xml:space="preserve">[Beschrijf 1–2 concrete incidenten: wat gebeurde er, wat was de schade, liep er iemand gevaar?]</w:t>
      </w:r>
    </w:p>
    <w:p>
      <w:pPr>
        <w:spacing w:after="120"/>
      </w:pPr>
      <w:r>
        <w:t xml:space="preserve">Als voormalig teamleider van de inzamel- en transportdienst heb ik deze incidenten van dichtbij meegemaakt. In mijn huidige functie als medewerker Arbo &amp; Milieu wil ik onderzoeken hoe de organisatie dit risico systematisch kan beheersen, zodat chauffeurs en beladers veilig kunnen werken en materiële schade en uitval worden beperkt.</w:t>
      </w:r>
    </w:p>
    <w:p>
      <w:pPr>
        <w:pStyle w:val="Heading1"/>
      </w:pPr>
      <w:r>
        <w:t xml:space="preserve">2. Probleemstelling en doelstelling</w:t>
      </w:r>
    </w:p>
    <w:p>
      <w:pPr>
        <w:pStyle w:val="Heading2"/>
      </w:pPr>
      <w:r>
        <w:t xml:space="preserve">2.1 Probleemstelling</w:t>
      </w:r>
    </w:p>
    <w:p>
      <w:pPr>
        <w:spacing w:after="120"/>
      </w:pPr>
      <w:r>
        <w:t xml:space="preserve">Medewerkers van de inzamel- en transportdienst van </w:t>
      </w:r>
      <w:r>
        <w:rPr>
          <w:i/>
          <w:iCs/>
          <w:color w:val="9C5700"/>
          <w:shd w:fill="FFF2CC" w:color="auto" w:val="clear"/>
        </w:rPr>
        <w:t xml:space="preserve">[naam organisatie]</w:t>
      </w:r>
      <w:r>
        <w:t xml:space="preserve"> lopen risico op letsel (brand, steekvlam, inademing van rookgassen) doordat lithium-ionbatterijen in het ingezamelde afval brand kunnen veroorzaken. Het is op dit moment onvoldoende duidelijk hoe groot dit risico is, welke oorzaken het zwaarst wegen en of de huidige maatregelen (preventief én repressief) toereikend zijn. </w:t>
      </w:r>
      <w:r>
        <w:rPr>
          <w:i/>
          <w:iCs/>
          <w:color w:val="9C5700"/>
          <w:shd w:fill="FFF2CC" w:color="auto" w:val="clear"/>
        </w:rPr>
        <w:t xml:space="preserve">[Controleer: staat dit risico al in de RI&amp;E? Zo ja, hoe is het beoordeeld?]</w:t>
      </w:r>
    </w:p>
    <w:p>
      <w:pPr>
        <w:pStyle w:val="Heading2"/>
      </w:pPr>
      <w:r>
        <w:t xml:space="preserve">2.2 Doelstelling</w:t>
      </w:r>
    </w:p>
    <w:p>
      <w:pPr>
        <w:spacing w:after="120"/>
      </w:pPr>
      <w:r>
        <w:t xml:space="preserve">Het doel van dit onderzoek is om de organisatie een </w:t>
      </w:r>
      <w:r>
        <w:rPr>
          <w:b/>
          <w:bCs/>
        </w:rPr>
        <w:t xml:space="preserve">onderbouwd advies</w:t>
      </w:r>
      <w:r>
        <w:t xml:space="preserve"> te geven met concrete, uitvoerbare beheersmaatregelen die de kans op en de gevolgen van batterijbranden in de inzamel- en transportketen verkleinen. Het advies is opgebouwd volgens de </w:t>
      </w:r>
      <w:r>
        <w:rPr>
          <w:b/>
          <w:bCs/>
        </w:rPr>
        <w:t xml:space="preserve">arbeidshygiënische strategie</w:t>
      </w:r>
      <w:r>
        <w:t xml:space="preserve"> en kan worden opgenomen in het plan van aanpak van de RI&amp;E.</w:t>
      </w:r>
    </w:p>
    <w:p>
      <w:pPr>
        <w:spacing w:after="120"/>
      </w:pPr>
      <w:r>
        <w:t xml:space="preserve">Concrete opbrengsten (producten) van het onderzoek:</w:t>
      </w:r>
    </w:p>
    <w:p>
      <w:pPr>
        <w:pStyle w:val="ListParagraph"/>
        <w:numPr>
          <w:ilvl w:val="0"/>
          <w:numId w:val="2"/>
        </w:numPr>
        <w:spacing w:after="60"/>
      </w:pPr>
      <w:r>
        <w:t xml:space="preserve">een risicoanalyse (bow-tie en Fine &amp; Kinney) van batterijbranden in de inzamelketen;</w:t>
      </w:r>
    </w:p>
    <w:p>
      <w:pPr>
        <w:pStyle w:val="ListParagraph"/>
        <w:numPr>
          <w:ilvl w:val="0"/>
          <w:numId w:val="2"/>
        </w:numPr>
        <w:spacing w:after="60"/>
      </w:pPr>
      <w:r>
        <w:t xml:space="preserve">een geactualiseerd </w:t>
      </w:r>
      <w:r>
        <w:rPr>
          <w:b/>
          <w:bCs/>
        </w:rPr>
        <w:t xml:space="preserve">werkvoorschrift / noodprocedure “brand in de laadbak”</w:t>
      </w:r>
      <w:r>
        <w:t xml:space="preserve"> voor chauffeurs en beladers;</w:t>
      </w:r>
    </w:p>
    <w:p>
      <w:pPr>
        <w:pStyle w:val="ListParagraph"/>
        <w:numPr>
          <w:ilvl w:val="0"/>
          <w:numId w:val="2"/>
        </w:numPr>
        <w:spacing w:after="60"/>
      </w:pPr>
      <w:r>
        <w:t xml:space="preserve">een adviesrapport met geprioriteerde maatregelen, kosten-indicatie en implementatieplan.</w:t>
      </w:r>
    </w:p>
    <w:p>
      <w:pPr>
        <w:pStyle w:val="Heading1"/>
      </w:pPr>
      <w:r>
        <w:t xml:space="preserve">3. Onderzoeksvragen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CE6F1" w:color="auto" w:val="clear"/>
            <w:tcMar>
              <w:top w:type="dxa" w:w="120"/>
              <w:left w:type="dxa" w:w="180"/>
              <w:bottom w:type="dxa" w:w="120"/>
              <w:right w:type="dxa" w:w="180"/>
            </w:tcMar>
          </w:tcPr>
          <w:p>
            <w:pPr>
              <w:spacing w:after="80"/>
            </w:pPr>
            <w:r>
              <w:rPr>
                <w:b/>
                <w:bCs/>
                <w:color w:val="1F4E79"/>
              </w:rPr>
              <w:t xml:space="preserve">Hoofdvraag</w:t>
            </w:r>
          </w:p>
          <w:p>
            <w:pPr>
              <w:spacing w:after="60"/>
            </w:pPr>
            <w:r>
              <w:rPr>
                <w:b/>
                <w:bCs/>
              </w:rPr>
              <w:t xml:space="preserve">Welke beheersmaatregelen moet [[naam organisatie]] treffen om het risico op en de gevolgen van branden door lithium-ionbatterijen in de inzamel- en transportketen voor medewerkers aanvaardbaar te maken?</w:t>
            </w:r>
          </w:p>
        </w:tc>
      </w:tr>
    </w:tbl>
    <w:p>
      <w:pPr>
        <w:spacing w:after="120"/>
      </w:pPr>
    </w:p>
    <w:p>
      <w:pPr>
        <w:spacing w:after="120"/>
      </w:pPr>
      <w:r>
        <w:t xml:space="preserve">Deelvragen:</w:t>
      </w:r>
    </w:p>
    <w:p>
      <w:pPr>
        <w:pStyle w:val="ListParagraph"/>
        <w:numPr>
          <w:ilvl w:val="0"/>
          <w:numId w:val="3"/>
        </w:numPr>
        <w:spacing w:after="60"/>
      </w:pPr>
      <w:r>
        <w:t xml:space="preserve">Welke wet- en regelgeving, normen en branche-afspraken zijn van toepassing op het inzamelen, vervoeren en tijdelijk opslaan van (afval met) lithium-ionbatterijen?</w:t>
      </w:r>
    </w:p>
    <w:p>
      <w:pPr>
        <w:pStyle w:val="ListParagraph"/>
        <w:numPr>
          <w:ilvl w:val="0"/>
          <w:numId w:val="3"/>
        </w:numPr>
        <w:spacing w:after="60"/>
      </w:pPr>
      <w:r>
        <w:t xml:space="preserve">Hoe ontstaat een batterijbrand in een inzamelvoertuig of container, en welke gevaren levert dit op voor medewerkers?</w:t>
      </w:r>
    </w:p>
    <w:p>
      <w:pPr>
        <w:pStyle w:val="ListParagraph"/>
        <w:numPr>
          <w:ilvl w:val="0"/>
          <w:numId w:val="3"/>
        </w:numPr>
        <w:spacing w:after="60"/>
      </w:pPr>
      <w:r>
        <w:t xml:space="preserve">Hoe vaak, waar en onder welke omstandigheden hebben zich binnen </w:t>
      </w:r>
      <w:r>
        <w:rPr>
          <w:i/>
          <w:iCs/>
          <w:color w:val="9C5700"/>
          <w:shd w:fill="FFF2CC" w:color="auto" w:val="clear"/>
        </w:rPr>
        <w:t xml:space="preserve">[naam organisatie]</w:t>
      </w:r>
      <w:r>
        <w:t xml:space="preserve"> batterijbranden (of bijna-ongevallen) voorgedaan?</w:t>
      </w:r>
    </w:p>
    <w:p>
      <w:pPr>
        <w:pStyle w:val="ListParagraph"/>
        <w:numPr>
          <w:ilvl w:val="0"/>
          <w:numId w:val="3"/>
        </w:numPr>
        <w:spacing w:after="60"/>
      </w:pPr>
      <w:r>
        <w:t xml:space="preserve">Welke preventieve en repressieve maatregelen zijn nu aanwezig, en hoe worden deze in de praktijk toegepast door chauffeurs en beladers?</w:t>
      </w:r>
    </w:p>
    <w:p>
      <w:pPr>
        <w:pStyle w:val="ListParagraph"/>
        <w:numPr>
          <w:ilvl w:val="0"/>
          <w:numId w:val="3"/>
        </w:numPr>
        <w:spacing w:after="60"/>
      </w:pPr>
      <w:r>
        <w:t xml:space="preserve">Hoe groot is het risico per deelactiviteit (inzamelen, rijden, lossen, opslag) volgens een systematische risicobeoordeling?</w:t>
      </w:r>
    </w:p>
    <w:p>
      <w:pPr>
        <w:pStyle w:val="ListParagraph"/>
        <w:numPr>
          <w:ilvl w:val="0"/>
          <w:numId w:val="3"/>
        </w:numPr>
        <w:spacing w:after="60"/>
      </w:pPr>
      <w:r>
        <w:t xml:space="preserve">Welke maatregelen passen andere inzamelaars toe en welke daarvan zijn effectief en haalbaar voor </w:t>
      </w:r>
      <w:r>
        <w:rPr>
          <w:i/>
          <w:iCs/>
          <w:color w:val="9C5700"/>
          <w:shd w:fill="FFF2CC" w:color="auto" w:val="clear"/>
        </w:rPr>
        <w:t xml:space="preserve">[naam organisatie]</w:t>
      </w:r>
      <w:r>
        <w:t xml:space="preserve">?</w:t>
      </w:r>
    </w:p>
    <w:p>
      <w:pPr>
        <w:pStyle w:val="Heading1"/>
      </w:pPr>
      <w:r>
        <w:t xml:space="preserve">4. Afbakening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Mar>
              <w:top w:type="dxa" w:w="60"/>
              <w:left w:type="dxa" w:w="100"/>
              <w:bottom w:type="dxa" w:w="60"/>
              <w:right w:type="dxa" w:w="100"/>
            </w:tcMar>
          </w:tcPr>
          <w:p>
            <w:pPr>
              <w:spacing w:after="40"/>
            </w:pPr>
            <w:r>
              <w:rPr>
                <w:b/>
                <w:bCs/>
                <w:color w:val="FFFFFF"/>
              </w:rPr>
              <w:t xml:space="preserve">Binnen scope</w:t>
            </w:r>
          </w:p>
        </w:tc>
        <w:tc>
          <w:tcPr>
            <w:tcW w:type="dxa" w:w="6000"/>
            <w:shd w:fill="1F4E79" w:color="auto" w:val="clear"/>
            <w:tcMar>
              <w:top w:type="dxa" w:w="60"/>
              <w:left w:type="dxa" w:w="100"/>
              <w:bottom w:type="dxa" w:w="60"/>
              <w:right w:type="dxa" w:w="100"/>
            </w:tcMar>
          </w:tcPr>
          <w:p>
            <w:pPr>
              <w:spacing w:after="40"/>
            </w:pPr>
            <w:r>
              <w:rPr>
                <w:b/>
                <w:bCs/>
                <w:color w:val="FFFFFF"/>
              </w:rPr>
              <w:t xml:space="preserve">Toelichting</w:t>
            </w:r>
          </w:p>
        </w:tc>
      </w:tr>
      <w:tr>
        <w:trPr>
          <w:tblHeader w:val="false"/>
        </w:trPr>
        <w:tc>
          <w:tcPr>
            <w:tcW w:type="dxa" w:w="3000"/>
            <w:tcMar>
              <w:top w:type="dxa" w:w="60"/>
              <w:left w:type="dxa" w:w="100"/>
              <w:bottom w:type="dxa" w:w="60"/>
              <w:right w:type="dxa" w:w="100"/>
            </w:tcMar>
          </w:tcPr>
          <w:p>
            <w:pPr>
              <w:spacing w:after="40"/>
            </w:pPr>
            <w:r>
              <w:t xml:space="preserve">Inzamelvoertuigen</w:t>
            </w:r>
          </w:p>
        </w:tc>
        <w:tc>
          <w:tcPr>
            <w:tcW w:type="dxa" w:w="6000"/>
            <w:tcMar>
              <w:top w:type="dxa" w:w="60"/>
              <w:left w:type="dxa" w:w="100"/>
              <w:bottom w:type="dxa" w:w="60"/>
              <w:right w:type="dxa" w:w="100"/>
            </w:tcMar>
          </w:tcPr>
          <w:p>
            <w:pPr>
              <w:spacing w:after="40"/>
            </w:pPr>
            <w:r>
              <w:t xml:space="preserve">Achterladers, zijladers en kraanwagens (ondergrondse containers) van de inzameldienst.</w:t>
            </w:r>
          </w:p>
        </w:tc>
      </w:tr>
      <w:tr>
        <w:trPr>
          <w:tblHeader w:val="false"/>
        </w:trPr>
        <w:tc>
          <w:tcPr>
            <w:tcW w:type="dxa" w:w="3000"/>
            <w:shd w:fill="F5F8FC" w:color="auto" w:val="clear"/>
            <w:tcMar>
              <w:top w:type="dxa" w:w="60"/>
              <w:left w:type="dxa" w:w="100"/>
              <w:bottom w:type="dxa" w:w="60"/>
              <w:right w:type="dxa" w:w="100"/>
            </w:tcMar>
          </w:tcPr>
          <w:p>
            <w:pPr>
              <w:spacing w:after="40"/>
            </w:pPr>
            <w:r>
              <w:t xml:space="preserve">Transportdienst</w:t>
            </w:r>
          </w:p>
        </w:tc>
        <w:tc>
          <w:tcPr>
            <w:tcW w:type="dxa" w:w="6000"/>
            <w:shd w:fill="F5F8FC" w:color="auto" w:val="clear"/>
            <w:tcMar>
              <w:top w:type="dxa" w:w="60"/>
              <w:left w:type="dxa" w:w="100"/>
              <w:bottom w:type="dxa" w:w="60"/>
              <w:right w:type="dxa" w:w="100"/>
            </w:tcMar>
          </w:tcPr>
          <w:p>
            <w:pPr>
              <w:spacing w:after="40"/>
            </w:pPr>
            <w:r>
              <w:t xml:space="preserve">Transport van containers en afvalstromen naar overslag/verwerker, inclusief KCA-/batterijstromen </w:t>
            </w:r>
            <w:r>
              <w:rPr>
                <w:i/>
                <w:iCs/>
                <w:color w:val="9C5700"/>
                <w:shd w:fill="FFF2CC" w:color="auto" w:val="clear"/>
              </w:rPr>
              <w:t xml:space="preserve">[indien van toepassing]</w:t>
            </w:r>
            <w:r>
              <w:t xml:space="preserve">.</w:t>
            </w:r>
          </w:p>
        </w:tc>
      </w:tr>
      <w:tr>
        <w:trPr>
          <w:tblHeader w:val="false"/>
        </w:trPr>
        <w:tc>
          <w:tcPr>
            <w:tcW w:type="dxa" w:w="3000"/>
            <w:tcMar>
              <w:top w:type="dxa" w:w="60"/>
              <w:left w:type="dxa" w:w="100"/>
              <w:bottom w:type="dxa" w:w="60"/>
              <w:right w:type="dxa" w:w="100"/>
            </w:tcMar>
          </w:tcPr>
          <w:p>
            <w:pPr>
              <w:spacing w:after="40"/>
            </w:pPr>
            <w:r>
              <w:t xml:space="preserve">Tijdelijke opslag</w:t>
            </w:r>
          </w:p>
        </w:tc>
        <w:tc>
          <w:tcPr>
            <w:tcW w:type="dxa" w:w="6000"/>
            <w:tcMar>
              <w:top w:type="dxa" w:w="60"/>
              <w:left w:type="dxa" w:w="100"/>
              <w:bottom w:type="dxa" w:w="60"/>
              <w:right w:type="dxa" w:w="100"/>
            </w:tcMar>
          </w:tcPr>
          <w:p>
            <w:pPr>
              <w:spacing w:after="40"/>
            </w:pPr>
            <w:r>
              <w:t xml:space="preserve">Opslag op de eigen werf of milieustraat, voor zover medewerkers van de inzamel- en transportdienst daar werken.</w:t>
            </w:r>
          </w:p>
        </w:tc>
      </w:tr>
      <w:tr>
        <w:trPr>
          <w:tblHeader w:val="false"/>
        </w:trPr>
        <w:tc>
          <w:tcPr>
            <w:tcW w:type="dxa" w:w="3000"/>
            <w:shd w:fill="F5F8FC" w:color="auto" w:val="clear"/>
            <w:tcMar>
              <w:top w:type="dxa" w:w="60"/>
              <w:left w:type="dxa" w:w="100"/>
              <w:bottom w:type="dxa" w:w="60"/>
              <w:right w:type="dxa" w:w="100"/>
            </w:tcMar>
          </w:tcPr>
          <w:p>
            <w:pPr>
              <w:spacing w:after="40"/>
            </w:pPr>
            <w:r>
              <w:t xml:space="preserve">Doelgroep</w:t>
            </w:r>
          </w:p>
        </w:tc>
        <w:tc>
          <w:tcPr>
            <w:tcW w:type="dxa" w:w="6000"/>
            <w:shd w:fill="F5F8FC" w:color="auto" w:val="clear"/>
            <w:tcMar>
              <w:top w:type="dxa" w:w="60"/>
              <w:left w:type="dxa" w:w="100"/>
              <w:bottom w:type="dxa" w:w="60"/>
              <w:right w:type="dxa" w:w="100"/>
            </w:tcMar>
          </w:tcPr>
          <w:p>
            <w:pPr>
              <w:spacing w:after="40"/>
            </w:pPr>
            <w:r>
              <w:t xml:space="preserve">Chauffeurs, beladers, leidinggevenden van de inzamel- en transportdienst.</w:t>
            </w:r>
          </w:p>
        </w:tc>
      </w:tr>
    </w:tbl>
    <w:p>
      <w:pPr>
        <w:spacing w:after="120"/>
      </w:pPr>
    </w:p>
    <w:p>
      <w:pPr>
        <w:spacing w:after="120"/>
      </w:pPr>
      <w:r>
        <w:rPr>
          <w:b/>
          <w:bCs/>
        </w:rPr>
        <w:t xml:space="preserve">Buiten scope</w:t>
      </w:r>
      <w:r>
        <w:t xml:space="preserve">: de verwerkingsinstallaties van derden, brandveiligheid van het gebouw als geheel (bouwkundig), laadinfrastructuur voor elektrische voertuigen van de organisatie zelf, en publiekscampagnes (deze worden alleen als maatregel benoemd, niet uitgewerkt). </w:t>
      </w:r>
      <w:r>
        <w:rPr>
          <w:i/>
          <w:iCs/>
          <w:color w:val="9C5700"/>
          <w:shd w:fill="FFF2CC" w:color="auto" w:val="clear"/>
        </w:rPr>
        <w:t xml:space="preserve">[Pas aan: wil je elektrische inzamelvoertuigen juist wél meenemen?]</w:t>
      </w:r>
    </w:p>
    <w:p>
      <w:pPr>
        <w:pStyle w:val="Heading1"/>
      </w:pPr>
      <w:r>
        <w:t xml:space="preserve">5. Theoretisch en wettelijk kader</w:t>
      </w:r>
    </w:p>
    <w:p>
      <w:pPr>
        <w:spacing w:after="120"/>
      </w:pPr>
      <w:r>
        <w:t xml:space="preserve">In de scriptie worden onderstaande kaders uitgewerkt. Per kader is aangegeven waarvoor het in het onderzoek wordt gebruikt.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9" w:color="auto" w:val="clear"/>
            <w:tcMar>
              <w:top w:type="dxa" w:w="60"/>
              <w:left w:type="dxa" w:w="100"/>
              <w:bottom w:type="dxa" w:w="60"/>
              <w:right w:type="dxa" w:w="100"/>
            </w:tcMar>
          </w:tcPr>
          <w:p>
            <w:pPr>
              <w:spacing w:after="40"/>
            </w:pPr>
            <w:r>
              <w:rPr>
                <w:b/>
                <w:bCs/>
                <w:color w:val="FFFFFF"/>
              </w:rPr>
              <w:t xml:space="preserve">Kader</w:t>
            </w:r>
          </w:p>
        </w:tc>
        <w:tc>
          <w:tcPr>
            <w:tcW w:type="dxa" w:w="6200"/>
            <w:shd w:fill="1F4E79" w:color="auto" w:val="clear"/>
            <w:tcMar>
              <w:top w:type="dxa" w:w="60"/>
              <w:left w:type="dxa" w:w="100"/>
              <w:bottom w:type="dxa" w:w="60"/>
              <w:right w:type="dxa" w:w="100"/>
            </w:tcMar>
          </w:tcPr>
          <w:p>
            <w:pPr>
              <w:spacing w:after="40"/>
            </w:pPr>
            <w:r>
              <w:rPr>
                <w:b/>
                <w:bCs/>
                <w:color w:val="FFFFFF"/>
              </w:rPr>
              <w:t xml:space="preserve">Relevantie voor dit onderzoek</w:t>
            </w:r>
          </w:p>
        </w:tc>
      </w:tr>
      <w:tr>
        <w:trPr>
          <w:tblHeader w:val="false"/>
        </w:trPr>
        <w:tc>
          <w:tcPr>
            <w:tcW w:type="dxa" w:w="2800"/>
            <w:tcMar>
              <w:top w:type="dxa" w:w="60"/>
              <w:left w:type="dxa" w:w="100"/>
              <w:bottom w:type="dxa" w:w="60"/>
              <w:right w:type="dxa" w:w="100"/>
            </w:tcMar>
          </w:tcPr>
          <w:p>
            <w:pPr>
              <w:spacing w:after="40"/>
            </w:pPr>
            <w:r>
              <w:t xml:space="preserve">Arbowet art. 3, 5 en 8</w:t>
            </w:r>
          </w:p>
        </w:tc>
        <w:tc>
          <w:tcPr>
            <w:tcW w:type="dxa" w:w="6200"/>
            <w:tcMar>
              <w:top w:type="dxa" w:w="60"/>
              <w:left w:type="dxa" w:w="100"/>
              <w:bottom w:type="dxa" w:w="60"/>
              <w:right w:type="dxa" w:w="100"/>
            </w:tcMar>
          </w:tcPr>
          <w:p>
            <w:pPr>
              <w:spacing w:after="40"/>
            </w:pPr>
            <w:r>
              <w:t xml:space="preserve">Zorgplicht werkgever; RI&amp;E en plan van aanpak; voorlichting en onderricht aan werknemers.</w:t>
            </w:r>
          </w:p>
        </w:tc>
      </w:tr>
      <w:tr>
        <w:trPr>
          <w:tblHeader w:val="false"/>
        </w:trPr>
        <w:tc>
          <w:tcPr>
            <w:tcW w:type="dxa" w:w="2800"/>
            <w:shd w:fill="F5F8FC" w:color="auto" w:val="clear"/>
            <w:tcMar>
              <w:top w:type="dxa" w:w="60"/>
              <w:left w:type="dxa" w:w="100"/>
              <w:bottom w:type="dxa" w:w="60"/>
              <w:right w:type="dxa" w:w="100"/>
            </w:tcMar>
          </w:tcPr>
          <w:p>
            <w:pPr>
              <w:spacing w:after="40"/>
            </w:pPr>
            <w:r>
              <w:t xml:space="preserve">Arbowet art. 15 / Arbobesluit hfst. 2 en 3</w:t>
            </w:r>
          </w:p>
        </w:tc>
        <w:tc>
          <w:tcPr>
            <w:tcW w:type="dxa" w:w="6200"/>
            <w:shd w:fill="F5F8FC" w:color="auto" w:val="clear"/>
            <w:tcMar>
              <w:top w:type="dxa" w:w="60"/>
              <w:left w:type="dxa" w:w="100"/>
              <w:bottom w:type="dxa" w:w="60"/>
              <w:right w:type="dxa" w:w="100"/>
            </w:tcMar>
          </w:tcPr>
          <w:p>
            <w:pPr>
              <w:spacing w:after="40"/>
            </w:pPr>
            <w:r>
              <w:t xml:space="preserve">Bedrijfshulpverlening, noodprocedures en brandbestrijdingsmiddelen.</w:t>
            </w:r>
          </w:p>
        </w:tc>
      </w:tr>
      <w:tr>
        <w:trPr>
          <w:tblHeader w:val="false"/>
        </w:trPr>
        <w:tc>
          <w:tcPr>
            <w:tcW w:type="dxa" w:w="2800"/>
            <w:tcMar>
              <w:top w:type="dxa" w:w="60"/>
              <w:left w:type="dxa" w:w="100"/>
              <w:bottom w:type="dxa" w:w="60"/>
              <w:right w:type="dxa" w:w="100"/>
            </w:tcMar>
          </w:tcPr>
          <w:p>
            <w:pPr>
              <w:spacing w:after="40"/>
            </w:pPr>
            <w:r>
              <w:t xml:space="preserve">Arbeidshygiënische strategie (Arbowet art. 3 lid 1b)</w:t>
            </w:r>
          </w:p>
        </w:tc>
        <w:tc>
          <w:tcPr>
            <w:tcW w:type="dxa" w:w="6200"/>
            <w:tcMar>
              <w:top w:type="dxa" w:w="60"/>
              <w:left w:type="dxa" w:w="100"/>
              <w:bottom w:type="dxa" w:w="60"/>
              <w:right w:type="dxa" w:w="100"/>
            </w:tcMar>
          </w:tcPr>
          <w:p>
            <w:pPr>
              <w:spacing w:after="40"/>
            </w:pPr>
            <w:r>
              <w:t xml:space="preserve">Rangorde van maatregelen: bron → collectief → individueel → PBM.</w:t>
            </w:r>
          </w:p>
        </w:tc>
      </w:tr>
      <w:tr>
        <w:trPr>
          <w:tblHeader w:val="false"/>
        </w:trPr>
        <w:tc>
          <w:tcPr>
            <w:tcW w:type="dxa" w:w="2800"/>
            <w:shd w:fill="F5F8FC" w:color="auto" w:val="clear"/>
            <w:tcMar>
              <w:top w:type="dxa" w:w="60"/>
              <w:left w:type="dxa" w:w="100"/>
              <w:bottom w:type="dxa" w:w="60"/>
              <w:right w:type="dxa" w:w="100"/>
            </w:tcMar>
          </w:tcPr>
          <w:p>
            <w:pPr>
              <w:spacing w:after="40"/>
            </w:pPr>
            <w:r>
              <w:t xml:space="preserve">PGS 37-2 (2023)</w:t>
            </w:r>
          </w:p>
        </w:tc>
        <w:tc>
          <w:tcPr>
            <w:tcW w:type="dxa" w:w="6200"/>
            <w:shd w:fill="F5F8FC" w:color="auto" w:val="clear"/>
            <w:tcMar>
              <w:top w:type="dxa" w:w="60"/>
              <w:left w:type="dxa" w:w="100"/>
              <w:bottom w:type="dxa" w:w="60"/>
              <w:right w:type="dxa" w:w="100"/>
            </w:tcMar>
          </w:tcPr>
          <w:p>
            <w:pPr>
              <w:spacing w:after="40"/>
            </w:pPr>
            <w:r>
              <w:t xml:space="preserve">Richtlijn voor opslag van lithiumhoudende energiedragers, o.a. relevant bij opslag van (beschadigde) batterijen op werf/milieustraat. </w:t>
            </w:r>
            <w:r>
              <w:rPr>
                <w:i/>
                <w:iCs/>
                <w:color w:val="9C5700"/>
                <w:shd w:fill="FFF2CC" w:color="auto" w:val="clear"/>
              </w:rPr>
              <w:t xml:space="preserve">[Controleer drempelwaarden en actuele wettelijke status]</w:t>
            </w:r>
            <w:r>
              <w:t xml:space="preserve">.</w:t>
            </w:r>
          </w:p>
        </w:tc>
      </w:tr>
      <w:tr>
        <w:trPr>
          <w:tblHeader w:val="false"/>
        </w:trPr>
        <w:tc>
          <w:tcPr>
            <w:tcW w:type="dxa" w:w="2800"/>
            <w:tcMar>
              <w:top w:type="dxa" w:w="60"/>
              <w:left w:type="dxa" w:w="100"/>
              <w:bottom w:type="dxa" w:w="60"/>
              <w:right w:type="dxa" w:w="100"/>
            </w:tcMar>
          </w:tcPr>
          <w:p>
            <w:pPr>
              <w:spacing w:after="40"/>
            </w:pPr>
            <w:r>
              <w:t xml:space="preserve">ADR (vervoer gevaarlijke stoffen over de weg)</w:t>
            </w:r>
          </w:p>
        </w:tc>
        <w:tc>
          <w:tcPr>
            <w:tcW w:type="dxa" w:w="6200"/>
            <w:tcMar>
              <w:top w:type="dxa" w:w="60"/>
              <w:left w:type="dxa" w:w="100"/>
              <w:bottom w:type="dxa" w:w="60"/>
              <w:right w:type="dxa" w:w="100"/>
            </w:tcMar>
          </w:tcPr>
          <w:p>
            <w:pPr>
              <w:spacing w:after="40"/>
            </w:pPr>
            <w:r>
              <w:t xml:space="preserve">Regels voor vervoer van ingezamelde batterijen (o.a. UN 3480/3090 en bijzondere bepalingen voor inzameling). </w:t>
            </w:r>
            <w:r>
              <w:rPr>
                <w:i/>
                <w:iCs/>
                <w:color w:val="9C5700"/>
                <w:shd w:fill="FFF2CC" w:color="auto" w:val="clear"/>
              </w:rPr>
              <w:t xml:space="preserve">[Raadpleeg de veiligheidsadviseur gevaarlijke stoffen]</w:t>
            </w:r>
            <w:r>
              <w:t xml:space="preserve">.</w:t>
            </w:r>
          </w:p>
        </w:tc>
      </w:tr>
      <w:tr>
        <w:trPr>
          <w:tblHeader w:val="false"/>
        </w:trPr>
        <w:tc>
          <w:tcPr>
            <w:tcW w:type="dxa" w:w="2800"/>
            <w:shd w:fill="F5F8FC" w:color="auto" w:val="clear"/>
            <w:tcMar>
              <w:top w:type="dxa" w:w="60"/>
              <w:left w:type="dxa" w:w="100"/>
              <w:bottom w:type="dxa" w:w="60"/>
              <w:right w:type="dxa" w:w="100"/>
            </w:tcMar>
          </w:tcPr>
          <w:p>
            <w:pPr>
              <w:spacing w:after="40"/>
            </w:pPr>
            <w:r>
              <w:t xml:space="preserve">Arbocatalogus afvalbranche</w:t>
            </w:r>
          </w:p>
        </w:tc>
        <w:tc>
          <w:tcPr>
            <w:tcW w:type="dxa" w:w="6200"/>
            <w:shd w:fill="F5F8FC" w:color="auto" w:val="clear"/>
            <w:tcMar>
              <w:top w:type="dxa" w:w="60"/>
              <w:left w:type="dxa" w:w="100"/>
              <w:bottom w:type="dxa" w:w="60"/>
              <w:right w:type="dxa" w:w="100"/>
            </w:tcMar>
          </w:tcPr>
          <w:p>
            <w:pPr>
              <w:spacing w:after="40"/>
            </w:pPr>
            <w:r>
              <w:t xml:space="preserve">Door werkgevers en werknemers afgesproken oplossingen voor de branche. </w:t>
            </w:r>
            <w:r>
              <w:rPr>
                <w:i/>
                <w:iCs/>
                <w:color w:val="9C5700"/>
                <w:shd w:fill="FFF2CC" w:color="auto" w:val="clear"/>
              </w:rPr>
              <w:t xml:space="preserve">[Zoek het relevante onderdeel op]</w:t>
            </w:r>
            <w:r>
              <w:t xml:space="preserve">.</w:t>
            </w:r>
          </w:p>
        </w:tc>
      </w:tr>
      <w:tr>
        <w:trPr>
          <w:tblHeader w:val="false"/>
        </w:trPr>
        <w:tc>
          <w:tcPr>
            <w:tcW w:type="dxa" w:w="2800"/>
            <w:tcMar>
              <w:top w:type="dxa" w:w="60"/>
              <w:left w:type="dxa" w:w="100"/>
              <w:bottom w:type="dxa" w:w="60"/>
              <w:right w:type="dxa" w:w="100"/>
            </w:tcMar>
          </w:tcPr>
          <w:p>
            <w:pPr>
              <w:spacing w:after="40"/>
            </w:pPr>
            <w:r>
              <w:t xml:space="preserve">Taskforce Batterijbranden / Stichting OPEN</w:t>
            </w:r>
          </w:p>
        </w:tc>
        <w:tc>
          <w:tcPr>
            <w:tcW w:type="dxa" w:w="6200"/>
            <w:tcMar>
              <w:top w:type="dxa" w:w="60"/>
              <w:left w:type="dxa" w:w="100"/>
              <w:bottom w:type="dxa" w:w="60"/>
              <w:right w:type="dxa" w:w="100"/>
            </w:tcMar>
          </w:tcPr>
          <w:p>
            <w:pPr>
              <w:spacing w:after="40"/>
            </w:pPr>
            <w:r>
              <w:t xml:space="preserve">Branchecijfers, handreikingen en best practices.</w:t>
            </w:r>
          </w:p>
        </w:tc>
      </w:tr>
      <w:tr>
        <w:trPr>
          <w:tblHeader w:val="false"/>
        </w:trPr>
        <w:tc>
          <w:tcPr>
            <w:tcW w:type="dxa" w:w="2800"/>
            <w:shd w:fill="F5F8FC" w:color="auto" w:val="clear"/>
            <w:tcMar>
              <w:top w:type="dxa" w:w="60"/>
              <w:left w:type="dxa" w:w="100"/>
              <w:bottom w:type="dxa" w:w="60"/>
              <w:right w:type="dxa" w:w="100"/>
            </w:tcMar>
          </w:tcPr>
          <w:p>
            <w:pPr>
              <w:spacing w:after="40"/>
            </w:pPr>
            <w:r>
              <w:t xml:space="preserve">Bow-tie-methode</w:t>
            </w:r>
          </w:p>
        </w:tc>
        <w:tc>
          <w:tcPr>
            <w:tcW w:type="dxa" w:w="6200"/>
            <w:shd w:fill="F5F8FC" w:color="auto" w:val="clear"/>
            <w:tcMar>
              <w:top w:type="dxa" w:w="60"/>
              <w:left w:type="dxa" w:w="100"/>
              <w:bottom w:type="dxa" w:w="60"/>
              <w:right w:type="dxa" w:w="100"/>
            </w:tcMar>
          </w:tcPr>
          <w:p>
            <w:pPr>
              <w:spacing w:after="40"/>
            </w:pPr>
            <w:r>
              <w:t xml:space="preserve">Visualiseren van oorzaken, gevolgen en barrières rond één topgebeurtenis.</w:t>
            </w:r>
          </w:p>
        </w:tc>
      </w:tr>
      <w:tr>
        <w:trPr>
          <w:tblHeader w:val="false"/>
        </w:trPr>
        <w:tc>
          <w:tcPr>
            <w:tcW w:type="dxa" w:w="2800"/>
            <w:tcMar>
              <w:top w:type="dxa" w:w="60"/>
              <w:left w:type="dxa" w:w="100"/>
              <w:bottom w:type="dxa" w:w="60"/>
              <w:right w:type="dxa" w:w="100"/>
            </w:tcMar>
          </w:tcPr>
          <w:p>
            <w:pPr>
              <w:spacing w:after="40"/>
            </w:pPr>
            <w:r>
              <w:t xml:space="preserve">Fine &amp; Kinney</w:t>
            </w:r>
          </w:p>
        </w:tc>
        <w:tc>
          <w:tcPr>
            <w:tcW w:type="dxa" w:w="6200"/>
            <w:tcMar>
              <w:top w:type="dxa" w:w="60"/>
              <w:left w:type="dxa" w:w="100"/>
              <w:bottom w:type="dxa" w:w="60"/>
              <w:right w:type="dxa" w:w="100"/>
            </w:tcMar>
          </w:tcPr>
          <w:p>
            <w:pPr>
              <w:spacing w:after="40"/>
            </w:pPr>
            <w:r>
              <w:t xml:space="preserve">Kwantificeren van risico’s: R = W × B × E (waarschijnlijkheid × blootstelling × effect).</w:t>
            </w:r>
          </w:p>
        </w:tc>
      </w:tr>
      <w:tr>
        <w:trPr>
          <w:tblHeader w:val="false"/>
        </w:trPr>
        <w:tc>
          <w:tcPr>
            <w:tcW w:type="dxa" w:w="2800"/>
            <w:shd w:fill="F5F8FC" w:color="auto" w:val="clear"/>
            <w:tcMar>
              <w:top w:type="dxa" w:w="60"/>
              <w:left w:type="dxa" w:w="100"/>
              <w:bottom w:type="dxa" w:w="60"/>
              <w:right w:type="dxa" w:w="100"/>
            </w:tcMar>
          </w:tcPr>
          <w:p>
            <w:pPr>
              <w:spacing w:after="40"/>
            </w:pPr>
            <w:r>
              <w:t xml:space="preserve">Tripod / ongevalsanalyse</w:t>
            </w:r>
          </w:p>
        </w:tc>
        <w:tc>
          <w:tcPr>
            <w:tcW w:type="dxa" w:w="6200"/>
            <w:shd w:fill="F5F8FC" w:color="auto" w:val="clear"/>
            <w:tcMar>
              <w:top w:type="dxa" w:w="60"/>
              <w:left w:type="dxa" w:w="100"/>
              <w:bottom w:type="dxa" w:w="60"/>
              <w:right w:type="dxa" w:w="100"/>
            </w:tcMar>
          </w:tcPr>
          <w:p>
            <w:pPr>
              <w:spacing w:after="40"/>
            </w:pPr>
            <w:r>
              <w:t xml:space="preserve">Achterliggende oorzaken van eerdere incidenten achterhalen.</w:t>
            </w:r>
          </w:p>
        </w:tc>
      </w:tr>
    </w:tbl>
    <w:p>
      <w:pPr>
        <w:pStyle w:val="Heading1"/>
      </w:pPr>
      <w:r>
        <w:t xml:space="preserve">6. Onderzoeksaanpak</w:t>
      </w:r>
    </w:p>
    <w:p>
      <w:pPr>
        <w:spacing w:after="120"/>
      </w:pPr>
      <w:r>
        <w:t xml:space="preserve">Het onderzoek is een </w:t>
      </w:r>
      <w:r>
        <w:rPr>
          <w:b/>
          <w:bCs/>
        </w:rPr>
        <w:t xml:space="preserve">praktijkgericht onderzoek</w:t>
      </w:r>
      <w:r>
        <w:t xml:space="preserve"> met een combinatie van deskresearch, dataverzameling binnen de organisatie en risicobeoordeling.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00"/>
      </w:tblGrid>
      <w:tr>
        <w:trPr>
          <w:tblHeader/>
        </w:trPr>
        <w:tc>
          <w:tcPr>
            <w:tcW w:type="dxa" w:w="900"/>
            <w:shd w:fill="1F4E79" w:color="auto" w:val="clear"/>
            <w:tcMar>
              <w:top w:type="dxa" w:w="60"/>
              <w:left w:type="dxa" w:w="100"/>
              <w:bottom w:type="dxa" w:w="60"/>
              <w:right w:type="dxa" w:w="100"/>
            </w:tcMar>
          </w:tcPr>
          <w:p>
            <w:pPr>
              <w:spacing w:after="40"/>
            </w:pPr>
            <w:r>
              <w:rPr>
                <w:b/>
                <w:bCs/>
                <w:color w:val="FFFFFF"/>
              </w:rPr>
              <w:t xml:space="preserve">DV</w:t>
            </w:r>
          </w:p>
        </w:tc>
        <w:tc>
          <w:tcPr>
            <w:tcW w:type="dxa" w:w="3700"/>
            <w:shd w:fill="1F4E79" w:color="auto" w:val="clear"/>
            <w:tcMar>
              <w:top w:type="dxa" w:w="60"/>
              <w:left w:type="dxa" w:w="100"/>
              <w:bottom w:type="dxa" w:w="60"/>
              <w:right w:type="dxa" w:w="100"/>
            </w:tcMar>
          </w:tcPr>
          <w:p>
            <w:pPr>
              <w:spacing w:after="40"/>
            </w:pPr>
            <w:r>
              <w:rPr>
                <w:b/>
                <w:bCs/>
                <w:color w:val="FFFFFF"/>
              </w:rPr>
              <w:t xml:space="preserve">Methode</w:t>
            </w:r>
          </w:p>
        </w:tc>
        <w:tc>
          <w:tcPr>
            <w:tcW w:type="dxa" w:w="4400"/>
            <w:shd w:fill="1F4E79" w:color="auto" w:val="clear"/>
            <w:tcMar>
              <w:top w:type="dxa" w:w="60"/>
              <w:left w:type="dxa" w:w="100"/>
              <w:bottom w:type="dxa" w:w="60"/>
              <w:right w:type="dxa" w:w="100"/>
            </w:tcMar>
          </w:tcPr>
          <w:p>
            <w:pPr>
              <w:spacing w:after="40"/>
            </w:pPr>
            <w:r>
              <w:rPr>
                <w:b/>
                <w:bCs/>
                <w:color w:val="FFFFFF"/>
              </w:rPr>
              <w:t xml:space="preserve">Bron / wie</w:t>
            </w:r>
          </w:p>
        </w:tc>
      </w:tr>
      <w:tr>
        <w:trPr>
          <w:tblHeader w:val="false"/>
        </w:trPr>
        <w:tc>
          <w:tcPr>
            <w:tcW w:type="dxa" w:w="900"/>
            <w:tcMar>
              <w:top w:type="dxa" w:w="60"/>
              <w:left w:type="dxa" w:w="100"/>
              <w:bottom w:type="dxa" w:w="60"/>
              <w:right w:type="dxa" w:w="100"/>
            </w:tcMar>
          </w:tcPr>
          <w:p>
            <w:pPr>
              <w:spacing w:after="40"/>
            </w:pPr>
            <w:r>
              <w:t xml:space="preserve">1</w:t>
            </w:r>
          </w:p>
        </w:tc>
        <w:tc>
          <w:tcPr>
            <w:tcW w:type="dxa" w:w="3700"/>
            <w:tcMar>
              <w:top w:type="dxa" w:w="60"/>
              <w:left w:type="dxa" w:w="100"/>
              <w:bottom w:type="dxa" w:w="60"/>
              <w:right w:type="dxa" w:w="100"/>
            </w:tcMar>
          </w:tcPr>
          <w:p>
            <w:pPr>
              <w:spacing w:after="40"/>
            </w:pPr>
            <w:r>
              <w:t xml:space="preserve">Deskresearch wet- en regelgeving</w:t>
            </w:r>
          </w:p>
        </w:tc>
        <w:tc>
          <w:tcPr>
            <w:tcW w:type="dxa" w:w="4400"/>
            <w:tcMar>
              <w:top w:type="dxa" w:w="60"/>
              <w:left w:type="dxa" w:w="100"/>
              <w:bottom w:type="dxa" w:w="60"/>
              <w:right w:type="dxa" w:w="100"/>
            </w:tcMar>
          </w:tcPr>
          <w:p>
            <w:pPr>
              <w:spacing w:after="40"/>
            </w:pPr>
            <w:r>
              <w:t xml:space="preserve">Arbowet, PGS 37-2, ADR, Arbocatalogus, NVRD, Stichting OPEN</w:t>
            </w:r>
          </w:p>
        </w:tc>
      </w:tr>
      <w:tr>
        <w:trPr>
          <w:tblHeader w:val="false"/>
        </w:trPr>
        <w:tc>
          <w:tcPr>
            <w:tcW w:type="dxa" w:w="900"/>
            <w:shd w:fill="F5F8FC" w:color="auto" w:val="clear"/>
            <w:tcMar>
              <w:top w:type="dxa" w:w="60"/>
              <w:left w:type="dxa" w:w="100"/>
              <w:bottom w:type="dxa" w:w="60"/>
              <w:right w:type="dxa" w:w="100"/>
            </w:tcMar>
          </w:tcPr>
          <w:p>
            <w:pPr>
              <w:spacing w:after="40"/>
            </w:pPr>
            <w:r>
              <w:t xml:space="preserve">2</w:t>
            </w:r>
          </w:p>
        </w:tc>
        <w:tc>
          <w:tcPr>
            <w:tcW w:type="dxa" w:w="3700"/>
            <w:shd w:fill="F5F8FC" w:color="auto" w:val="clear"/>
            <w:tcMar>
              <w:top w:type="dxa" w:w="60"/>
              <w:left w:type="dxa" w:w="100"/>
              <w:bottom w:type="dxa" w:w="60"/>
              <w:right w:type="dxa" w:w="100"/>
            </w:tcMar>
          </w:tcPr>
          <w:p>
            <w:pPr>
              <w:spacing w:after="40"/>
            </w:pPr>
            <w:r>
              <w:t xml:space="preserve">Literatuuronderzoek naar thermal runaway en gevaren (brand, HF-gassen, explosie)</w:t>
            </w:r>
          </w:p>
        </w:tc>
        <w:tc>
          <w:tcPr>
            <w:tcW w:type="dxa" w:w="4400"/>
            <w:shd w:fill="F5F8FC" w:color="auto" w:val="clear"/>
            <w:tcMar>
              <w:top w:type="dxa" w:w="60"/>
              <w:left w:type="dxa" w:w="100"/>
              <w:bottom w:type="dxa" w:w="60"/>
              <w:right w:type="dxa" w:w="100"/>
            </w:tcMar>
          </w:tcPr>
          <w:p>
            <w:pPr>
              <w:spacing w:after="40"/>
            </w:pPr>
            <w:r>
              <w:t xml:space="preserve">Vakliteratuur, NIPV/brandweer, fabrikantinformatie</w:t>
            </w:r>
          </w:p>
        </w:tc>
      </w:tr>
      <w:tr>
        <w:trPr>
          <w:tblHeader w:val="false"/>
        </w:trPr>
        <w:tc>
          <w:tcPr>
            <w:tcW w:type="dxa" w:w="900"/>
            <w:tcMar>
              <w:top w:type="dxa" w:w="60"/>
              <w:left w:type="dxa" w:w="100"/>
              <w:bottom w:type="dxa" w:w="60"/>
              <w:right w:type="dxa" w:w="100"/>
            </w:tcMar>
          </w:tcPr>
          <w:p>
            <w:pPr>
              <w:spacing w:after="40"/>
            </w:pPr>
            <w:r>
              <w:t xml:space="preserve">3</w:t>
            </w:r>
          </w:p>
        </w:tc>
        <w:tc>
          <w:tcPr>
            <w:tcW w:type="dxa" w:w="3700"/>
            <w:tcMar>
              <w:top w:type="dxa" w:w="60"/>
              <w:left w:type="dxa" w:w="100"/>
              <w:bottom w:type="dxa" w:w="60"/>
              <w:right w:type="dxa" w:w="100"/>
            </w:tcMar>
          </w:tcPr>
          <w:p>
            <w:pPr>
              <w:spacing w:after="40"/>
            </w:pPr>
            <w:r>
              <w:t xml:space="preserve">Incidentanalyse (bijv. 3 jaar terug), 1–2 incidenten verdiept met Tripod</w:t>
            </w:r>
          </w:p>
        </w:tc>
        <w:tc>
          <w:tcPr>
            <w:tcW w:type="dxa" w:w="4400"/>
            <w:tcMar>
              <w:top w:type="dxa" w:w="60"/>
              <w:left w:type="dxa" w:w="100"/>
              <w:bottom w:type="dxa" w:w="60"/>
              <w:right w:type="dxa" w:w="100"/>
            </w:tcMar>
          </w:tcPr>
          <w:p>
            <w:pPr>
              <w:spacing w:after="40"/>
            </w:pPr>
            <w:r>
              <w:t xml:space="preserve">Meldingssysteem, schadeformulieren, verzekeraar, interviews met betrokken chauffeurs</w:t>
            </w:r>
          </w:p>
        </w:tc>
      </w:tr>
      <w:tr>
        <w:trPr>
          <w:tblHeader w:val="false"/>
        </w:trPr>
        <w:tc>
          <w:tcPr>
            <w:tcW w:type="dxa" w:w="900"/>
            <w:shd w:fill="F5F8FC" w:color="auto" w:val="clear"/>
            <w:tcMar>
              <w:top w:type="dxa" w:w="60"/>
              <w:left w:type="dxa" w:w="100"/>
              <w:bottom w:type="dxa" w:w="60"/>
              <w:right w:type="dxa" w:w="100"/>
            </w:tcMar>
          </w:tcPr>
          <w:p>
            <w:pPr>
              <w:spacing w:after="40"/>
            </w:pPr>
            <w:r>
              <w:t xml:space="preserve">4</w:t>
            </w:r>
          </w:p>
        </w:tc>
        <w:tc>
          <w:tcPr>
            <w:tcW w:type="dxa" w:w="3700"/>
            <w:shd w:fill="F5F8FC" w:color="auto" w:val="clear"/>
            <w:tcMar>
              <w:top w:type="dxa" w:w="60"/>
              <w:left w:type="dxa" w:w="100"/>
              <w:bottom w:type="dxa" w:w="60"/>
              <w:right w:type="dxa" w:w="100"/>
            </w:tcMar>
          </w:tcPr>
          <w:p>
            <w:pPr>
              <w:spacing w:after="40"/>
            </w:pPr>
            <w:r>
              <w:t xml:space="preserve">Observaties op de route (meerijden) + semigestructureerde interviews (6–10)</w:t>
            </w:r>
          </w:p>
        </w:tc>
        <w:tc>
          <w:tcPr>
            <w:tcW w:type="dxa" w:w="4400"/>
            <w:shd w:fill="F5F8FC" w:color="auto" w:val="clear"/>
            <w:tcMar>
              <w:top w:type="dxa" w:w="60"/>
              <w:left w:type="dxa" w:w="100"/>
              <w:bottom w:type="dxa" w:w="60"/>
              <w:right w:type="dxa" w:w="100"/>
            </w:tcMar>
          </w:tcPr>
          <w:p>
            <w:pPr>
              <w:spacing w:after="40"/>
            </w:pPr>
            <w:r>
              <w:t xml:space="preserve">Chauffeurs, beladers, teamleiders, BHV-coördinator</w:t>
            </w:r>
          </w:p>
        </w:tc>
      </w:tr>
      <w:tr>
        <w:trPr>
          <w:tblHeader w:val="false"/>
        </w:trPr>
        <w:tc>
          <w:tcPr>
            <w:tcW w:type="dxa" w:w="900"/>
            <w:tcMar>
              <w:top w:type="dxa" w:w="60"/>
              <w:left w:type="dxa" w:w="100"/>
              <w:bottom w:type="dxa" w:w="60"/>
              <w:right w:type="dxa" w:w="100"/>
            </w:tcMar>
          </w:tcPr>
          <w:p>
            <w:pPr>
              <w:spacing w:after="40"/>
            </w:pPr>
            <w:r>
              <w:t xml:space="preserve">5</w:t>
            </w:r>
          </w:p>
        </w:tc>
        <w:tc>
          <w:tcPr>
            <w:tcW w:type="dxa" w:w="3700"/>
            <w:tcMar>
              <w:top w:type="dxa" w:w="60"/>
              <w:left w:type="dxa" w:w="100"/>
              <w:bottom w:type="dxa" w:w="60"/>
              <w:right w:type="dxa" w:w="100"/>
            </w:tcMar>
          </w:tcPr>
          <w:p>
            <w:pPr>
              <w:spacing w:after="40"/>
            </w:pPr>
            <w:r>
              <w:t xml:space="preserve">Bow-tie-analyse + Fine &amp; Kinney per deelactiviteit; toetsing in een werksessie</w:t>
            </w:r>
          </w:p>
        </w:tc>
        <w:tc>
          <w:tcPr>
            <w:tcW w:type="dxa" w:w="4400"/>
            <w:tcMar>
              <w:top w:type="dxa" w:w="60"/>
              <w:left w:type="dxa" w:w="100"/>
              <w:bottom w:type="dxa" w:w="60"/>
              <w:right w:type="dxa" w:w="100"/>
            </w:tcMar>
          </w:tcPr>
          <w:p>
            <w:pPr>
              <w:spacing w:after="40"/>
            </w:pPr>
            <w:r>
              <w:t xml:space="preserve">Werksessie met chauffeurs, teamleider, preventiemedewerker</w:t>
            </w:r>
          </w:p>
        </w:tc>
      </w:tr>
      <w:tr>
        <w:trPr>
          <w:tblHeader w:val="false"/>
        </w:trPr>
        <w:tc>
          <w:tcPr>
            <w:tcW w:type="dxa" w:w="900"/>
            <w:shd w:fill="F5F8FC" w:color="auto" w:val="clear"/>
            <w:tcMar>
              <w:top w:type="dxa" w:w="60"/>
              <w:left w:type="dxa" w:w="100"/>
              <w:bottom w:type="dxa" w:w="60"/>
              <w:right w:type="dxa" w:w="100"/>
            </w:tcMar>
          </w:tcPr>
          <w:p>
            <w:pPr>
              <w:spacing w:after="40"/>
            </w:pPr>
            <w:r>
              <w:t xml:space="preserve">6</w:t>
            </w:r>
          </w:p>
        </w:tc>
        <w:tc>
          <w:tcPr>
            <w:tcW w:type="dxa" w:w="3700"/>
            <w:shd w:fill="F5F8FC" w:color="auto" w:val="clear"/>
            <w:tcMar>
              <w:top w:type="dxa" w:w="60"/>
              <w:left w:type="dxa" w:w="100"/>
              <w:bottom w:type="dxa" w:w="60"/>
              <w:right w:type="dxa" w:w="100"/>
            </w:tcMar>
          </w:tcPr>
          <w:p>
            <w:pPr>
              <w:spacing w:after="40"/>
            </w:pPr>
            <w:r>
              <w:t xml:space="preserve">Benchmark: interviews/navraag bij 2–3 andere inzamelaars</w:t>
            </w:r>
          </w:p>
        </w:tc>
        <w:tc>
          <w:tcPr>
            <w:tcW w:type="dxa" w:w="4400"/>
            <w:shd w:fill="F5F8FC" w:color="auto" w:val="clear"/>
            <w:tcMar>
              <w:top w:type="dxa" w:w="60"/>
              <w:left w:type="dxa" w:w="100"/>
              <w:bottom w:type="dxa" w:w="60"/>
              <w:right w:type="dxa" w:w="100"/>
            </w:tcMar>
          </w:tcPr>
          <w:p>
            <w:pPr>
              <w:spacing w:after="40"/>
            </w:pPr>
            <w:r>
              <w:t xml:space="preserve">Collega-inzamelaars via NVRD-netwerk</w:t>
            </w:r>
          </w:p>
        </w:tc>
      </w:tr>
    </w:tbl>
    <w:p>
      <w:pPr>
        <w:spacing w:after="120"/>
      </w:pPr>
    </w:p>
    <w:p>
      <w:pPr>
        <w:pStyle w:val="Heading2"/>
      </w:pPr>
      <w:r>
        <w:t xml:space="preserve">6.1 Eerste opzet bow-tie</w:t>
      </w:r>
    </w:p>
    <w:p>
      <w:pPr>
        <w:spacing w:after="120"/>
      </w:pPr>
      <w:r>
        <w:t xml:space="preserve">Topgebeurtenis: </w:t>
      </w:r>
      <w:r>
        <w:rPr>
          <w:b/>
          <w:bCs/>
        </w:rPr>
        <w:t xml:space="preserve">“Brand in de laadbak van een inzamelvoertuig”</w:t>
      </w:r>
      <w:r>
        <w:t xml:space="preserve">. Deze opzet wordt in de werksessie aangevuld en getoetst.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Mar>
              <w:top w:type="dxa" w:w="60"/>
              <w:left w:type="dxa" w:w="100"/>
              <w:bottom w:type="dxa" w:w="60"/>
              <w:right w:type="dxa" w:w="100"/>
            </w:tcMar>
          </w:tcPr>
          <w:p>
            <w:pPr>
              <w:spacing w:after="40"/>
            </w:pPr>
            <w:r>
              <w:rPr>
                <w:b/>
                <w:bCs/>
                <w:color w:val="FFFFFF"/>
              </w:rPr>
              <w:t xml:space="preserve">Oorzaken (links)</w:t>
            </w:r>
          </w:p>
        </w:tc>
        <w:tc>
          <w:tcPr>
            <w:tcW w:type="dxa" w:w="3000"/>
            <w:shd w:fill="1F4E79" w:color="auto" w:val="clear"/>
            <w:tcMar>
              <w:top w:type="dxa" w:w="60"/>
              <w:left w:type="dxa" w:w="100"/>
              <w:bottom w:type="dxa" w:w="60"/>
              <w:right w:type="dxa" w:w="100"/>
            </w:tcMar>
          </w:tcPr>
          <w:p>
            <w:pPr>
              <w:spacing w:after="40"/>
            </w:pPr>
            <w:r>
              <w:rPr>
                <w:b/>
                <w:bCs/>
                <w:color w:val="FFFFFF"/>
              </w:rPr>
              <w:t xml:space="preserve">Preventieve barrières</w:t>
            </w:r>
          </w:p>
        </w:tc>
        <w:tc>
          <w:tcPr>
            <w:tcW w:type="dxa" w:w="3000"/>
            <w:shd w:fill="1F4E79" w:color="auto" w:val="clear"/>
            <w:tcMar>
              <w:top w:type="dxa" w:w="60"/>
              <w:left w:type="dxa" w:w="100"/>
              <w:bottom w:type="dxa" w:w="60"/>
              <w:right w:type="dxa" w:w="100"/>
            </w:tcMar>
          </w:tcPr>
          <w:p>
            <w:pPr>
              <w:spacing w:after="40"/>
            </w:pPr>
            <w:r>
              <w:rPr>
                <w:b/>
                <w:bCs/>
                <w:color w:val="FFFFFF"/>
              </w:rPr>
              <w:t xml:space="preserve">Gevolgen (rechts) en herstelbarrières</w:t>
            </w:r>
          </w:p>
        </w:tc>
      </w:tr>
      <w:tr>
        <w:trPr>
          <w:tblHeader w:val="false"/>
        </w:trPr>
        <w:tc>
          <w:tcPr>
            <w:tcW w:type="dxa" w:w="3000"/>
            <w:tcMar>
              <w:top w:type="dxa" w:w="60"/>
              <w:left w:type="dxa" w:w="100"/>
              <w:bottom w:type="dxa" w:w="60"/>
              <w:right w:type="dxa" w:w="100"/>
            </w:tcMar>
          </w:tcPr>
          <w:p>
            <w:pPr>
              <w:spacing w:after="40"/>
            </w:pPr>
            <w:r>
              <w:t xml:space="preserve">Batterij/apparaat in restafval of PMD</w:t>
            </w:r>
          </w:p>
          <w:p>
            <w:pPr>
              <w:spacing w:after="40"/>
            </w:pPr>
            <w:r>
              <w:t xml:space="preserve">Beschadiging door persmechanisme</w:t>
            </w:r>
          </w:p>
          <w:p>
            <w:pPr>
              <w:spacing w:after="40"/>
            </w:pPr>
            <w:r>
              <w:t xml:space="preserve">Hitte (zomer) in de laadbak</w:t>
            </w:r>
          </w:p>
          <w:p>
            <w:pPr>
              <w:spacing w:after="40"/>
            </w:pPr>
            <w:r>
              <w:t xml:space="preserve">Vapes, powerbanks, e-bike-accu’s</w:t>
            </w:r>
          </w:p>
        </w:tc>
        <w:tc>
          <w:tcPr>
            <w:tcW w:type="dxa" w:w="3000"/>
            <w:tcMar>
              <w:top w:type="dxa" w:w="60"/>
              <w:left w:type="dxa" w:w="100"/>
              <w:bottom w:type="dxa" w:w="60"/>
              <w:right w:type="dxa" w:w="100"/>
            </w:tcMar>
          </w:tcPr>
          <w:p>
            <w:pPr>
              <w:spacing w:after="40"/>
            </w:pPr>
            <w:r>
              <w:t xml:space="preserve">Voorlichting aan inwoners</w:t>
            </w:r>
          </w:p>
          <w:p>
            <w:pPr>
              <w:spacing w:after="40"/>
            </w:pPr>
            <w:r>
              <w:t xml:space="preserve">Voldoende inleverpunten (KCA, winkels)</w:t>
            </w:r>
          </w:p>
          <w:p>
            <w:pPr>
              <w:spacing w:after="40"/>
            </w:pPr>
            <w:r>
              <w:t xml:space="preserve">Controle op aanbiedingen/verrijking</w:t>
            </w:r>
          </w:p>
          <w:p>
            <w:pPr>
              <w:spacing w:after="40"/>
            </w:pPr>
            <w:r>
              <w:t xml:space="preserve">Temperatuurdetectie/warmtecamera in laadbak</w:t>
            </w:r>
          </w:p>
          <w:p>
            <w:pPr>
              <w:spacing w:after="40"/>
            </w:pPr>
            <w:r>
              <w:t xml:space="preserve">Niet onnodig persen bij rookontwikkeling</w:t>
            </w:r>
          </w:p>
        </w:tc>
        <w:tc>
          <w:tcPr>
            <w:tcW w:type="dxa" w:w="3000"/>
            <w:tcMar>
              <w:top w:type="dxa" w:w="60"/>
              <w:left w:type="dxa" w:w="100"/>
              <w:bottom w:type="dxa" w:w="60"/>
              <w:right w:type="dxa" w:w="100"/>
            </w:tcMar>
          </w:tcPr>
          <w:p>
            <w:pPr>
              <w:spacing w:after="40"/>
            </w:pPr>
            <w:r>
              <w:t xml:space="preserve">Letsel door brand of steekvlam</w:t>
            </w:r>
          </w:p>
          <w:p>
            <w:pPr>
              <w:spacing w:after="40"/>
            </w:pPr>
            <w:r>
              <w:t xml:space="preserve">Inademing giftige rookgassen</w:t>
            </w:r>
          </w:p>
          <w:p>
            <w:pPr>
              <w:spacing w:after="40"/>
            </w:pPr>
            <w:r>
              <w:t xml:space="preserve">Voertuig- en materiële schade</w:t>
            </w:r>
          </w:p>
          <w:p>
            <w:pPr>
              <w:spacing w:after="40"/>
            </w:pPr>
            <w:r>
              <w:t xml:space="preserve">Brand overslaan op omgeving</w:t>
            </w:r>
          </w:p>
          <w:p>
            <w:pPr>
              <w:spacing w:after="40"/>
            </w:pPr>
            <w:r>
              <w:t xml:space="preserve">Herstel: noodprocedure, “hete lading” gecontroleerd lossen op veilige plek, blusmiddelen aan boord, alarmering 112, BHV/training, nazorg</w:t>
            </w:r>
          </w:p>
        </w:tc>
      </w:tr>
    </w:tbl>
    <w:p>
      <w:pPr>
        <w:spacing w:after="120"/>
      </w:pPr>
    </w:p>
    <w:p>
      <w:pPr>
        <w:pStyle w:val="Heading2"/>
      </w:pPr>
      <w:r>
        <w:t xml:space="preserve">6.2 Risicobeoordeling Fine &amp; Kinney (voorbeeld)</w:t>
      </w:r>
    </w:p>
    <w:p>
      <w:pPr>
        <w:spacing w:after="120"/>
      </w:pPr>
      <w:r>
        <w:t xml:space="preserve">Onderstaande rij is een </w:t>
      </w:r>
      <w:r>
        <w:rPr>
          <w:b/>
          <w:bCs/>
        </w:rPr>
        <w:t xml:space="preserve">voorbeeld</w:t>
      </w:r>
      <w:r>
        <w:t xml:space="preserve"> om de werkwijze te laten zien; de werkelijke scores bepaal je in de werksessie.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1100"/>
        <w:gridCol w:w="2200"/>
      </w:tblGrid>
      <w:tr>
        <w:trPr>
          <w:tblHeader/>
        </w:trPr>
        <w:tc>
          <w:tcPr>
            <w:tcW w:type="dxa" w:w="3000"/>
            <w:shd w:fill="1F4E79" w:color="auto" w:val="clear"/>
            <w:tcMar>
              <w:top w:type="dxa" w:w="60"/>
              <w:left w:type="dxa" w:w="100"/>
              <w:bottom w:type="dxa" w:w="60"/>
              <w:right w:type="dxa" w:w="100"/>
            </w:tcMar>
          </w:tcPr>
          <w:p>
            <w:pPr>
              <w:spacing w:after="40"/>
            </w:pPr>
            <w:r>
              <w:rPr>
                <w:b/>
                <w:bCs/>
                <w:color w:val="FFFFFF"/>
              </w:rPr>
              <w:t xml:space="preserve">Activiteit / gevaar</w:t>
            </w:r>
          </w:p>
        </w:tc>
        <w:tc>
          <w:tcPr>
            <w:tcW w:type="dxa" w:w="900"/>
            <w:shd w:fill="1F4E79" w:color="auto" w:val="clear"/>
            <w:tcMar>
              <w:top w:type="dxa" w:w="60"/>
              <w:left w:type="dxa" w:w="100"/>
              <w:bottom w:type="dxa" w:w="60"/>
              <w:right w:type="dxa" w:w="100"/>
            </w:tcMar>
          </w:tcPr>
          <w:p>
            <w:pPr>
              <w:spacing w:after="40"/>
            </w:pPr>
            <w:r>
              <w:rPr>
                <w:b/>
                <w:bCs/>
                <w:color w:val="FFFFFF"/>
              </w:rPr>
              <w:t xml:space="preserve">W</w:t>
            </w:r>
          </w:p>
        </w:tc>
        <w:tc>
          <w:tcPr>
            <w:tcW w:type="dxa" w:w="900"/>
            <w:shd w:fill="1F4E79" w:color="auto" w:val="clear"/>
            <w:tcMar>
              <w:top w:type="dxa" w:w="60"/>
              <w:left w:type="dxa" w:w="100"/>
              <w:bottom w:type="dxa" w:w="60"/>
              <w:right w:type="dxa" w:w="100"/>
            </w:tcMar>
          </w:tcPr>
          <w:p>
            <w:pPr>
              <w:spacing w:after="40"/>
            </w:pPr>
            <w:r>
              <w:rPr>
                <w:b/>
                <w:bCs/>
                <w:color w:val="FFFFFF"/>
              </w:rPr>
              <w:t xml:space="preserve">B</w:t>
            </w:r>
          </w:p>
        </w:tc>
        <w:tc>
          <w:tcPr>
            <w:tcW w:type="dxa" w:w="900"/>
            <w:shd w:fill="1F4E79" w:color="auto" w:val="clear"/>
            <w:tcMar>
              <w:top w:type="dxa" w:w="60"/>
              <w:left w:type="dxa" w:w="100"/>
              <w:bottom w:type="dxa" w:w="60"/>
              <w:right w:type="dxa" w:w="100"/>
            </w:tcMar>
          </w:tcPr>
          <w:p>
            <w:pPr>
              <w:spacing w:after="40"/>
            </w:pPr>
            <w:r>
              <w:rPr>
                <w:b/>
                <w:bCs/>
                <w:color w:val="FFFFFF"/>
              </w:rPr>
              <w:t xml:space="preserve">E</w:t>
            </w:r>
          </w:p>
        </w:tc>
        <w:tc>
          <w:tcPr>
            <w:tcW w:type="dxa" w:w="1100"/>
            <w:shd w:fill="1F4E79" w:color="auto" w:val="clear"/>
            <w:tcMar>
              <w:top w:type="dxa" w:w="60"/>
              <w:left w:type="dxa" w:w="100"/>
              <w:bottom w:type="dxa" w:w="60"/>
              <w:right w:type="dxa" w:w="100"/>
            </w:tcMar>
          </w:tcPr>
          <w:p>
            <w:pPr>
              <w:spacing w:after="40"/>
            </w:pPr>
            <w:r>
              <w:rPr>
                <w:b/>
                <w:bCs/>
                <w:color w:val="FFFFFF"/>
              </w:rPr>
              <w:t xml:space="preserve">R</w:t>
            </w:r>
          </w:p>
        </w:tc>
        <w:tc>
          <w:tcPr>
            <w:tcW w:type="dxa" w:w="2200"/>
            <w:shd w:fill="1F4E79" w:color="auto" w:val="clear"/>
            <w:tcMar>
              <w:top w:type="dxa" w:w="60"/>
              <w:left w:type="dxa" w:w="100"/>
              <w:bottom w:type="dxa" w:w="60"/>
              <w:right w:type="dxa" w:w="100"/>
            </w:tcMar>
          </w:tcPr>
          <w:p>
            <w:pPr>
              <w:spacing w:after="40"/>
            </w:pPr>
            <w:r>
              <w:rPr>
                <w:b/>
                <w:bCs/>
                <w:color w:val="FFFFFF"/>
              </w:rPr>
              <w:t xml:space="preserve">Klasse</w:t>
            </w:r>
          </w:p>
        </w:tc>
      </w:tr>
      <w:tr>
        <w:trPr>
          <w:tblHeader w:val="false"/>
        </w:trPr>
        <w:tc>
          <w:tcPr>
            <w:tcW w:type="dxa" w:w="3000"/>
            <w:tcMar>
              <w:top w:type="dxa" w:w="60"/>
              <w:left w:type="dxa" w:w="100"/>
              <w:bottom w:type="dxa" w:w="60"/>
              <w:right w:type="dxa" w:w="100"/>
            </w:tcMar>
          </w:tcPr>
          <w:p>
            <w:pPr>
              <w:spacing w:after="40"/>
            </w:pPr>
            <w:r>
              <w:t xml:space="preserve">Persen van afval met batterij → brand in laadbak</w:t>
            </w:r>
          </w:p>
        </w:tc>
        <w:tc>
          <w:tcPr>
            <w:tcW w:type="dxa" w:w="900"/>
            <w:tcMar>
              <w:top w:type="dxa" w:w="60"/>
              <w:left w:type="dxa" w:w="100"/>
              <w:bottom w:type="dxa" w:w="60"/>
              <w:right w:type="dxa" w:w="100"/>
            </w:tcMar>
          </w:tcPr>
          <w:p>
            <w:pPr>
              <w:spacing w:after="40"/>
            </w:pPr>
            <w:r>
              <w:rPr>
                <w:i/>
                <w:iCs/>
                <w:color w:val="9C5700"/>
                <w:shd w:fill="FFF2CC" w:color="auto" w:val="clear"/>
              </w:rPr>
              <w:t xml:space="preserve">[3]</w:t>
            </w:r>
          </w:p>
        </w:tc>
        <w:tc>
          <w:tcPr>
            <w:tcW w:type="dxa" w:w="900"/>
            <w:tcMar>
              <w:top w:type="dxa" w:w="60"/>
              <w:left w:type="dxa" w:w="100"/>
              <w:bottom w:type="dxa" w:w="60"/>
              <w:right w:type="dxa" w:w="100"/>
            </w:tcMar>
          </w:tcPr>
          <w:p>
            <w:pPr>
              <w:spacing w:after="40"/>
            </w:pPr>
            <w:r>
              <w:rPr>
                <w:i/>
                <w:iCs/>
                <w:color w:val="9C5700"/>
                <w:shd w:fill="FFF2CC" w:color="auto" w:val="clear"/>
              </w:rPr>
              <w:t xml:space="preserve">[6]</w:t>
            </w:r>
          </w:p>
        </w:tc>
        <w:tc>
          <w:tcPr>
            <w:tcW w:type="dxa" w:w="900"/>
            <w:tcMar>
              <w:top w:type="dxa" w:w="60"/>
              <w:left w:type="dxa" w:w="100"/>
              <w:bottom w:type="dxa" w:w="60"/>
              <w:right w:type="dxa" w:w="100"/>
            </w:tcMar>
          </w:tcPr>
          <w:p>
            <w:pPr>
              <w:spacing w:after="40"/>
            </w:pPr>
            <w:r>
              <w:rPr>
                <w:i/>
                <w:iCs/>
                <w:color w:val="9C5700"/>
                <w:shd w:fill="FFF2CC" w:color="auto" w:val="clear"/>
              </w:rPr>
              <w:t xml:space="preserve">[15]</w:t>
            </w:r>
          </w:p>
        </w:tc>
        <w:tc>
          <w:tcPr>
            <w:tcW w:type="dxa" w:w="1100"/>
            <w:tcMar>
              <w:top w:type="dxa" w:w="60"/>
              <w:left w:type="dxa" w:w="100"/>
              <w:bottom w:type="dxa" w:w="60"/>
              <w:right w:type="dxa" w:w="100"/>
            </w:tcMar>
          </w:tcPr>
          <w:p>
            <w:pPr>
              <w:spacing w:after="40"/>
            </w:pPr>
            <w:r>
              <w:rPr>
                <w:i/>
                <w:iCs/>
                <w:color w:val="9C5700"/>
                <w:shd w:fill="FFF2CC" w:color="auto" w:val="clear"/>
              </w:rPr>
              <w:t xml:space="preserve">[270]</w:t>
            </w:r>
          </w:p>
        </w:tc>
        <w:tc>
          <w:tcPr>
            <w:tcW w:type="dxa" w:w="2200"/>
            <w:tcMar>
              <w:top w:type="dxa" w:w="60"/>
              <w:left w:type="dxa" w:w="100"/>
              <w:bottom w:type="dxa" w:w="60"/>
              <w:right w:type="dxa" w:w="100"/>
            </w:tcMar>
          </w:tcPr>
          <w:p>
            <w:pPr>
              <w:spacing w:after="40"/>
            </w:pPr>
            <w:r>
              <w:rPr>
                <w:i/>
                <w:iCs/>
                <w:color w:val="9C5700"/>
                <w:shd w:fill="FFF2CC" w:color="auto" w:val="clear"/>
              </w:rPr>
              <w:t xml:space="preserve">[Hoog – maatregelen vereist]</w:t>
            </w:r>
          </w:p>
        </w:tc>
      </w:tr>
      <w:tr>
        <w:trPr>
          <w:tblHeader w:val="false"/>
        </w:trPr>
        <w:tc>
          <w:tcPr>
            <w:tcW w:type="dxa" w:w="3000"/>
            <w:shd w:fill="F5F8FC" w:color="auto" w:val="clear"/>
            <w:tcMar>
              <w:top w:type="dxa" w:w="60"/>
              <w:left w:type="dxa" w:w="100"/>
              <w:bottom w:type="dxa" w:w="60"/>
              <w:right w:type="dxa" w:w="100"/>
            </w:tcMar>
          </w:tcPr>
          <w:p>
            <w:pPr>
              <w:spacing w:after="40"/>
            </w:pPr>
            <w:r>
              <w:t xml:space="preserve">Lossen van smeulende lading op de werf</w:t>
            </w:r>
          </w:p>
        </w:tc>
        <w:tc>
          <w:tcPr>
            <w:tcW w:type="dxa" w:w="900"/>
            <w:shd w:fill="F5F8FC" w:color="auto" w:val="clear"/>
            <w:tcMar>
              <w:top w:type="dxa" w:w="60"/>
              <w:left w:type="dxa" w:w="100"/>
              <w:bottom w:type="dxa" w:w="60"/>
              <w:right w:type="dxa" w:w="100"/>
            </w:tcMar>
          </w:tcPr>
          <w:p>
            <w:pPr>
              <w:spacing w:after="40"/>
            </w:pPr>
            <w:r>
              <w:rPr>
                <w:i/>
                <w:iCs/>
                <w:color w:val="9C5700"/>
                <w:shd w:fill="FFF2CC" w:color="auto" w:val="clear"/>
              </w:rPr>
              <w:t xml:space="preserve">[..]</w:t>
            </w:r>
          </w:p>
        </w:tc>
        <w:tc>
          <w:tcPr>
            <w:tcW w:type="dxa" w:w="900"/>
            <w:shd w:fill="F5F8FC" w:color="auto" w:val="clear"/>
            <w:tcMar>
              <w:top w:type="dxa" w:w="60"/>
              <w:left w:type="dxa" w:w="100"/>
              <w:bottom w:type="dxa" w:w="60"/>
              <w:right w:type="dxa" w:w="100"/>
            </w:tcMar>
          </w:tcPr>
          <w:p>
            <w:pPr>
              <w:spacing w:after="40"/>
            </w:pPr>
            <w:r>
              <w:rPr>
                <w:i/>
                <w:iCs/>
                <w:color w:val="9C5700"/>
                <w:shd w:fill="FFF2CC" w:color="auto" w:val="clear"/>
              </w:rPr>
              <w:t xml:space="preserve">[..]</w:t>
            </w:r>
          </w:p>
        </w:tc>
        <w:tc>
          <w:tcPr>
            <w:tcW w:type="dxa" w:w="900"/>
            <w:shd w:fill="F5F8FC" w:color="auto" w:val="clear"/>
            <w:tcMar>
              <w:top w:type="dxa" w:w="60"/>
              <w:left w:type="dxa" w:w="100"/>
              <w:bottom w:type="dxa" w:w="60"/>
              <w:right w:type="dxa" w:w="100"/>
            </w:tcMar>
          </w:tcPr>
          <w:p>
            <w:pPr>
              <w:spacing w:after="40"/>
            </w:pPr>
            <w:r>
              <w:rPr>
                <w:i/>
                <w:iCs/>
                <w:color w:val="9C5700"/>
                <w:shd w:fill="FFF2CC" w:color="auto" w:val="clear"/>
              </w:rPr>
              <w:t xml:space="preserve">[..]</w:t>
            </w:r>
          </w:p>
        </w:tc>
        <w:tc>
          <w:tcPr>
            <w:tcW w:type="dxa" w:w="1100"/>
            <w:shd w:fill="F5F8FC" w:color="auto" w:val="clear"/>
            <w:tcMar>
              <w:top w:type="dxa" w:w="60"/>
              <w:left w:type="dxa" w:w="100"/>
              <w:bottom w:type="dxa" w:w="60"/>
              <w:right w:type="dxa" w:w="100"/>
            </w:tcMar>
          </w:tcPr>
          <w:p>
            <w:pPr>
              <w:spacing w:after="40"/>
            </w:pPr>
            <w:r>
              <w:rPr>
                <w:i/>
                <w:iCs/>
                <w:color w:val="9C5700"/>
                <w:shd w:fill="FFF2CC" w:color="auto" w:val="clear"/>
              </w:rPr>
              <w:t xml:space="preserve">[..]</w:t>
            </w:r>
          </w:p>
        </w:tc>
        <w:tc>
          <w:tcPr>
            <w:tcW w:type="dxa" w:w="2200"/>
            <w:shd w:fill="F5F8FC" w:color="auto" w:val="clear"/>
            <w:tcMar>
              <w:top w:type="dxa" w:w="60"/>
              <w:left w:type="dxa" w:w="100"/>
              <w:bottom w:type="dxa" w:w="60"/>
              <w:right w:type="dxa" w:w="100"/>
            </w:tcMar>
          </w:tcPr>
          <w:p>
            <w:pPr>
              <w:spacing w:after="40"/>
            </w:pPr>
            <w:r>
              <w:rPr>
                <w:i/>
                <w:iCs/>
                <w:color w:val="9C5700"/>
                <w:shd w:fill="FFF2CC" w:color="auto" w:val="clear"/>
              </w:rPr>
              <w:t xml:space="preserve">[..]</w:t>
            </w:r>
          </w:p>
        </w:tc>
      </w:tr>
    </w:tbl>
    <w:p>
      <w:pPr>
        <w:spacing w:after="120"/>
      </w:pPr>
    </w:p>
    <w:p>
      <w:pPr>
        <w:pStyle w:val="Heading2"/>
      </w:pPr>
      <w:r>
        <w:t xml:space="preserve">6.3 Betrouwbaarheid en ethiek</w:t>
      </w:r>
    </w:p>
    <w:p>
      <w:pPr>
        <w:pStyle w:val="ListParagraph"/>
        <w:numPr>
          <w:ilvl w:val="0"/>
          <w:numId w:val="2"/>
        </w:numPr>
        <w:spacing w:after="60"/>
      </w:pPr>
      <w:r>
        <w:t xml:space="preserve">Interviews worden anoniem verwerkt; deelnemers geven vooraf toestemming.</w:t>
      </w:r>
    </w:p>
    <w:p>
      <w:pPr>
        <w:pStyle w:val="ListParagraph"/>
        <w:numPr>
          <w:ilvl w:val="0"/>
          <w:numId w:val="2"/>
        </w:numPr>
        <w:spacing w:after="60"/>
      </w:pPr>
      <w:r>
        <w:t xml:space="preserve">Resultaten van interviews en observaties worden gecontroleerd door ze te vergelijken met incidentdata (triangulatie).</w:t>
      </w:r>
    </w:p>
    <w:p>
      <w:pPr>
        <w:pStyle w:val="ListParagraph"/>
        <w:numPr>
          <w:ilvl w:val="0"/>
          <w:numId w:val="2"/>
        </w:numPr>
        <w:spacing w:after="60"/>
      </w:pPr>
      <w:r>
        <w:t xml:space="preserve">Let op je dubbelrol: collega’s kennen je als oud-teamleider. Leg uit dat het onderzoek om leren gaat, niet om schuld.</w:t>
      </w:r>
    </w:p>
    <w:p>
      <w:pPr>
        <w:pStyle w:val="Heading1"/>
      </w:pPr>
      <w:r>
        <w:t xml:space="preserve">7. Voorlopige hoofdstukindeling scriptie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00"/>
      </w:tblGrid>
      <w:tr>
        <w:trPr>
          <w:tblHeader/>
        </w:trPr>
        <w:tc>
          <w:tcPr>
            <w:tcW w:type="dxa" w:w="1200"/>
            <w:shd w:fill="1F4E79" w:color="auto" w:val="clear"/>
            <w:tcMar>
              <w:top w:type="dxa" w:w="60"/>
              <w:left w:type="dxa" w:w="100"/>
              <w:bottom w:type="dxa" w:w="60"/>
              <w:right w:type="dxa" w:w="100"/>
            </w:tcMar>
          </w:tcPr>
          <w:p>
            <w:pPr>
              <w:spacing w:after="40"/>
            </w:pPr>
            <w:r>
              <w:rPr>
                <w:b/>
                <w:bCs/>
                <w:color w:val="FFFFFF"/>
              </w:rPr>
              <w:t xml:space="preserve">Hfst.</w:t>
            </w:r>
          </w:p>
        </w:tc>
        <w:tc>
          <w:tcPr>
            <w:tcW w:type="dxa" w:w="5000"/>
            <w:shd w:fill="1F4E79" w:color="auto" w:val="clear"/>
            <w:tcMar>
              <w:top w:type="dxa" w:w="60"/>
              <w:left w:type="dxa" w:w="100"/>
              <w:bottom w:type="dxa" w:w="60"/>
              <w:right w:type="dxa" w:w="100"/>
            </w:tcMar>
          </w:tcPr>
          <w:p>
            <w:pPr>
              <w:spacing w:after="40"/>
            </w:pPr>
            <w:r>
              <w:rPr>
                <w:b/>
                <w:bCs/>
                <w:color w:val="FFFFFF"/>
              </w:rPr>
              <w:t xml:space="preserve">Inhoud</w:t>
            </w:r>
          </w:p>
        </w:tc>
        <w:tc>
          <w:tcPr>
            <w:tcW w:type="dxa" w:w="2800"/>
            <w:shd w:fill="1F4E79" w:color="auto" w:val="clear"/>
            <w:tcMar>
              <w:top w:type="dxa" w:w="60"/>
              <w:left w:type="dxa" w:w="100"/>
              <w:bottom w:type="dxa" w:w="60"/>
              <w:right w:type="dxa" w:w="100"/>
            </w:tcMar>
          </w:tcPr>
          <w:p>
            <w:pPr>
              <w:spacing w:after="40"/>
            </w:pPr>
            <w:r>
              <w:rPr>
                <w:b/>
                <w:bCs/>
                <w:color w:val="FFFFFF"/>
              </w:rPr>
              <w:t xml:space="preserve">Deelvraag</w:t>
            </w:r>
          </w:p>
        </w:tc>
      </w:tr>
      <w:tr>
        <w:trPr>
          <w:tblHeader w:val="false"/>
        </w:trPr>
        <w:tc>
          <w:tcPr>
            <w:tcW w:type="dxa" w:w="1200"/>
            <w:tcMar>
              <w:top w:type="dxa" w:w="60"/>
              <w:left w:type="dxa" w:w="100"/>
              <w:bottom w:type="dxa" w:w="60"/>
              <w:right w:type="dxa" w:w="100"/>
            </w:tcMar>
          </w:tcPr>
          <w:p>
            <w:pPr>
              <w:spacing w:after="40"/>
            </w:pPr>
            <w:r>
              <w:t xml:space="preserve">—</w:t>
            </w:r>
          </w:p>
        </w:tc>
        <w:tc>
          <w:tcPr>
            <w:tcW w:type="dxa" w:w="5000"/>
            <w:tcMar>
              <w:top w:type="dxa" w:w="60"/>
              <w:left w:type="dxa" w:w="100"/>
              <w:bottom w:type="dxa" w:w="60"/>
              <w:right w:type="dxa" w:w="100"/>
            </w:tcMar>
          </w:tcPr>
          <w:p>
            <w:pPr>
              <w:spacing w:after="40"/>
            </w:pPr>
            <w:r>
              <w:t xml:space="preserve">Voorwoord, samenvatting (managementsamenvatting)</w:t>
            </w:r>
          </w:p>
        </w:tc>
        <w:tc>
          <w:tcPr>
            <w:tcW w:type="dxa" w:w="2800"/>
            <w:tcMar>
              <w:top w:type="dxa" w:w="60"/>
              <w:left w:type="dxa" w:w="100"/>
              <w:bottom w:type="dxa" w:w="60"/>
              <w:right w:type="dxa" w:w="100"/>
            </w:tcMar>
          </w:tcPr>
          <w:p>
            <w:pPr>
              <w:spacing w:after="40"/>
            </w:pPr>
          </w:p>
        </w:tc>
      </w:tr>
      <w:tr>
        <w:trPr>
          <w:tblHeader w:val="false"/>
        </w:trPr>
        <w:tc>
          <w:tcPr>
            <w:tcW w:type="dxa" w:w="1200"/>
            <w:shd w:fill="F5F8FC" w:color="auto" w:val="clear"/>
            <w:tcMar>
              <w:top w:type="dxa" w:w="60"/>
              <w:left w:type="dxa" w:w="100"/>
              <w:bottom w:type="dxa" w:w="60"/>
              <w:right w:type="dxa" w:w="100"/>
            </w:tcMar>
          </w:tcPr>
          <w:p>
            <w:pPr>
              <w:spacing w:after="40"/>
            </w:pPr>
            <w:r>
              <w:t xml:space="preserve">1</w:t>
            </w:r>
          </w:p>
        </w:tc>
        <w:tc>
          <w:tcPr>
            <w:tcW w:type="dxa" w:w="5000"/>
            <w:shd w:fill="F5F8FC" w:color="auto" w:val="clear"/>
            <w:tcMar>
              <w:top w:type="dxa" w:w="60"/>
              <w:left w:type="dxa" w:w="100"/>
              <w:bottom w:type="dxa" w:w="60"/>
              <w:right w:type="dxa" w:w="100"/>
            </w:tcMar>
          </w:tcPr>
          <w:p>
            <w:pPr>
              <w:spacing w:after="40"/>
            </w:pPr>
            <w:r>
              <w:t xml:space="preserve">Inleiding: aanleiding, organisatie, probleemstelling, doel, onderzoeksvragen, afbakening</w:t>
            </w:r>
          </w:p>
        </w:tc>
        <w:tc>
          <w:tcPr>
            <w:tcW w:type="dxa" w:w="2800"/>
            <w:shd w:fill="F5F8FC" w:color="auto" w:val="clear"/>
            <w:tcMar>
              <w:top w:type="dxa" w:w="60"/>
              <w:left w:type="dxa" w:w="100"/>
              <w:bottom w:type="dxa" w:w="60"/>
              <w:right w:type="dxa" w:w="100"/>
            </w:tcMar>
          </w:tcPr>
          <w:p>
            <w:pPr>
              <w:spacing w:after="40"/>
            </w:pPr>
          </w:p>
        </w:tc>
      </w:tr>
      <w:tr>
        <w:trPr>
          <w:tblHeader w:val="false"/>
        </w:trPr>
        <w:tc>
          <w:tcPr>
            <w:tcW w:type="dxa" w:w="1200"/>
            <w:tcMar>
              <w:top w:type="dxa" w:w="60"/>
              <w:left w:type="dxa" w:w="100"/>
              <w:bottom w:type="dxa" w:w="60"/>
              <w:right w:type="dxa" w:w="100"/>
            </w:tcMar>
          </w:tcPr>
          <w:p>
            <w:pPr>
              <w:spacing w:after="40"/>
            </w:pPr>
            <w:r>
              <w:t xml:space="preserve">2</w:t>
            </w:r>
          </w:p>
        </w:tc>
        <w:tc>
          <w:tcPr>
            <w:tcW w:type="dxa" w:w="5000"/>
            <w:tcMar>
              <w:top w:type="dxa" w:w="60"/>
              <w:left w:type="dxa" w:w="100"/>
              <w:bottom w:type="dxa" w:w="60"/>
              <w:right w:type="dxa" w:w="100"/>
            </w:tcMar>
          </w:tcPr>
          <w:p>
            <w:pPr>
              <w:spacing w:after="40"/>
            </w:pPr>
            <w:r>
              <w:t xml:space="preserve">Wettelijk en normatief kader</w:t>
            </w:r>
          </w:p>
        </w:tc>
        <w:tc>
          <w:tcPr>
            <w:tcW w:type="dxa" w:w="2800"/>
            <w:tcMar>
              <w:top w:type="dxa" w:w="60"/>
              <w:left w:type="dxa" w:w="100"/>
              <w:bottom w:type="dxa" w:w="60"/>
              <w:right w:type="dxa" w:w="100"/>
            </w:tcMar>
          </w:tcPr>
          <w:p>
            <w:pPr>
              <w:spacing w:after="40"/>
            </w:pPr>
            <w:r>
              <w:t xml:space="preserve">DV 1</w:t>
            </w:r>
          </w:p>
        </w:tc>
      </w:tr>
      <w:tr>
        <w:trPr>
          <w:tblHeader w:val="false"/>
        </w:trPr>
        <w:tc>
          <w:tcPr>
            <w:tcW w:type="dxa" w:w="1200"/>
            <w:shd w:fill="F5F8FC" w:color="auto" w:val="clear"/>
            <w:tcMar>
              <w:top w:type="dxa" w:w="60"/>
              <w:left w:type="dxa" w:w="100"/>
              <w:bottom w:type="dxa" w:w="60"/>
              <w:right w:type="dxa" w:w="100"/>
            </w:tcMar>
          </w:tcPr>
          <w:p>
            <w:pPr>
              <w:spacing w:after="40"/>
            </w:pPr>
            <w:r>
              <w:t xml:space="preserve">3</w:t>
            </w:r>
          </w:p>
        </w:tc>
        <w:tc>
          <w:tcPr>
            <w:tcW w:type="dxa" w:w="5000"/>
            <w:shd w:fill="F5F8FC" w:color="auto" w:val="clear"/>
            <w:tcMar>
              <w:top w:type="dxa" w:w="60"/>
              <w:left w:type="dxa" w:w="100"/>
              <w:bottom w:type="dxa" w:w="60"/>
              <w:right w:type="dxa" w:w="100"/>
            </w:tcMar>
          </w:tcPr>
          <w:p>
            <w:pPr>
              <w:spacing w:after="40"/>
            </w:pPr>
            <w:r>
              <w:t xml:space="preserve">Onderzoeksmethode</w:t>
            </w:r>
          </w:p>
        </w:tc>
        <w:tc>
          <w:tcPr>
            <w:tcW w:type="dxa" w:w="2800"/>
            <w:shd w:fill="F5F8FC" w:color="auto" w:val="clear"/>
            <w:tcMar>
              <w:top w:type="dxa" w:w="60"/>
              <w:left w:type="dxa" w:w="100"/>
              <w:bottom w:type="dxa" w:w="60"/>
              <w:right w:type="dxa" w:w="100"/>
            </w:tcMar>
          </w:tcPr>
          <w:p>
            <w:pPr>
              <w:spacing w:after="40"/>
            </w:pPr>
          </w:p>
        </w:tc>
      </w:tr>
      <w:tr>
        <w:trPr>
          <w:tblHeader w:val="false"/>
        </w:trPr>
        <w:tc>
          <w:tcPr>
            <w:tcW w:type="dxa" w:w="1200"/>
            <w:tcMar>
              <w:top w:type="dxa" w:w="60"/>
              <w:left w:type="dxa" w:w="100"/>
              <w:bottom w:type="dxa" w:w="60"/>
              <w:right w:type="dxa" w:w="100"/>
            </w:tcMar>
          </w:tcPr>
          <w:p>
            <w:pPr>
              <w:spacing w:after="40"/>
            </w:pPr>
            <w:r>
              <w:t xml:space="preserve">4</w:t>
            </w:r>
          </w:p>
        </w:tc>
        <w:tc>
          <w:tcPr>
            <w:tcW w:type="dxa" w:w="5000"/>
            <w:tcMar>
              <w:top w:type="dxa" w:w="60"/>
              <w:left w:type="dxa" w:w="100"/>
              <w:bottom w:type="dxa" w:w="60"/>
              <w:right w:type="dxa" w:w="100"/>
            </w:tcMar>
          </w:tcPr>
          <w:p>
            <w:pPr>
              <w:spacing w:after="40"/>
            </w:pPr>
            <w:r>
              <w:t xml:space="preserve">Het gevaar: thermal runaway en gevolgen voor medewerkers</w:t>
            </w:r>
          </w:p>
        </w:tc>
        <w:tc>
          <w:tcPr>
            <w:tcW w:type="dxa" w:w="2800"/>
            <w:tcMar>
              <w:top w:type="dxa" w:w="60"/>
              <w:left w:type="dxa" w:w="100"/>
              <w:bottom w:type="dxa" w:w="60"/>
              <w:right w:type="dxa" w:w="100"/>
            </w:tcMar>
          </w:tcPr>
          <w:p>
            <w:pPr>
              <w:spacing w:after="40"/>
            </w:pPr>
            <w:r>
              <w:t xml:space="preserve">DV 2</w:t>
            </w:r>
          </w:p>
        </w:tc>
      </w:tr>
      <w:tr>
        <w:trPr>
          <w:tblHeader w:val="false"/>
        </w:trPr>
        <w:tc>
          <w:tcPr>
            <w:tcW w:type="dxa" w:w="1200"/>
            <w:shd w:fill="F5F8FC" w:color="auto" w:val="clear"/>
            <w:tcMar>
              <w:top w:type="dxa" w:w="60"/>
              <w:left w:type="dxa" w:w="100"/>
              <w:bottom w:type="dxa" w:w="60"/>
              <w:right w:type="dxa" w:w="100"/>
            </w:tcMar>
          </w:tcPr>
          <w:p>
            <w:pPr>
              <w:spacing w:after="40"/>
            </w:pPr>
            <w:r>
              <w:t xml:space="preserve">5</w:t>
            </w:r>
          </w:p>
        </w:tc>
        <w:tc>
          <w:tcPr>
            <w:tcW w:type="dxa" w:w="5000"/>
            <w:shd w:fill="F5F8FC" w:color="auto" w:val="clear"/>
            <w:tcMar>
              <w:top w:type="dxa" w:w="60"/>
              <w:left w:type="dxa" w:w="100"/>
              <w:bottom w:type="dxa" w:w="60"/>
              <w:right w:type="dxa" w:w="100"/>
            </w:tcMar>
          </w:tcPr>
          <w:p>
            <w:pPr>
              <w:spacing w:after="40"/>
            </w:pPr>
            <w:r>
              <w:t xml:space="preserve">Resultaten incidentanalyse</w:t>
            </w:r>
          </w:p>
        </w:tc>
        <w:tc>
          <w:tcPr>
            <w:tcW w:type="dxa" w:w="2800"/>
            <w:shd w:fill="F5F8FC" w:color="auto" w:val="clear"/>
            <w:tcMar>
              <w:top w:type="dxa" w:w="60"/>
              <w:left w:type="dxa" w:w="100"/>
              <w:bottom w:type="dxa" w:w="60"/>
              <w:right w:type="dxa" w:w="100"/>
            </w:tcMar>
          </w:tcPr>
          <w:p>
            <w:pPr>
              <w:spacing w:after="40"/>
            </w:pPr>
            <w:r>
              <w:t xml:space="preserve">DV 3</w:t>
            </w:r>
          </w:p>
        </w:tc>
      </w:tr>
      <w:tr>
        <w:trPr>
          <w:tblHeader w:val="false"/>
        </w:trPr>
        <w:tc>
          <w:tcPr>
            <w:tcW w:type="dxa" w:w="1200"/>
            <w:tcMar>
              <w:top w:type="dxa" w:w="60"/>
              <w:left w:type="dxa" w:w="100"/>
              <w:bottom w:type="dxa" w:w="60"/>
              <w:right w:type="dxa" w:w="100"/>
            </w:tcMar>
          </w:tcPr>
          <w:p>
            <w:pPr>
              <w:spacing w:after="40"/>
            </w:pPr>
            <w:r>
              <w:t xml:space="preserve">6</w:t>
            </w:r>
          </w:p>
        </w:tc>
        <w:tc>
          <w:tcPr>
            <w:tcW w:type="dxa" w:w="5000"/>
            <w:tcMar>
              <w:top w:type="dxa" w:w="60"/>
              <w:left w:type="dxa" w:w="100"/>
              <w:bottom w:type="dxa" w:w="60"/>
              <w:right w:type="dxa" w:w="100"/>
            </w:tcMar>
          </w:tcPr>
          <w:p>
            <w:pPr>
              <w:spacing w:after="40"/>
            </w:pPr>
            <w:r>
              <w:t xml:space="preserve">Huidige situatie: maatregelen in de praktijk</w:t>
            </w:r>
          </w:p>
        </w:tc>
        <w:tc>
          <w:tcPr>
            <w:tcW w:type="dxa" w:w="2800"/>
            <w:tcMar>
              <w:top w:type="dxa" w:w="60"/>
              <w:left w:type="dxa" w:w="100"/>
              <w:bottom w:type="dxa" w:w="60"/>
              <w:right w:type="dxa" w:w="100"/>
            </w:tcMar>
          </w:tcPr>
          <w:p>
            <w:pPr>
              <w:spacing w:after="40"/>
            </w:pPr>
            <w:r>
              <w:t xml:space="preserve">DV 4</w:t>
            </w:r>
          </w:p>
        </w:tc>
      </w:tr>
      <w:tr>
        <w:trPr>
          <w:tblHeader w:val="false"/>
        </w:trPr>
        <w:tc>
          <w:tcPr>
            <w:tcW w:type="dxa" w:w="1200"/>
            <w:shd w:fill="F5F8FC" w:color="auto" w:val="clear"/>
            <w:tcMar>
              <w:top w:type="dxa" w:w="60"/>
              <w:left w:type="dxa" w:w="100"/>
              <w:bottom w:type="dxa" w:w="60"/>
              <w:right w:type="dxa" w:w="100"/>
            </w:tcMar>
          </w:tcPr>
          <w:p>
            <w:pPr>
              <w:spacing w:after="40"/>
            </w:pPr>
            <w:r>
              <w:t xml:space="preserve">7</w:t>
            </w:r>
          </w:p>
        </w:tc>
        <w:tc>
          <w:tcPr>
            <w:tcW w:type="dxa" w:w="5000"/>
            <w:shd w:fill="F5F8FC" w:color="auto" w:val="clear"/>
            <w:tcMar>
              <w:top w:type="dxa" w:w="60"/>
              <w:left w:type="dxa" w:w="100"/>
              <w:bottom w:type="dxa" w:w="60"/>
              <w:right w:type="dxa" w:w="100"/>
            </w:tcMar>
          </w:tcPr>
          <w:p>
            <w:pPr>
              <w:spacing w:after="40"/>
            </w:pPr>
            <w:r>
              <w:t xml:space="preserve">Risicobeoordeling (bow-tie, Fine &amp; Kinney)</w:t>
            </w:r>
          </w:p>
        </w:tc>
        <w:tc>
          <w:tcPr>
            <w:tcW w:type="dxa" w:w="2800"/>
            <w:shd w:fill="F5F8FC" w:color="auto" w:val="clear"/>
            <w:tcMar>
              <w:top w:type="dxa" w:w="60"/>
              <w:left w:type="dxa" w:w="100"/>
              <w:bottom w:type="dxa" w:w="60"/>
              <w:right w:type="dxa" w:w="100"/>
            </w:tcMar>
          </w:tcPr>
          <w:p>
            <w:pPr>
              <w:spacing w:after="40"/>
            </w:pPr>
            <w:r>
              <w:t xml:space="preserve">DV 5</w:t>
            </w:r>
          </w:p>
        </w:tc>
      </w:tr>
      <w:tr>
        <w:trPr>
          <w:tblHeader w:val="false"/>
        </w:trPr>
        <w:tc>
          <w:tcPr>
            <w:tcW w:type="dxa" w:w="1200"/>
            <w:tcMar>
              <w:top w:type="dxa" w:w="60"/>
              <w:left w:type="dxa" w:w="100"/>
              <w:bottom w:type="dxa" w:w="60"/>
              <w:right w:type="dxa" w:w="100"/>
            </w:tcMar>
          </w:tcPr>
          <w:p>
            <w:pPr>
              <w:spacing w:after="40"/>
            </w:pPr>
            <w:r>
              <w:t xml:space="preserve">8</w:t>
            </w:r>
          </w:p>
        </w:tc>
        <w:tc>
          <w:tcPr>
            <w:tcW w:type="dxa" w:w="5000"/>
            <w:tcMar>
              <w:top w:type="dxa" w:w="60"/>
              <w:left w:type="dxa" w:w="100"/>
              <w:bottom w:type="dxa" w:w="60"/>
              <w:right w:type="dxa" w:w="100"/>
            </w:tcMar>
          </w:tcPr>
          <w:p>
            <w:pPr>
              <w:spacing w:after="40"/>
            </w:pPr>
            <w:r>
              <w:t xml:space="preserve">Benchmark bij andere inzamelaars</w:t>
            </w:r>
          </w:p>
        </w:tc>
        <w:tc>
          <w:tcPr>
            <w:tcW w:type="dxa" w:w="2800"/>
            <w:tcMar>
              <w:top w:type="dxa" w:w="60"/>
              <w:left w:type="dxa" w:w="100"/>
              <w:bottom w:type="dxa" w:w="60"/>
              <w:right w:type="dxa" w:w="100"/>
            </w:tcMar>
          </w:tcPr>
          <w:p>
            <w:pPr>
              <w:spacing w:after="40"/>
            </w:pPr>
            <w:r>
              <w:t xml:space="preserve">DV 6</w:t>
            </w:r>
          </w:p>
        </w:tc>
      </w:tr>
      <w:tr>
        <w:trPr>
          <w:tblHeader w:val="false"/>
        </w:trPr>
        <w:tc>
          <w:tcPr>
            <w:tcW w:type="dxa" w:w="1200"/>
            <w:shd w:fill="F5F8FC" w:color="auto" w:val="clear"/>
            <w:tcMar>
              <w:top w:type="dxa" w:w="60"/>
              <w:left w:type="dxa" w:w="100"/>
              <w:bottom w:type="dxa" w:w="60"/>
              <w:right w:type="dxa" w:w="100"/>
            </w:tcMar>
          </w:tcPr>
          <w:p>
            <w:pPr>
              <w:spacing w:after="40"/>
            </w:pPr>
            <w:r>
              <w:t xml:space="preserve">9</w:t>
            </w:r>
          </w:p>
        </w:tc>
        <w:tc>
          <w:tcPr>
            <w:tcW w:type="dxa" w:w="5000"/>
            <w:shd w:fill="F5F8FC" w:color="auto" w:val="clear"/>
            <w:tcMar>
              <w:top w:type="dxa" w:w="60"/>
              <w:left w:type="dxa" w:w="100"/>
              <w:bottom w:type="dxa" w:w="60"/>
              <w:right w:type="dxa" w:w="100"/>
            </w:tcMar>
          </w:tcPr>
          <w:p>
            <w:pPr>
              <w:spacing w:after="40"/>
            </w:pPr>
            <w:r>
              <w:t xml:space="preserve">Conclusies en aanbevelingen (maatregelen volgens arbeidshygiënische strategie, prioriteit, kosten, planning)</w:t>
            </w:r>
          </w:p>
        </w:tc>
        <w:tc>
          <w:tcPr>
            <w:tcW w:type="dxa" w:w="2800"/>
            <w:shd w:fill="F5F8FC" w:color="auto" w:val="clear"/>
            <w:tcMar>
              <w:top w:type="dxa" w:w="60"/>
              <w:left w:type="dxa" w:w="100"/>
              <w:bottom w:type="dxa" w:w="60"/>
              <w:right w:type="dxa" w:w="100"/>
            </w:tcMar>
          </w:tcPr>
          <w:p>
            <w:pPr>
              <w:spacing w:after="40"/>
            </w:pPr>
            <w:r>
              <w:t xml:space="preserve">Hoofdvraag</w:t>
            </w:r>
          </w:p>
        </w:tc>
      </w:tr>
      <w:tr>
        <w:trPr>
          <w:tblHeader w:val="false"/>
        </w:trPr>
        <w:tc>
          <w:tcPr>
            <w:tcW w:type="dxa" w:w="1200"/>
            <w:tcMar>
              <w:top w:type="dxa" w:w="60"/>
              <w:left w:type="dxa" w:w="100"/>
              <w:bottom w:type="dxa" w:w="60"/>
              <w:right w:type="dxa" w:w="100"/>
            </w:tcMar>
          </w:tcPr>
          <w:p>
            <w:pPr>
              <w:spacing w:after="40"/>
            </w:pPr>
            <w:r>
              <w:t xml:space="preserve">—</w:t>
            </w:r>
          </w:p>
        </w:tc>
        <w:tc>
          <w:tcPr>
            <w:tcW w:type="dxa" w:w="5000"/>
            <w:tcMar>
              <w:top w:type="dxa" w:w="60"/>
              <w:left w:type="dxa" w:w="100"/>
              <w:bottom w:type="dxa" w:w="60"/>
              <w:right w:type="dxa" w:w="100"/>
            </w:tcMar>
          </w:tcPr>
          <w:p>
            <w:pPr>
              <w:spacing w:after="40"/>
            </w:pPr>
            <w:r>
              <w:t xml:space="preserve">Bronnenlijst, bijlagen (interviewleidraad, observatieformulier, bow-tie, werkvoorschrift)</w:t>
            </w:r>
          </w:p>
        </w:tc>
        <w:tc>
          <w:tcPr>
            <w:tcW w:type="dxa" w:w="2800"/>
            <w:tcMar>
              <w:top w:type="dxa" w:w="60"/>
              <w:left w:type="dxa" w:w="100"/>
              <w:bottom w:type="dxa" w:w="60"/>
              <w:right w:type="dxa" w:w="100"/>
            </w:tcMar>
          </w:tcPr>
          <w:p>
            <w:pPr>
              <w:spacing w:after="40"/>
            </w:pPr>
          </w:p>
        </w:tc>
      </w:tr>
    </w:tbl>
    <w:p>
      <w:pPr>
        <w:pStyle w:val="Heading1"/>
      </w:pPr>
      <w:r>
        <w:t xml:space="preserve">8. Planning</w:t>
      </w:r>
    </w:p>
    <w:p>
      <w:pPr>
        <w:spacing w:after="120"/>
      </w:pPr>
      <w:r>
        <w:t xml:space="preserve">Uitgangspunt: circa </w:t>
      </w:r>
      <w:r>
        <w:rPr>
          <w:b/>
          <w:bCs/>
        </w:rPr>
        <w:t xml:space="preserve">20 weken</w:t>
      </w:r>
      <w:r>
        <w:t xml:space="preserve"> doorlooptijd, naast het werk. </w:t>
      </w:r>
      <w:r>
        <w:rPr>
          <w:i/>
          <w:iCs/>
          <w:color w:val="9C5700"/>
          <w:shd w:fill="FFF2CC" w:color="auto" w:val="clear"/>
        </w:rPr>
        <w:t xml:space="preserve">[Pas aan op de inleverdatum van je opleiding]</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00"/>
      </w:tblGrid>
      <w:tr>
        <w:trPr>
          <w:tblHeader/>
        </w:trPr>
        <w:tc>
          <w:tcPr>
            <w:tcW w:type="dxa" w:w="1500"/>
            <w:shd w:fill="1F4E79" w:color="auto" w:val="clear"/>
            <w:tcMar>
              <w:top w:type="dxa" w:w="60"/>
              <w:left w:type="dxa" w:w="100"/>
              <w:bottom w:type="dxa" w:w="60"/>
              <w:right w:type="dxa" w:w="100"/>
            </w:tcMar>
          </w:tcPr>
          <w:p>
            <w:pPr>
              <w:spacing w:after="40"/>
            </w:pPr>
            <w:r>
              <w:rPr>
                <w:b/>
                <w:bCs/>
                <w:color w:val="FFFFFF"/>
              </w:rPr>
              <w:t xml:space="preserve">Week</w:t>
            </w:r>
          </w:p>
        </w:tc>
        <w:tc>
          <w:tcPr>
            <w:tcW w:type="dxa" w:w="5000"/>
            <w:shd w:fill="1F4E79" w:color="auto" w:val="clear"/>
            <w:tcMar>
              <w:top w:type="dxa" w:w="60"/>
              <w:left w:type="dxa" w:w="100"/>
              <w:bottom w:type="dxa" w:w="60"/>
              <w:right w:type="dxa" w:w="100"/>
            </w:tcMar>
          </w:tcPr>
          <w:p>
            <w:pPr>
              <w:spacing w:after="40"/>
            </w:pPr>
            <w:r>
              <w:rPr>
                <w:b/>
                <w:bCs/>
                <w:color w:val="FFFFFF"/>
              </w:rPr>
              <w:t xml:space="preserve">Activiteit</w:t>
            </w:r>
          </w:p>
        </w:tc>
        <w:tc>
          <w:tcPr>
            <w:tcW w:type="dxa" w:w="2500"/>
            <w:shd w:fill="1F4E79" w:color="auto" w:val="clear"/>
            <w:tcMar>
              <w:top w:type="dxa" w:w="60"/>
              <w:left w:type="dxa" w:w="100"/>
              <w:bottom w:type="dxa" w:w="60"/>
              <w:right w:type="dxa" w:w="100"/>
            </w:tcMar>
          </w:tcPr>
          <w:p>
            <w:pPr>
              <w:spacing w:after="40"/>
            </w:pPr>
            <w:r>
              <w:rPr>
                <w:b/>
                <w:bCs/>
                <w:color w:val="FFFFFF"/>
              </w:rPr>
              <w:t xml:space="preserve">Resultaat</w:t>
            </w:r>
          </w:p>
        </w:tc>
      </w:tr>
      <w:tr>
        <w:trPr>
          <w:tblHeader w:val="false"/>
        </w:trPr>
        <w:tc>
          <w:tcPr>
            <w:tcW w:type="dxa" w:w="1500"/>
            <w:tcMar>
              <w:top w:type="dxa" w:w="60"/>
              <w:left w:type="dxa" w:w="100"/>
              <w:bottom w:type="dxa" w:w="60"/>
              <w:right w:type="dxa" w:w="100"/>
            </w:tcMar>
          </w:tcPr>
          <w:p>
            <w:pPr>
              <w:spacing w:after="40"/>
            </w:pPr>
            <w:r>
              <w:t xml:space="preserve">1–2</w:t>
            </w:r>
          </w:p>
        </w:tc>
        <w:tc>
          <w:tcPr>
            <w:tcW w:type="dxa" w:w="5000"/>
            <w:tcMar>
              <w:top w:type="dxa" w:w="60"/>
              <w:left w:type="dxa" w:w="100"/>
              <w:bottom w:type="dxa" w:w="60"/>
              <w:right w:type="dxa" w:w="100"/>
            </w:tcMar>
          </w:tcPr>
          <w:p>
            <w:pPr>
              <w:spacing w:after="40"/>
            </w:pPr>
            <w:r>
              <w:t xml:space="preserve">Scriptievoorstel afstemmen met praktijkbegeleider en opleiding</w:t>
            </w:r>
          </w:p>
        </w:tc>
        <w:tc>
          <w:tcPr>
            <w:tcW w:type="dxa" w:w="2500"/>
            <w:tcMar>
              <w:top w:type="dxa" w:w="60"/>
              <w:left w:type="dxa" w:w="100"/>
              <w:bottom w:type="dxa" w:w="60"/>
              <w:right w:type="dxa" w:w="100"/>
            </w:tcMar>
          </w:tcPr>
          <w:p>
            <w:pPr>
              <w:spacing w:after="40"/>
            </w:pPr>
            <w:r>
              <w:t xml:space="preserve">Goedgekeurd voorstel</w:t>
            </w:r>
          </w:p>
        </w:tc>
      </w:tr>
      <w:tr>
        <w:trPr>
          <w:tblHeader w:val="false"/>
        </w:trPr>
        <w:tc>
          <w:tcPr>
            <w:tcW w:type="dxa" w:w="1500"/>
            <w:shd w:fill="F5F8FC" w:color="auto" w:val="clear"/>
            <w:tcMar>
              <w:top w:type="dxa" w:w="60"/>
              <w:left w:type="dxa" w:w="100"/>
              <w:bottom w:type="dxa" w:w="60"/>
              <w:right w:type="dxa" w:w="100"/>
            </w:tcMar>
          </w:tcPr>
          <w:p>
            <w:pPr>
              <w:spacing w:after="40"/>
            </w:pPr>
            <w:r>
              <w:t xml:space="preserve">3–5</w:t>
            </w:r>
          </w:p>
        </w:tc>
        <w:tc>
          <w:tcPr>
            <w:tcW w:type="dxa" w:w="5000"/>
            <w:shd w:fill="F5F8FC" w:color="auto" w:val="clear"/>
            <w:tcMar>
              <w:top w:type="dxa" w:w="60"/>
              <w:left w:type="dxa" w:w="100"/>
              <w:bottom w:type="dxa" w:w="60"/>
              <w:right w:type="dxa" w:w="100"/>
            </w:tcMar>
          </w:tcPr>
          <w:p>
            <w:pPr>
              <w:spacing w:after="40"/>
            </w:pPr>
            <w:r>
              <w:t xml:space="preserve">Deskresearch wet- en regelgeving en literatuur</w:t>
            </w:r>
          </w:p>
        </w:tc>
        <w:tc>
          <w:tcPr>
            <w:tcW w:type="dxa" w:w="2500"/>
            <w:shd w:fill="F5F8FC" w:color="auto" w:val="clear"/>
            <w:tcMar>
              <w:top w:type="dxa" w:w="60"/>
              <w:left w:type="dxa" w:w="100"/>
              <w:bottom w:type="dxa" w:w="60"/>
              <w:right w:type="dxa" w:w="100"/>
            </w:tcMar>
          </w:tcPr>
          <w:p>
            <w:pPr>
              <w:spacing w:after="40"/>
            </w:pPr>
            <w:r>
              <w:t xml:space="preserve">Concept hfst. 2 en 4</w:t>
            </w:r>
          </w:p>
        </w:tc>
      </w:tr>
      <w:tr>
        <w:trPr>
          <w:tblHeader w:val="false"/>
        </w:trPr>
        <w:tc>
          <w:tcPr>
            <w:tcW w:type="dxa" w:w="1500"/>
            <w:tcMar>
              <w:top w:type="dxa" w:w="60"/>
              <w:left w:type="dxa" w:w="100"/>
              <w:bottom w:type="dxa" w:w="60"/>
              <w:right w:type="dxa" w:w="100"/>
            </w:tcMar>
          </w:tcPr>
          <w:p>
            <w:pPr>
              <w:spacing w:after="40"/>
            </w:pPr>
            <w:r>
              <w:t xml:space="preserve">4–6</w:t>
            </w:r>
          </w:p>
        </w:tc>
        <w:tc>
          <w:tcPr>
            <w:tcW w:type="dxa" w:w="5000"/>
            <w:tcMar>
              <w:top w:type="dxa" w:w="60"/>
              <w:left w:type="dxa" w:w="100"/>
              <w:bottom w:type="dxa" w:w="60"/>
              <w:right w:type="dxa" w:w="100"/>
            </w:tcMar>
          </w:tcPr>
          <w:p>
            <w:pPr>
              <w:spacing w:after="40"/>
            </w:pPr>
            <w:r>
              <w:t xml:space="preserve">Incidentdata verzamelen en analyseren</w:t>
            </w:r>
          </w:p>
        </w:tc>
        <w:tc>
          <w:tcPr>
            <w:tcW w:type="dxa" w:w="2500"/>
            <w:tcMar>
              <w:top w:type="dxa" w:w="60"/>
              <w:left w:type="dxa" w:w="100"/>
              <w:bottom w:type="dxa" w:w="60"/>
              <w:right w:type="dxa" w:w="100"/>
            </w:tcMar>
          </w:tcPr>
          <w:p>
            <w:pPr>
              <w:spacing w:after="40"/>
            </w:pPr>
            <w:r>
              <w:t xml:space="preserve">Concept hfst. 5</w:t>
            </w:r>
          </w:p>
        </w:tc>
      </w:tr>
      <w:tr>
        <w:trPr>
          <w:tblHeader w:val="false"/>
        </w:trPr>
        <w:tc>
          <w:tcPr>
            <w:tcW w:type="dxa" w:w="1500"/>
            <w:shd w:fill="F5F8FC" w:color="auto" w:val="clear"/>
            <w:tcMar>
              <w:top w:type="dxa" w:w="60"/>
              <w:left w:type="dxa" w:w="100"/>
              <w:bottom w:type="dxa" w:w="60"/>
              <w:right w:type="dxa" w:w="100"/>
            </w:tcMar>
          </w:tcPr>
          <w:p>
            <w:pPr>
              <w:spacing w:after="40"/>
            </w:pPr>
            <w:r>
              <w:t xml:space="preserve">6–9</w:t>
            </w:r>
          </w:p>
        </w:tc>
        <w:tc>
          <w:tcPr>
            <w:tcW w:type="dxa" w:w="5000"/>
            <w:shd w:fill="F5F8FC" w:color="auto" w:val="clear"/>
            <w:tcMar>
              <w:top w:type="dxa" w:w="60"/>
              <w:left w:type="dxa" w:w="100"/>
              <w:bottom w:type="dxa" w:w="60"/>
              <w:right w:type="dxa" w:w="100"/>
            </w:tcMar>
          </w:tcPr>
          <w:p>
            <w:pPr>
              <w:spacing w:after="40"/>
            </w:pPr>
            <w:r>
              <w:t xml:space="preserve">Meerijden/observaties en interviews</w:t>
            </w:r>
          </w:p>
        </w:tc>
        <w:tc>
          <w:tcPr>
            <w:tcW w:type="dxa" w:w="2500"/>
            <w:shd w:fill="F5F8FC" w:color="auto" w:val="clear"/>
            <w:tcMar>
              <w:top w:type="dxa" w:w="60"/>
              <w:left w:type="dxa" w:w="100"/>
              <w:bottom w:type="dxa" w:w="60"/>
              <w:right w:type="dxa" w:w="100"/>
            </w:tcMar>
          </w:tcPr>
          <w:p>
            <w:pPr>
              <w:spacing w:after="40"/>
            </w:pPr>
            <w:r>
              <w:t xml:space="preserve">Uitgewerkte interviews, hfst. 6</w:t>
            </w:r>
          </w:p>
        </w:tc>
      </w:tr>
      <w:tr>
        <w:trPr>
          <w:tblHeader w:val="false"/>
        </w:trPr>
        <w:tc>
          <w:tcPr>
            <w:tcW w:type="dxa" w:w="1500"/>
            <w:tcMar>
              <w:top w:type="dxa" w:w="60"/>
              <w:left w:type="dxa" w:w="100"/>
              <w:bottom w:type="dxa" w:w="60"/>
              <w:right w:type="dxa" w:w="100"/>
            </w:tcMar>
          </w:tcPr>
          <w:p>
            <w:pPr>
              <w:spacing w:after="40"/>
            </w:pPr>
            <w:r>
              <w:t xml:space="preserve">10–11</w:t>
            </w:r>
          </w:p>
        </w:tc>
        <w:tc>
          <w:tcPr>
            <w:tcW w:type="dxa" w:w="5000"/>
            <w:tcMar>
              <w:top w:type="dxa" w:w="60"/>
              <w:left w:type="dxa" w:w="100"/>
              <w:bottom w:type="dxa" w:w="60"/>
              <w:right w:type="dxa" w:w="100"/>
            </w:tcMar>
          </w:tcPr>
          <w:p>
            <w:pPr>
              <w:spacing w:after="40"/>
            </w:pPr>
            <w:r>
              <w:t xml:space="preserve">Werksessie bow-tie en Fine &amp; Kinney</w:t>
            </w:r>
          </w:p>
        </w:tc>
        <w:tc>
          <w:tcPr>
            <w:tcW w:type="dxa" w:w="2500"/>
            <w:tcMar>
              <w:top w:type="dxa" w:w="60"/>
              <w:left w:type="dxa" w:w="100"/>
              <w:bottom w:type="dxa" w:w="60"/>
              <w:right w:type="dxa" w:w="100"/>
            </w:tcMar>
          </w:tcPr>
          <w:p>
            <w:pPr>
              <w:spacing w:after="40"/>
            </w:pPr>
            <w:r>
              <w:t xml:space="preserve">Hfst. 7</w:t>
            </w:r>
          </w:p>
        </w:tc>
      </w:tr>
      <w:tr>
        <w:trPr>
          <w:tblHeader w:val="false"/>
        </w:trPr>
        <w:tc>
          <w:tcPr>
            <w:tcW w:type="dxa" w:w="1500"/>
            <w:shd w:fill="F5F8FC" w:color="auto" w:val="clear"/>
            <w:tcMar>
              <w:top w:type="dxa" w:w="60"/>
              <w:left w:type="dxa" w:w="100"/>
              <w:bottom w:type="dxa" w:w="60"/>
              <w:right w:type="dxa" w:w="100"/>
            </w:tcMar>
          </w:tcPr>
          <w:p>
            <w:pPr>
              <w:spacing w:after="40"/>
            </w:pPr>
            <w:r>
              <w:t xml:space="preserve">11–12</w:t>
            </w:r>
          </w:p>
        </w:tc>
        <w:tc>
          <w:tcPr>
            <w:tcW w:type="dxa" w:w="5000"/>
            <w:shd w:fill="F5F8FC" w:color="auto" w:val="clear"/>
            <w:tcMar>
              <w:top w:type="dxa" w:w="60"/>
              <w:left w:type="dxa" w:w="100"/>
              <w:bottom w:type="dxa" w:w="60"/>
              <w:right w:type="dxa" w:w="100"/>
            </w:tcMar>
          </w:tcPr>
          <w:p>
            <w:pPr>
              <w:spacing w:after="40"/>
            </w:pPr>
            <w:r>
              <w:t xml:space="preserve">Benchmark andere inzamelaars</w:t>
            </w:r>
          </w:p>
        </w:tc>
        <w:tc>
          <w:tcPr>
            <w:tcW w:type="dxa" w:w="2500"/>
            <w:shd w:fill="F5F8FC" w:color="auto" w:val="clear"/>
            <w:tcMar>
              <w:top w:type="dxa" w:w="60"/>
              <w:left w:type="dxa" w:w="100"/>
              <w:bottom w:type="dxa" w:w="60"/>
              <w:right w:type="dxa" w:w="100"/>
            </w:tcMar>
          </w:tcPr>
          <w:p>
            <w:pPr>
              <w:spacing w:after="40"/>
            </w:pPr>
            <w:r>
              <w:t xml:space="preserve">Hfst. 8</w:t>
            </w:r>
          </w:p>
        </w:tc>
      </w:tr>
      <w:tr>
        <w:trPr>
          <w:tblHeader w:val="false"/>
        </w:trPr>
        <w:tc>
          <w:tcPr>
            <w:tcW w:type="dxa" w:w="1500"/>
            <w:tcMar>
              <w:top w:type="dxa" w:w="60"/>
              <w:left w:type="dxa" w:w="100"/>
              <w:bottom w:type="dxa" w:w="60"/>
              <w:right w:type="dxa" w:w="100"/>
            </w:tcMar>
          </w:tcPr>
          <w:p>
            <w:pPr>
              <w:spacing w:after="40"/>
            </w:pPr>
            <w:r>
              <w:t xml:space="preserve">13–15</w:t>
            </w:r>
          </w:p>
        </w:tc>
        <w:tc>
          <w:tcPr>
            <w:tcW w:type="dxa" w:w="5000"/>
            <w:tcMar>
              <w:top w:type="dxa" w:w="60"/>
              <w:left w:type="dxa" w:w="100"/>
              <w:bottom w:type="dxa" w:w="60"/>
              <w:right w:type="dxa" w:w="100"/>
            </w:tcMar>
          </w:tcPr>
          <w:p>
            <w:pPr>
              <w:spacing w:after="40"/>
            </w:pPr>
            <w:r>
              <w:t xml:space="preserve">Conclusies, aanbevelingen, werkvoorschrift</w:t>
            </w:r>
          </w:p>
        </w:tc>
        <w:tc>
          <w:tcPr>
            <w:tcW w:type="dxa" w:w="2500"/>
            <w:tcMar>
              <w:top w:type="dxa" w:w="60"/>
              <w:left w:type="dxa" w:w="100"/>
              <w:bottom w:type="dxa" w:w="60"/>
              <w:right w:type="dxa" w:w="100"/>
            </w:tcMar>
          </w:tcPr>
          <w:p>
            <w:pPr>
              <w:spacing w:after="40"/>
            </w:pPr>
            <w:r>
              <w:t xml:space="preserve">Hfst. 9 + bijlage</w:t>
            </w:r>
          </w:p>
        </w:tc>
      </w:tr>
      <w:tr>
        <w:trPr>
          <w:tblHeader w:val="false"/>
        </w:trPr>
        <w:tc>
          <w:tcPr>
            <w:tcW w:type="dxa" w:w="1500"/>
            <w:shd w:fill="F5F8FC" w:color="auto" w:val="clear"/>
            <w:tcMar>
              <w:top w:type="dxa" w:w="60"/>
              <w:left w:type="dxa" w:w="100"/>
              <w:bottom w:type="dxa" w:w="60"/>
              <w:right w:type="dxa" w:w="100"/>
            </w:tcMar>
          </w:tcPr>
          <w:p>
            <w:pPr>
              <w:spacing w:after="40"/>
            </w:pPr>
            <w:r>
              <w:t xml:space="preserve">16–17</w:t>
            </w:r>
          </w:p>
        </w:tc>
        <w:tc>
          <w:tcPr>
            <w:tcW w:type="dxa" w:w="5000"/>
            <w:shd w:fill="F5F8FC" w:color="auto" w:val="clear"/>
            <w:tcMar>
              <w:top w:type="dxa" w:w="60"/>
              <w:left w:type="dxa" w:w="100"/>
              <w:bottom w:type="dxa" w:w="60"/>
              <w:right w:type="dxa" w:w="100"/>
            </w:tcMar>
          </w:tcPr>
          <w:p>
            <w:pPr>
              <w:spacing w:after="40"/>
            </w:pPr>
            <w:r>
              <w:t xml:space="preserve">Conceptversie naar begeleiders</w:t>
            </w:r>
          </w:p>
        </w:tc>
        <w:tc>
          <w:tcPr>
            <w:tcW w:type="dxa" w:w="2500"/>
            <w:shd w:fill="F5F8FC" w:color="auto" w:val="clear"/>
            <w:tcMar>
              <w:top w:type="dxa" w:w="60"/>
              <w:left w:type="dxa" w:w="100"/>
              <w:bottom w:type="dxa" w:w="60"/>
              <w:right w:type="dxa" w:w="100"/>
            </w:tcMar>
          </w:tcPr>
          <w:p>
            <w:pPr>
              <w:spacing w:after="40"/>
            </w:pPr>
            <w:r>
              <w:t xml:space="preserve">Feedback</w:t>
            </w:r>
          </w:p>
        </w:tc>
      </w:tr>
      <w:tr>
        <w:trPr>
          <w:tblHeader w:val="false"/>
        </w:trPr>
        <w:tc>
          <w:tcPr>
            <w:tcW w:type="dxa" w:w="1500"/>
            <w:tcMar>
              <w:top w:type="dxa" w:w="60"/>
              <w:left w:type="dxa" w:w="100"/>
              <w:bottom w:type="dxa" w:w="60"/>
              <w:right w:type="dxa" w:w="100"/>
            </w:tcMar>
          </w:tcPr>
          <w:p>
            <w:pPr>
              <w:spacing w:after="40"/>
            </w:pPr>
            <w:r>
              <w:t xml:space="preserve">18–19</w:t>
            </w:r>
          </w:p>
        </w:tc>
        <w:tc>
          <w:tcPr>
            <w:tcW w:type="dxa" w:w="5000"/>
            <w:tcMar>
              <w:top w:type="dxa" w:w="60"/>
              <w:left w:type="dxa" w:w="100"/>
              <w:bottom w:type="dxa" w:w="60"/>
              <w:right w:type="dxa" w:w="100"/>
            </w:tcMar>
          </w:tcPr>
          <w:p>
            <w:pPr>
              <w:spacing w:after="40"/>
            </w:pPr>
            <w:r>
              <w:t xml:space="preserve">Verwerken feedback, eindredactie</w:t>
            </w:r>
          </w:p>
        </w:tc>
        <w:tc>
          <w:tcPr>
            <w:tcW w:type="dxa" w:w="2500"/>
            <w:tcMar>
              <w:top w:type="dxa" w:w="60"/>
              <w:left w:type="dxa" w:w="100"/>
              <w:bottom w:type="dxa" w:w="60"/>
              <w:right w:type="dxa" w:w="100"/>
            </w:tcMar>
          </w:tcPr>
          <w:p>
            <w:pPr>
              <w:spacing w:after="40"/>
            </w:pPr>
            <w:r>
              <w:t xml:space="preserve">Definitieve versie</w:t>
            </w:r>
          </w:p>
        </w:tc>
      </w:tr>
      <w:tr>
        <w:trPr>
          <w:tblHeader w:val="false"/>
        </w:trPr>
        <w:tc>
          <w:tcPr>
            <w:tcW w:type="dxa" w:w="1500"/>
            <w:shd w:fill="F5F8FC" w:color="auto" w:val="clear"/>
            <w:tcMar>
              <w:top w:type="dxa" w:w="60"/>
              <w:left w:type="dxa" w:w="100"/>
              <w:bottom w:type="dxa" w:w="60"/>
              <w:right w:type="dxa" w:w="100"/>
            </w:tcMar>
          </w:tcPr>
          <w:p>
            <w:pPr>
              <w:spacing w:after="40"/>
            </w:pPr>
            <w:r>
              <w:t xml:space="preserve">20</w:t>
            </w:r>
          </w:p>
        </w:tc>
        <w:tc>
          <w:tcPr>
            <w:tcW w:type="dxa" w:w="5000"/>
            <w:shd w:fill="F5F8FC" w:color="auto" w:val="clear"/>
            <w:tcMar>
              <w:top w:type="dxa" w:w="60"/>
              <w:left w:type="dxa" w:w="100"/>
              <w:bottom w:type="dxa" w:w="60"/>
              <w:right w:type="dxa" w:w="100"/>
            </w:tcMar>
          </w:tcPr>
          <w:p>
            <w:pPr>
              <w:spacing w:after="40"/>
            </w:pPr>
            <w:r>
              <w:t xml:space="preserve">Inleveren en voorbereiden presentatie/verdediging</w:t>
            </w:r>
          </w:p>
        </w:tc>
        <w:tc>
          <w:tcPr>
            <w:tcW w:type="dxa" w:w="2500"/>
            <w:shd w:fill="F5F8FC" w:color="auto" w:val="clear"/>
            <w:tcMar>
              <w:top w:type="dxa" w:w="60"/>
              <w:left w:type="dxa" w:w="100"/>
              <w:bottom w:type="dxa" w:w="60"/>
              <w:right w:type="dxa" w:w="100"/>
            </w:tcMar>
          </w:tcPr>
          <w:p>
            <w:pPr>
              <w:spacing w:after="40"/>
            </w:pPr>
            <w:r>
              <w:t xml:space="preserve">Scriptie + presentatie</w:t>
            </w:r>
          </w:p>
        </w:tc>
      </w:tr>
    </w:tbl>
    <w:p>
      <w:pPr>
        <w:pStyle w:val="Heading1"/>
      </w:pPr>
      <w:r>
        <w:t xml:space="preserve">9. Randvoorwaarden en betrokkenen</w:t>
      </w:r>
    </w:p>
    <w:p>
      <w:pPr>
        <w:pStyle w:val="ListParagraph"/>
        <w:numPr>
          <w:ilvl w:val="0"/>
          <w:numId w:val="2"/>
        </w:numPr>
        <w:spacing w:after="60"/>
      </w:pPr>
      <w:r>
        <w:t xml:space="preserve">Akkoord van leidinggevende/opdrachtgever: </w:t>
      </w:r>
      <w:r>
        <w:rPr>
          <w:i/>
          <w:iCs/>
          <w:color w:val="9C5700"/>
          <w:shd w:fill="FFF2CC" w:color="auto" w:val="clear"/>
        </w:rPr>
        <w:t xml:space="preserve">[naam]</w:t>
      </w:r>
      <w:r>
        <w:t xml:space="preserve">.</w:t>
      </w:r>
    </w:p>
    <w:p>
      <w:pPr>
        <w:pStyle w:val="ListParagraph"/>
        <w:numPr>
          <w:ilvl w:val="0"/>
          <w:numId w:val="2"/>
        </w:numPr>
        <w:spacing w:after="60"/>
      </w:pPr>
      <w:r>
        <w:t xml:space="preserve">Toegang tot incidentregistratie, schademeldingen en de RI&amp;E.</w:t>
      </w:r>
    </w:p>
    <w:p>
      <w:pPr>
        <w:pStyle w:val="ListParagraph"/>
        <w:numPr>
          <w:ilvl w:val="0"/>
          <w:numId w:val="2"/>
        </w:numPr>
        <w:spacing w:after="60"/>
      </w:pPr>
      <w:r>
        <w:t xml:space="preserve">Tijd voor meerijden (2–3 diensten) en voor een werksessie van circa 2 uur met chauffeurs en beladers.</w:t>
      </w:r>
    </w:p>
    <w:p>
      <w:pPr>
        <w:pStyle w:val="ListParagraph"/>
        <w:numPr>
          <w:ilvl w:val="0"/>
          <w:numId w:val="2"/>
        </w:numPr>
        <w:spacing w:after="60"/>
      </w:pPr>
      <w:r>
        <w:t xml:space="preserve">Contact met: preventiemedewerker, BHV-coördinator, veiligheidsadviseur gevaarlijke stoffen (ADR), wagenparkbeheer, eventueel de regionale brandweer.</w:t>
      </w:r>
    </w:p>
    <w:p>
      <w:pPr>
        <w:pStyle w:val="ListParagraph"/>
        <w:numPr>
          <w:ilvl w:val="0"/>
          <w:numId w:val="2"/>
        </w:numPr>
        <w:spacing w:after="60"/>
      </w:pPr>
      <w:r>
        <w:t xml:space="preserve">Contact met 2–3 collega-inzamelaars voor de benchmark.</w:t>
      </w:r>
    </w:p>
    <w:p>
      <w:pPr>
        <w:pStyle w:val="Heading1"/>
      </w:pPr>
      <w:r>
        <w:t xml:space="preserve">10. Checklist: wat moet jij nog aanleveren?</w:t>
      </w:r>
    </w:p>
    <w:p>
      <w:pPr>
        <w:pStyle w:val="ListParagraph"/>
        <w:numPr>
          <w:ilvl w:val="0"/>
          <w:numId w:val="4"/>
        </w:numPr>
        <w:spacing w:after="60"/>
      </w:pPr>
      <w:r>
        <w:t xml:space="preserve">Naam en korte beschrijving van de organisatie (gemeentelijk/commercieel, aantal voertuigen, aantal medewerkers in de buitendienst).</w:t>
      </w:r>
    </w:p>
    <w:p>
      <w:pPr>
        <w:pStyle w:val="ListParagraph"/>
        <w:numPr>
          <w:ilvl w:val="0"/>
          <w:numId w:val="4"/>
        </w:numPr>
        <w:spacing w:after="60"/>
      </w:pPr>
      <w:r>
        <w:t xml:space="preserve">Incidentcijfers: aantal branden/rookontwikkelingen in de laatste 3 jaar.</w:t>
      </w:r>
    </w:p>
    <w:p>
      <w:pPr>
        <w:pStyle w:val="ListParagraph"/>
        <w:numPr>
          <w:ilvl w:val="0"/>
          <w:numId w:val="4"/>
        </w:numPr>
        <w:spacing w:after="60"/>
      </w:pPr>
      <w:r>
        <w:t xml:space="preserve">Hoe het risico nu in de RI&amp;E staat (of dat het ontbreekt).</w:t>
      </w:r>
    </w:p>
    <w:p>
      <w:pPr>
        <w:pStyle w:val="ListParagraph"/>
        <w:numPr>
          <w:ilvl w:val="0"/>
          <w:numId w:val="4"/>
        </w:numPr>
        <w:spacing w:after="60"/>
      </w:pPr>
      <w:r>
        <w:t xml:space="preserve">Bestaande instructies of noodprocedures voor brand in de laadbak.</w:t>
      </w:r>
    </w:p>
    <w:p>
      <w:pPr>
        <w:pStyle w:val="ListParagraph"/>
        <w:numPr>
          <w:ilvl w:val="0"/>
          <w:numId w:val="4"/>
        </w:numPr>
        <w:spacing w:after="60"/>
      </w:pPr>
      <w:r>
        <w:t xml:space="preserve">De eisen en het format van je opleiding (woordenaantal, verplichte onderdelen, inleverdatum).</w:t>
      </w:r>
    </w:p>
    <w:p>
      <w:pPr>
        <w:pStyle w:val="Heading1"/>
      </w:pPr>
      <w:r>
        <w:t xml:space="preserve">Bronnen (startpunt)</w:t>
      </w:r>
    </w:p>
    <w:p>
      <w:pPr>
        <w:spacing w:after="120"/>
      </w:pPr>
      <w:r>
        <w:t xml:space="preserve">Stichting OPEN (2025). Jaaroverzicht Taskforce Batterijbranden. stichting-open.org</w:t>
      </w:r>
    </w:p>
    <w:p>
      <w:pPr>
        <w:spacing w:after="120"/>
      </w:pPr>
      <w:r>
        <w:t xml:space="preserve">NVRD (z.d.). Dossier Afvalbranden. nvrd.nl/dossier/afvalbranden</w:t>
      </w:r>
    </w:p>
    <w:p>
      <w:pPr>
        <w:spacing w:after="120"/>
      </w:pPr>
      <w:r>
        <w:t xml:space="preserve">Attero (z.d.). Lithium-ion batterijen in toenemende mate oorzaak van afvalbranden. attero.nl</w:t>
      </w:r>
    </w:p>
    <w:p>
      <w:pPr>
        <w:spacing w:after="120"/>
      </w:pPr>
      <w:r>
        <w:t xml:space="preserve">NOS (2023). Jaarlijks tientallen branden in vuilniswagens door batterijen en accu’s. nos.nl</w:t>
      </w:r>
    </w:p>
    <w:p>
      <w:pPr>
        <w:spacing w:after="120"/>
      </w:pPr>
      <w:r>
        <w:t xml:space="preserve">Publicatiereeks Gevaarlijke Stoffen (2023). PGS 37-2: Opslag van lithiumhoudende energiedragers. publicatiereeksgevaarlijkestoffen.nl</w:t>
      </w:r>
    </w:p>
    <w:p>
      <w:pPr>
        <w:spacing w:after="120"/>
      </w:pPr>
      <w:r>
        <w:t xml:space="preserve">Arbeidsomstandighedenwet en Arbeidsomstandighedenbesluit. wetten.overheid.nl</w:t>
      </w:r>
    </w:p>
    <w:p>
      <w:pPr>
        <w:spacing w:after="120"/>
      </w:pPr>
      <w:r>
        <w:t xml:space="preserve">UNECE. ADR – Europese overeenkomst betreffende het internationaal vervoer van gevaarlijke goederen over de weg (actuele editie).</w:t>
      </w:r>
    </w:p>
    <w:p>
      <w:pPr>
        <w:spacing w:after="120"/>
      </w:pPr>
      <w:r>
        <w:rPr>
          <w:i/>
          <w:iCs/>
          <w:color w:val="9C5700"/>
          <w:shd w:fill="FFF2CC" w:color="auto" w:val="clear"/>
        </w:rPr>
        <w:t xml:space="preserve">[Aanvullen met vakliteratuur uit je opleiding, bijv. over bow-tie en Fine &amp; Kinney]</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Scriptievoorstel MVK – batterijbranden   |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DV %1."/>
      <w:lvlJc w:val="left"/>
      <w:pPr>
        <w:ind w:left="900" w:hanging="72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9"/>
      <w:sz w:val="32"/>
      <w:szCs w:val="32"/>
    </w:rPr>
  </w:style>
  <w:style w:type="paragraph" w:styleId="Heading2">
    <w:name w:val="Heading 2"/>
    <w:basedOn w:val="Normal"/>
    <w:next w:val="Normal"/>
    <w:qFormat/>
    <w:pPr>
      <w:spacing w:after="120" w:before="240"/>
    </w:pPr>
    <w:rPr>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Scriptievoorstel – Batterijbranden in de inzamelketen</dc:title>
  <dc:creator>Scriptievoorstel MVK</dc:creator>
  <cp:lastModifiedBy>Un-named</cp:lastModifiedBy>
  <cp:revision>1</cp:revision>
  <dcterms:created xsi:type="dcterms:W3CDTF">2026-09-27T18:16:20.079Z</dcterms:created>
  <dcterms:modified xsi:type="dcterms:W3CDTF">2026-09-27T18:16:20.079Z</dcterms:modified>
</cp:coreProperties>
</file>

<file path=docProps/custom.xml><?xml version="1.0" encoding="utf-8"?>
<Properties xmlns="http://schemas.openxmlformats.org/officeDocument/2006/custom-properties" xmlns:vt="http://schemas.openxmlformats.org/officeDocument/2006/docPropsVTypes"/>
</file>