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The update function allows the vertex to modify its edges, perform calculations, and send messages to other vertexes.</w:t>
      </w:r>
      <w:r>
        <w:t xml:space="preserve"> </w:t>
      </w:r>
      <w:r>
        <w:t xml:space="preserve"> </w:t>
      </w:r>
      <w:r>
        <w:t xml:space="preserve">The computation occurs in iterations called supersteps, with each iteration calling every vertex’s update function theoretically in parallel. Even if there are fewer threads than vertexes, all of the update functions behave as if they are called in parallel.</w:t>
      </w:r>
      <w:r>
        <w:t xml:space="preserve"> </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w:t>
      </w:r>
      <w:r>
        <w:t xml:space="preserve"> </w:t>
      </w:r>
      <w:r>
        <w:t xml:space="preserve"> </w:t>
      </w:r>
      <w:r>
        <w:t xml:space="preserve">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competitively with commercial software like Graphlab. The exact cause of the problem is still unknown, but seems to be related to the way that ZHT deals with data locality between nodes. ZHT’s hashing function does not distinguish between local data on one node and remote data on a network node in the cluster.</w:t>
      </w:r>
      <w:r>
        <w:t xml:space="preserve"> </w:t>
      </w:r>
      <w:r>
        <w:t xml:space="preserve"> </w:t>
      </w:r>
      <w:r>
        <w:t xml:space="preserve">This could lead to data being inefficiently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w:t>
      </w:r>
      <w:r>
        <w:t xml:space="preserve"> </w:t>
      </w:r>
      <w:r>
        <w:t xml:space="preserve"> </w:t>
      </w:r>
      <w:r>
        <w:t xml:space="preserve">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ation"/>
      <w:bookmarkEnd w:id="25"/>
      <w:r>
        <w:t xml:space="preserve">Evaluation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7a0d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cf5f6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