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must also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also be run with the newly written partitioning algorithm. Results from load balancing tests with other partitioning algorithms such as the Dynamic Cut-Cluster Algorithm, EvoPartition Algorithm, and the Kernighan–Lin Algorithm will be used for comparison.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r>
        <w:br w:type="textWrapping"/>
      </w:r>
      <w:r>
        <w:t xml:space="preserve">We will test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07f2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f075d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