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300" w:before="300" w:lineRule="auto"/>
        <w:jc w:val="left"/>
        <w:rPr/>
      </w:pPr>
      <w:bookmarkStart w:colFirst="0" w:colLast="0" w:name="_r2a5ijx42nhv" w:id="0"/>
      <w:bookmarkEnd w:id="0"/>
      <w:r w:rsidDel="00000000" w:rsidR="00000000" w:rsidRPr="00000000">
        <w:rPr>
          <w:rtl w:val="0"/>
        </w:rPr>
        <w:t xml:space="preserve">POINTS OF SIGNIFICANCE: STRATEGIES FOR HANDLING THE CLASS IMBALANCE PROBLEM</w:t>
      </w:r>
    </w:p>
    <w:p w:rsidR="00000000" w:rsidDel="00000000" w:rsidP="00000000" w:rsidRDefault="00000000" w:rsidRPr="00000000" w14:paraId="00000002">
      <w:pPr>
        <w:spacing w:after="400" w:before="400" w:lineRule="auto"/>
        <w:rPr/>
      </w:pPr>
      <w:r w:rsidDel="00000000" w:rsidR="00000000" w:rsidRPr="00000000">
        <w:rPr>
          <w:b w:val="1"/>
          <w:rtl w:val="0"/>
        </w:rPr>
        <w:t xml:space="preserve">Fadel M. Megahed, Ying-Ju (Tessa) Chen, Aly Megahed, Yuya Ong, ....</w:t>
      </w:r>
      <w:r w:rsidDel="00000000" w:rsidR="00000000" w:rsidRPr="00000000">
        <w:rPr>
          <w:rtl w:val="0"/>
        </w:rPr>
      </w:r>
    </w:p>
    <w:p w:rsidR="00000000" w:rsidDel="00000000" w:rsidP="00000000" w:rsidRDefault="00000000" w:rsidRPr="00000000" w14:paraId="00000003">
      <w:pPr>
        <w:spacing w:after="280" w:lineRule="auto"/>
        <w:rPr/>
      </w:pPr>
      <w:r w:rsidDel="00000000" w:rsidR="00000000" w:rsidRPr="00000000">
        <w:rPr>
          <w:rtl w:val="0"/>
        </w:rPr>
        <w:t xml:space="preserve">We previously discussed how logistic regression</w:t>
      </w:r>
      <w:hyperlink r:id="rId6">
        <w:r w:rsidDel="00000000" w:rsidR="00000000" w:rsidRPr="00000000">
          <w:rPr>
            <w:b w:val="0"/>
            <w:color w:val="000000"/>
            <w:u w:val="none"/>
            <w:vertAlign w:val="superscript"/>
            <w:rtl w:val="0"/>
          </w:rPr>
          <w:t xml:space="preserve">1</w:t>
        </w:r>
      </w:hyperlink>
      <w:r w:rsidDel="00000000" w:rsidR="00000000" w:rsidRPr="00000000">
        <w:rPr>
          <w:rtl w:val="0"/>
        </w:rPr>
        <w:t xml:space="preserve"> and machine learning methods</w:t>
      </w:r>
      <w:hyperlink r:id="rId7">
        <w:r w:rsidDel="00000000" w:rsidR="00000000" w:rsidRPr="00000000">
          <w:rPr>
            <w:b w:val="0"/>
            <w:color w:val="000000"/>
            <w:u w:val="none"/>
            <w:vertAlign w:val="superscript"/>
            <w:rtl w:val="0"/>
          </w:rPr>
          <w:t xml:space="preserve">2</w:t>
        </w:r>
      </w:hyperlink>
      <w:r w:rsidDel="00000000" w:rsidR="00000000" w:rsidRPr="00000000">
        <w:rPr>
          <w:rtl w:val="0"/>
        </w:rPr>
        <w:t xml:space="preserve"> can be used for predicting the class of an observation given a training dataset</w:t>
      </w:r>
      <w:hyperlink r:id="rId8">
        <w:r w:rsidDel="00000000" w:rsidR="00000000" w:rsidRPr="00000000">
          <w:rPr>
            <w:b w:val="0"/>
            <w:color w:val="000000"/>
            <w:u w:val="none"/>
            <w:vertAlign w:val="superscript"/>
            <w:rtl w:val="0"/>
          </w:rPr>
          <w:t xml:space="preserve">3</w:t>
        </w:r>
      </w:hyperlink>
      <w:r w:rsidDel="00000000" w:rsidR="00000000" w:rsidRPr="00000000">
        <w:rPr>
          <w:rtl w:val="0"/>
        </w:rPr>
        <w:t xml:space="preserve">. In this article, we will discuss how these classification methods can be trained in the presence of class imbalance,</w:t>
      </w:r>
      <w:r w:rsidDel="00000000" w:rsidR="00000000" w:rsidRPr="00000000">
        <w:rPr>
          <w:rtl w:val="0"/>
        </w:rPr>
        <w:t xml:space="preserve"> when at least one of the classes within the response is rare</w:t>
      </w:r>
      <w:r w:rsidDel="00000000" w:rsidR="00000000" w:rsidRPr="00000000">
        <w:rPr>
          <w:rtl w:val="0"/>
        </w:rPr>
        <w:t xml:space="preserve"> (e.g., 30-day mortality predictions post a bypass surgery). While we recently discussed testing for rare conditions</w:t>
      </w:r>
      <w:hyperlink r:id="rId9">
        <w:r w:rsidDel="00000000" w:rsidR="00000000" w:rsidRPr="00000000">
          <w:rPr>
            <w:b w:val="0"/>
            <w:color w:val="000000"/>
            <w:u w:val="none"/>
            <w:vertAlign w:val="superscript"/>
            <w:rtl w:val="0"/>
          </w:rPr>
          <w:t xml:space="preserve">4</w:t>
        </w:r>
      </w:hyperlink>
      <w:r w:rsidDel="00000000" w:rsidR="00000000" w:rsidRPr="00000000">
        <w:rPr>
          <w:rtl w:val="0"/>
        </w:rPr>
        <w:t xml:space="preserve">, the goal here is quite different since we are trying to predict the class of the response variable given a set of potential predictors (e.g., how to best predict the 30-day mortality rate given a set of patient’s medical history, biometrics, and/or socioeconomic characteristics).  In this article, we focus on binary classification.</w:t>
      </w:r>
      <w:r w:rsidDel="00000000" w:rsidR="00000000" w:rsidRPr="00000000">
        <w:rPr>
          <w:rtl w:val="0"/>
        </w:rPr>
      </w:r>
    </w:p>
    <w:p w:rsidR="00000000" w:rsidDel="00000000" w:rsidP="00000000" w:rsidRDefault="00000000" w:rsidRPr="00000000" w14:paraId="00000004">
      <w:pPr>
        <w:spacing w:after="280" w:lineRule="auto"/>
        <w:rPr/>
      </w:pPr>
      <w:r w:rsidDel="00000000" w:rsidR="00000000" w:rsidRPr="00000000">
        <w:rPr>
          <w:rtl w:val="0"/>
        </w:rPr>
        <w:t xml:space="preserve">In most statistical/machine learning software, the default settings utilize </w:t>
      </w:r>
      <w:r w:rsidDel="00000000" w:rsidR="00000000" w:rsidRPr="00000000">
        <w:rPr>
          <w:i w:val="1"/>
          <w:rtl w:val="0"/>
        </w:rPr>
        <w:t xml:space="preserve">accuracy</w:t>
      </w:r>
      <w:r w:rsidDel="00000000" w:rsidR="00000000" w:rsidRPr="00000000">
        <w:rPr>
          <w:rtl w:val="0"/>
        </w:rPr>
        <w:t xml:space="preserve">, which is defined as the number of correctly predicted classes divided by the number of observations in the training dataset, to train binary classifiers. In this article, we show the impact of class imbalance on logistic regression</w:t>
      </w:r>
      <w:hyperlink r:id="rId10">
        <w:r w:rsidDel="00000000" w:rsidR="00000000" w:rsidRPr="00000000">
          <w:rPr>
            <w:vertAlign w:val="superscript"/>
            <w:rtl w:val="0"/>
          </w:rPr>
          <w:t xml:space="preserve">1</w:t>
        </w:r>
      </w:hyperlink>
      <w:r w:rsidDel="00000000" w:rsidR="00000000" w:rsidRPr="00000000">
        <w:rPr>
          <w:rtl w:val="0"/>
        </w:rPr>
        <w:t xml:space="preserve"> and decision trees</w:t>
      </w:r>
      <w:hyperlink r:id="rId11">
        <w:r w:rsidDel="00000000" w:rsidR="00000000" w:rsidRPr="00000000">
          <w:rPr>
            <w:vertAlign w:val="superscript"/>
            <w:rtl w:val="0"/>
          </w:rPr>
          <w:t xml:space="preserve">5</w:t>
        </w:r>
      </w:hyperlink>
      <w:r w:rsidDel="00000000" w:rsidR="00000000" w:rsidRPr="00000000">
        <w:rPr>
          <w:rtl w:val="0"/>
        </w:rPr>
        <w:t xml:space="preserve">, which are two commonly used </w:t>
      </w:r>
      <w:r w:rsidDel="00000000" w:rsidR="00000000" w:rsidRPr="00000000">
        <w:rPr>
          <w:rtl w:val="0"/>
        </w:rPr>
        <w:t xml:space="preserve">statistical/machine learning techniques. </w:t>
      </w:r>
    </w:p>
    <w:p w:rsidR="00000000" w:rsidDel="00000000" w:rsidP="00000000" w:rsidRDefault="00000000" w:rsidRPr="00000000" w14:paraId="00000005">
      <w:pPr>
        <w:spacing w:after="280" w:lineRule="auto"/>
        <w:rPr/>
      </w:pPr>
      <w:r w:rsidDel="00000000" w:rsidR="00000000" w:rsidRPr="00000000">
        <w:rPr>
          <w:rtl w:val="0"/>
        </w:rPr>
        <w:t xml:space="preserve">Per our discussion in</w:t>
      </w:r>
      <w:hyperlink r:id="rId12">
        <w:r w:rsidDel="00000000" w:rsidR="00000000" w:rsidRPr="00000000">
          <w:rPr>
            <w:b w:val="0"/>
            <w:color w:val="000000"/>
            <w:u w:val="none"/>
            <w:vertAlign w:val="superscript"/>
            <w:rtl w:val="0"/>
          </w:rPr>
          <w:t xml:space="preserve">1</w:t>
        </w:r>
      </w:hyperlink>
      <w:r w:rsidDel="00000000" w:rsidR="00000000" w:rsidRPr="00000000">
        <w:rPr>
          <w:rtl w:val="0"/>
        </w:rPr>
        <w:t xml:space="preserve">, </w:t>
      </w:r>
      <w:r w:rsidDel="00000000" w:rsidR="00000000" w:rsidRPr="00000000">
        <w:rPr>
          <w:color w:val="222222"/>
          <w:highlight w:val="white"/>
          <w:rtl w:val="0"/>
        </w:rPr>
        <w:t xml:space="preserve">logistic regression requires numerical optimization to find the optimal estimates of the regression parameters through a maximum likelihood estimation (MLE) procedure. When the outcomes are highly imbalanced, the MLE of the logistic regression model suffers from small-sample bias</w:t>
      </w:r>
      <w:hyperlink r:id="rId13">
        <w:r w:rsidDel="00000000" w:rsidR="00000000" w:rsidRPr="00000000">
          <w:rPr>
            <w:b w:val="0"/>
            <w:color w:val="000000"/>
            <w:highlight w:val="white"/>
            <w:u w:val="none"/>
            <w:vertAlign w:val="superscript"/>
            <w:rtl w:val="0"/>
          </w:rPr>
          <w:t xml:space="preserve">6</w:t>
        </w:r>
      </w:hyperlink>
      <w:r w:rsidDel="00000000" w:rsidR="00000000" w:rsidRPr="00000000">
        <w:rPr>
          <w:rtl w:val="0"/>
        </w:rPr>
        <w:t xml:space="preserve">, where the logistic regression model would underestimate the probability of observing the rare event. The proportion of observations in the rare/minority class influences the degree of bias. </w:t>
      </w:r>
      <w:r w:rsidDel="00000000" w:rsidR="00000000" w:rsidRPr="00000000">
        <w:rPr>
          <w:rtl w:val="0"/>
        </w:rPr>
        <w:t xml:space="preserve">For example, let us consider a hypothetical study of bypass surgery predictions where the patients’ survival rate is 95%. In such a case, we can obtain a naive model (with no predictors) that is 95% accurate by completely ignoring the 5% cases where the patients did not survive (i.e., predicting all patients to survive irrespective of their medical history and demographics).</w:t>
      </w:r>
      <w:r w:rsidDel="00000000" w:rsidR="00000000" w:rsidRPr="00000000">
        <w:rPr>
          <w:rtl w:val="0"/>
        </w:rPr>
        <w:t xml:space="preserve"> Hence, training/optimizing a logistic regression model using accuracy is not suitable when the outcomes are imbalanced.</w:t>
      </w:r>
      <w:r w:rsidDel="00000000" w:rsidR="00000000" w:rsidRPr="00000000">
        <w:rPr>
          <w:rtl w:val="0"/>
        </w:rPr>
      </w:r>
    </w:p>
    <w:p w:rsidR="00000000" w:rsidDel="00000000" w:rsidP="00000000" w:rsidRDefault="00000000" w:rsidRPr="00000000" w14:paraId="00000006">
      <w:pPr>
        <w:spacing w:after="280" w:lineRule="auto"/>
        <w:rPr/>
      </w:pPr>
      <w:r w:rsidDel="00000000" w:rsidR="00000000" w:rsidRPr="00000000">
        <w:rPr>
          <w:rtl w:val="0"/>
        </w:rPr>
        <w:t xml:space="preserve">Similarly, a decision tree is built by partitioning the predictor variables to increase the class separation at each split</w:t>
      </w:r>
      <w:hyperlink r:id="rId14">
        <w:r w:rsidDel="00000000" w:rsidR="00000000" w:rsidRPr="00000000">
          <w:rPr>
            <w:b w:val="0"/>
            <w:color w:val="000000"/>
            <w:u w:val="none"/>
            <w:vertAlign w:val="superscript"/>
            <w:rtl w:val="0"/>
          </w:rPr>
          <w:t xml:space="preserve">5</w:t>
        </w:r>
      </w:hyperlink>
      <w:r w:rsidDel="00000000" w:rsidR="00000000" w:rsidRPr="00000000">
        <w:rPr>
          <w:rtl w:val="0"/>
        </w:rPr>
        <w:t xml:space="preserve">. When the dataset is imbalanced and accuracy is used as the optimization metric, the decision tree would put more weights on the observations in the majority class and the influence of the minority class is underestimated. Hence, the use of accuracy to train the decision tree is not suitable when the outcomes are highly imbalanced.</w:t>
      </w:r>
    </w:p>
    <w:p w:rsidR="00000000" w:rsidDel="00000000" w:rsidP="00000000" w:rsidRDefault="00000000" w:rsidRPr="00000000" w14:paraId="00000007">
      <w:pPr>
        <w:spacing w:after="280" w:lineRule="auto"/>
        <w:rPr/>
      </w:pPr>
      <w:r w:rsidDel="00000000" w:rsidR="00000000" w:rsidRPr="00000000">
        <w:rPr>
          <w:rtl w:val="0"/>
        </w:rPr>
        <w:t xml:space="preserve">In practice, there are </w:t>
      </w:r>
      <w:r w:rsidDel="00000000" w:rsidR="00000000" w:rsidRPr="00000000">
        <w:rPr>
          <w:u w:val="single"/>
          <w:rtl w:val="0"/>
        </w:rPr>
        <w:t xml:space="preserve">four</w:t>
      </w:r>
      <w:r w:rsidDel="00000000" w:rsidR="00000000" w:rsidRPr="00000000">
        <w:rPr>
          <w:rtl w:val="0"/>
        </w:rPr>
        <w:t xml:space="preserve"> commonly used strategies to handle the class imbalance problem: (a) collecting more data on the rare/minority class; (b) using subsampling methods to transform the imbalanced training set into a (more) balanced dataset; (c) utilizing a suitable performance metric, e.g., the area under the precision recall curve (AUPRC); and (d) combining the use of subsampling with the choice of an appropriate metric. If one can include additional observations containing the minority class, this should be done prior to modeling. However, in many medical applications, this strategy may be time prohibitive and hence, will not be discussed further.</w:t>
      </w:r>
    </w:p>
    <w:p w:rsidR="00000000" w:rsidDel="00000000" w:rsidP="00000000" w:rsidRDefault="00000000" w:rsidRPr="00000000" w14:paraId="00000008">
      <w:pPr>
        <w:spacing w:after="280" w:lineRule="auto"/>
        <w:rPr/>
      </w:pPr>
      <w:r w:rsidDel="00000000" w:rsidR="00000000" w:rsidRPr="00000000">
        <w:rPr>
          <w:rtl w:val="0"/>
        </w:rPr>
        <w:t xml:space="preserve">Subsampling, a.k.a. resampling, can be divided into under-sampling, over-sampling and hybrid techniques (Fig. 1). Under-sampling randomly removes observations from the majority class in the original training set. Over-sampling includes additional observations from the minority class through random sampling with replacement. </w:t>
      </w:r>
    </w:p>
    <w:p w:rsidR="00000000" w:rsidDel="00000000" w:rsidP="00000000" w:rsidRDefault="00000000" w:rsidRPr="00000000" w14:paraId="00000009">
      <w:pPr>
        <w:spacing w:after="280" w:lineRule="auto"/>
        <w:rPr/>
      </w:pPr>
      <w:r w:rsidDel="00000000" w:rsidR="00000000" w:rsidRPr="00000000">
        <w:rPr>
          <w:rtl w:val="0"/>
        </w:rPr>
        <w:t xml:space="preserve">Subsampling methods present some limitations. Under-sampling can result in the loss of valuable information or cause some categorical predictors to be invariant. On the other hand, over-sampling can result in overfitting which can be assessed by comparing the predictive performance of the model based on the training and holdout datasets. Hybrid methods can mitigate the limitations by synthesizing new observations for the minority class and in some instances under-sampling the majority class.</w:t>
      </w:r>
    </w:p>
    <w:p w:rsidR="00000000" w:rsidDel="00000000" w:rsidP="00000000" w:rsidRDefault="00000000" w:rsidRPr="00000000" w14:paraId="0000000A">
      <w:pPr>
        <w:spacing w:after="280" w:lineRule="auto"/>
        <w:rPr>
          <w:b w:val="1"/>
          <w:sz w:val="24"/>
          <w:szCs w:val="24"/>
        </w:rPr>
      </w:pPr>
      <w:r w:rsidDel="00000000" w:rsidR="00000000" w:rsidRPr="00000000">
        <w:rPr>
          <w:rtl w:val="0"/>
        </w:rPr>
        <w:t xml:space="preserve">Another technique for handling the class imbalance problem is to select an appropriate performance metric. In a previous article</w:t>
      </w:r>
      <w:hyperlink r:id="rId15">
        <w:r w:rsidDel="00000000" w:rsidR="00000000" w:rsidRPr="00000000">
          <w:rPr>
            <w:b w:val="0"/>
            <w:color w:val="000000"/>
            <w:u w:val="none"/>
            <w:vertAlign w:val="superscript"/>
            <w:rtl w:val="0"/>
          </w:rPr>
          <w:t xml:space="preserve">3</w:t>
        </w:r>
      </w:hyperlink>
      <w:r w:rsidDel="00000000" w:rsidR="00000000" w:rsidRPr="00000000">
        <w:rPr>
          <w:rtl w:val="0"/>
        </w:rPr>
        <w:t xml:space="preserve">, we showed how the area under the precision curve (AUPRC) can be more suitable than accuracy and the area under the receiving operating characteristic curve (AUROC) for class imbalance problems.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jc w:val="left"/>
              <w:rPr>
                <w:b w:val="1"/>
                <w:sz w:val="22"/>
                <w:szCs w:val="22"/>
              </w:rPr>
            </w:pPr>
            <w:r w:rsidDel="00000000" w:rsidR="00000000" w:rsidRPr="00000000">
              <w:rPr>
                <w:b w:val="1"/>
                <w:sz w:val="22"/>
                <w:szCs w:val="22"/>
                <w:rtl w:val="0"/>
              </w:rPr>
              <w:t xml:space="preserve">Figure 1: The use of subsampling methods to obtain a balanced dataset, with an illustrative example in the bottom left of each panel. </w:t>
            </w:r>
          </w:p>
          <w:p w:rsidR="00000000" w:rsidDel="00000000" w:rsidP="00000000" w:rsidRDefault="00000000" w:rsidRPr="00000000" w14:paraId="0000000C">
            <w:pPr>
              <w:rPr/>
            </w:pPr>
            <w:r w:rsidDel="00000000" w:rsidR="00000000" w:rsidRPr="00000000">
              <w:rPr/>
              <w:drawing>
                <wp:inline distB="114300" distT="114300" distL="114300" distR="114300">
                  <wp:extent cx="5810250" cy="38735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8102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Rule="auto"/>
              <w:rPr>
                <w:b w:val="1"/>
                <w:sz w:val="22"/>
                <w:szCs w:val="22"/>
              </w:rPr>
            </w:pPr>
            <w:r w:rsidDel="00000000" w:rsidR="00000000" w:rsidRPr="00000000">
              <w:rPr>
                <w:b w:val="1"/>
                <w:sz w:val="22"/>
                <w:szCs w:val="22"/>
                <w:rtl w:val="0"/>
              </w:rPr>
              <w:t xml:space="preserve">(a)</w:t>
            </w:r>
            <w:r w:rsidDel="00000000" w:rsidR="00000000" w:rsidRPr="00000000">
              <w:rPr>
                <w:sz w:val="22"/>
                <w:szCs w:val="22"/>
                <w:rtl w:val="0"/>
              </w:rPr>
              <w:t xml:space="preserve"> The original dataset containing 35 positive outcomes and 180 negative outcomes. </w:t>
            </w:r>
            <w:r w:rsidDel="00000000" w:rsidR="00000000" w:rsidRPr="00000000">
              <w:rPr>
                <w:b w:val="1"/>
                <w:sz w:val="22"/>
                <w:szCs w:val="22"/>
                <w:rtl w:val="0"/>
              </w:rPr>
              <w:t xml:space="preserve">(b)</w:t>
            </w:r>
            <w:r w:rsidDel="00000000" w:rsidR="00000000" w:rsidRPr="00000000">
              <w:rPr>
                <w:sz w:val="22"/>
                <w:szCs w:val="22"/>
                <w:rtl w:val="0"/>
              </w:rPr>
              <w:t xml:space="preserve"> The under-sampled data, where 35 observations from the majority/negative class were randomly selected without replacement, resulting in 70 observations (35 positive and 35 negative) to be used in model training. </w:t>
            </w:r>
            <w:r w:rsidDel="00000000" w:rsidR="00000000" w:rsidRPr="00000000">
              <w:rPr>
                <w:b w:val="1"/>
                <w:sz w:val="22"/>
                <w:szCs w:val="22"/>
                <w:rtl w:val="0"/>
              </w:rPr>
              <w:t xml:space="preserve">(c)</w:t>
            </w:r>
            <w:r w:rsidDel="00000000" w:rsidR="00000000" w:rsidRPr="00000000">
              <w:rPr>
                <w:sz w:val="22"/>
                <w:szCs w:val="22"/>
                <w:rtl w:val="0"/>
              </w:rPr>
              <w:t xml:space="preserve"> The over-sampled data, where 145 additional observations were obtained using a sampling with replacement strategy on the minority/positive class. </w:t>
            </w:r>
            <w:r w:rsidDel="00000000" w:rsidR="00000000" w:rsidRPr="00000000">
              <w:rPr>
                <w:b w:val="1"/>
                <w:sz w:val="22"/>
                <w:szCs w:val="22"/>
                <w:rtl w:val="0"/>
              </w:rPr>
              <w:t xml:space="preserve">(d) </w:t>
            </w:r>
            <w:r w:rsidDel="00000000" w:rsidR="00000000" w:rsidRPr="00000000">
              <w:rPr>
                <w:sz w:val="22"/>
                <w:szCs w:val="22"/>
                <w:rtl w:val="0"/>
              </w:rPr>
              <w:t xml:space="preserve">The use of a hybrid method to generate synthetic examples to be added to the minority class.</w:t>
            </w:r>
            <w:r w:rsidDel="00000000" w:rsidR="00000000" w:rsidRPr="00000000">
              <w:rPr>
                <w:rtl w:val="0"/>
              </w:rPr>
            </w:r>
          </w:p>
        </w:tc>
      </w:tr>
    </w:tbl>
    <w:p w:rsidR="00000000" w:rsidDel="00000000" w:rsidP="00000000" w:rsidRDefault="00000000" w:rsidRPr="00000000" w14:paraId="0000000E">
      <w:pPr>
        <w:spacing w:after="280" w:before="280" w:lineRule="auto"/>
        <w:rPr/>
      </w:pPr>
      <w:r w:rsidDel="00000000" w:rsidR="00000000" w:rsidRPr="00000000">
        <w:rPr>
          <w:rtl w:val="0"/>
        </w:rPr>
        <w:t xml:space="preserve">The subsampling and performance metric selection strategies do not have to be mutually exclusive since they can be combined together. Consider a dataset where the imbalance ratio,</w:t>
      </w:r>
      <m:oMath>
        <m:f>
          <m:fPr>
            <m:ctrlPr>
              <w:rPr/>
            </m:ctrlPr>
          </m:fPr>
          <m:num>
            <m:r>
              <w:rPr/>
              <m:t xml:space="preserve">number of observations in majority class</m:t>
            </m:r>
          </m:num>
          <m:den>
            <m:r>
              <w:rPr/>
              <m:t xml:space="preserve">number of observations in minority class</m:t>
            </m:r>
          </m:den>
        </m:f>
      </m:oMath>
      <w:r w:rsidDel="00000000" w:rsidR="00000000" w:rsidRPr="00000000">
        <w:rPr>
          <w:rtl w:val="0"/>
        </w:rPr>
        <w:t xml:space="preserve">, in its binary response is larger than </w:t>
      </w:r>
      <w:r w:rsidDel="00000000" w:rsidR="00000000" w:rsidRPr="00000000">
        <w:rPr>
          <w:rtl w:val="0"/>
        </w:rPr>
        <w:t xml:space="preserve">100</w:t>
      </w:r>
      <w:r w:rsidDel="00000000" w:rsidR="00000000" w:rsidRPr="00000000">
        <w:rPr>
          <w:rtl w:val="0"/>
        </w:rPr>
        <w:t xml:space="preserve">. In this case, a modeler may choose to subsample to partially balance the data, i.e. the imbalance ratio remains larger than one, in order to not lose so much information (under-sampling) or create too many repetitive/synthetic observations (over-sampling). To account for the remaining imbalance in the dataset, the modeler can now use the AUPRC to train their statistical/machine learning model(s).</w:t>
      </w:r>
      <w:r w:rsidDel="00000000" w:rsidR="00000000" w:rsidRPr="00000000">
        <w:rPr>
          <w:rtl w:val="0"/>
        </w:rPr>
      </w:r>
    </w:p>
    <w:p w:rsidR="00000000" w:rsidDel="00000000" w:rsidP="00000000" w:rsidRDefault="00000000" w:rsidRPr="00000000" w14:paraId="0000000F">
      <w:pPr>
        <w:spacing w:after="280" w:lineRule="auto"/>
        <w:rPr/>
      </w:pPr>
      <w:r w:rsidDel="00000000" w:rsidR="00000000" w:rsidRPr="00000000">
        <w:rPr>
          <w:rtl w:val="0"/>
        </w:rPr>
        <w:t xml:space="preserve">To provide some data-driven guidance on strategy choice, we examined 58 imbalanced binary classification datasets from the KEEL repository</w:t>
      </w:r>
      <w:hyperlink r:id="rId17">
        <w:r w:rsidDel="00000000" w:rsidR="00000000" w:rsidRPr="00000000">
          <w:rPr>
            <w:b w:val="0"/>
            <w:color w:val="000000"/>
            <w:u w:val="none"/>
            <w:vertAlign w:val="superscript"/>
            <w:rtl w:val="0"/>
          </w:rPr>
          <w:t xml:space="preserve">7</w:t>
        </w:r>
      </w:hyperlink>
      <w:r w:rsidDel="00000000" w:rsidR="00000000" w:rsidRPr="00000000">
        <w:rPr>
          <w:rtl w:val="0"/>
        </w:rPr>
        <w:t xml:space="preserve">. Our criteria for selecting these datasets were: the minority class being the “positive” category, having at least 25 observations for the minority class, and the number of predictors provided in the metatable to match those observed in the raw data. We provide an overview for these 58 datasets in </w:t>
      </w:r>
      <w:r w:rsidDel="00000000" w:rsidR="00000000" w:rsidRPr="00000000">
        <w:rPr>
          <w:rtl w:val="0"/>
        </w:rPr>
        <w:t xml:space="preserve">Table 1, where we have grouped the datasets by their imbalance ratio</w:t>
      </w:r>
      <w:r w:rsidDel="00000000" w:rsidR="00000000" w:rsidRPr="00000000">
        <w:rPr>
          <w:rtl w:val="0"/>
        </w:rPr>
        <w:t xml:space="preserve">. In our numerical experiments, we considered 2 classifiers (logistic regression and the CART implementation for decision trees), 4 subsampling strategies (none, under</w:t>
      </w:r>
      <w:r w:rsidDel="00000000" w:rsidR="00000000" w:rsidRPr="00000000">
        <w:rPr>
          <w:rtl w:val="0"/>
        </w:rPr>
        <w:t xml:space="preserve">, </w:t>
      </w:r>
      <w:r w:rsidDel="00000000" w:rsidR="00000000" w:rsidRPr="00000000">
        <w:rPr>
          <w:rtl w:val="0"/>
        </w:rPr>
        <w:t xml:space="preserve">over, and SMOTE), and 3 performance metrics (accuracy, AUROC, and AUPRC) which were used to train/optimize the classifiers.  </w:t>
      </w:r>
    </w:p>
    <w:p w:rsidR="00000000" w:rsidDel="00000000" w:rsidP="00000000" w:rsidRDefault="00000000" w:rsidRPr="00000000" w14:paraId="00000010">
      <w:pPr>
        <w:spacing w:after="0" w:lineRule="auto"/>
        <w:jc w:val="left"/>
        <w:rPr>
          <w:b w:val="1"/>
          <w:sz w:val="22"/>
          <w:szCs w:val="22"/>
        </w:rPr>
      </w:pPr>
      <w:r w:rsidDel="00000000" w:rsidR="00000000" w:rsidRPr="00000000">
        <w:rPr>
          <w:b w:val="1"/>
          <w:sz w:val="22"/>
          <w:szCs w:val="22"/>
          <w:rtl w:val="0"/>
        </w:rPr>
        <w:t xml:space="preserve">Table 1: A summary of the 58 imbalanced datasets for binary classification examined in our analysis. The Interquartile Ranges (IQR) are in parentheses.</w:t>
      </w:r>
    </w:p>
    <w:tbl>
      <w:tblPr>
        <w:tblStyle w:val="Table2"/>
        <w:tblW w:w="9555.0" w:type="dxa"/>
        <w:jc w:val="left"/>
        <w:tblInd w:w="-3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095"/>
        <w:gridCol w:w="1335"/>
        <w:gridCol w:w="1590"/>
        <w:gridCol w:w="1335"/>
        <w:gridCol w:w="1290"/>
        <w:gridCol w:w="1380"/>
        <w:tblGridChange w:id="0">
          <w:tblGrid>
            <w:gridCol w:w="1530"/>
            <w:gridCol w:w="1095"/>
            <w:gridCol w:w="1335"/>
            <w:gridCol w:w="1590"/>
            <w:gridCol w:w="1335"/>
            <w:gridCol w:w="1290"/>
            <w:gridCol w:w="1380"/>
          </w:tblGrid>
        </w:tblGridChange>
      </w:tblGrid>
      <w:tr>
        <w:trPr>
          <w:trHeight w:val="28.799999999999997" w:hRule="atLeast"/>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1">
            <w:pPr>
              <w:spacing w:before="0" w:line="240" w:lineRule="auto"/>
              <w:jc w:val="center"/>
              <w:rPr>
                <w:b w:val="1"/>
                <w:sz w:val="20"/>
                <w:szCs w:val="20"/>
              </w:rPr>
            </w:pPr>
            <w:r w:rsidDel="00000000" w:rsidR="00000000" w:rsidRPr="00000000">
              <w:rPr>
                <w:b w:val="1"/>
                <w:sz w:val="20"/>
                <w:szCs w:val="20"/>
                <w:rtl w:val="0"/>
              </w:rPr>
              <w:t xml:space="preserve">Imbalance Ratio (IR) </w:t>
            </w:r>
          </w:p>
          <w:p w:rsidR="00000000" w:rsidDel="00000000" w:rsidP="00000000" w:rsidRDefault="00000000" w:rsidRPr="00000000" w14:paraId="00000012">
            <w:pPr>
              <w:spacing w:before="0" w:line="240" w:lineRule="auto"/>
              <w:jc w:val="center"/>
              <w:rPr>
                <w:b w:val="1"/>
                <w:sz w:val="20"/>
                <w:szCs w:val="20"/>
              </w:rPr>
            </w:pPr>
            <w:r w:rsidDel="00000000" w:rsidR="00000000" w:rsidRPr="00000000">
              <w:rPr>
                <w:b w:val="1"/>
                <w:sz w:val="20"/>
                <w:szCs w:val="20"/>
                <w:rtl w:val="0"/>
              </w:rPr>
              <w:t xml:space="preserve">Category</w:t>
            </w:r>
          </w:p>
        </w:tc>
        <w:tc>
          <w:tcPr>
            <w:tcBorders>
              <w:top w:color="000000" w:space="0" w:sz="8" w:val="single"/>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3">
            <w:pPr>
              <w:spacing w:before="0" w:line="240" w:lineRule="auto"/>
              <w:jc w:val="center"/>
              <w:rPr>
                <w:b w:val="1"/>
                <w:sz w:val="20"/>
                <w:szCs w:val="20"/>
              </w:rPr>
            </w:pPr>
            <w:r w:rsidDel="00000000" w:rsidR="00000000" w:rsidRPr="00000000">
              <w:rPr>
                <w:b w:val="1"/>
                <w:sz w:val="20"/>
                <w:szCs w:val="20"/>
                <w:rtl w:val="0"/>
              </w:rPr>
              <w:t xml:space="preserve"># Datasets</w:t>
            </w:r>
          </w:p>
        </w:tc>
        <w:tc>
          <w:tcPr>
            <w:tcBorders>
              <w:top w:color="000000" w:space="0" w:sz="8" w:val="single"/>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4">
            <w:pPr>
              <w:spacing w:before="0" w:line="240" w:lineRule="auto"/>
              <w:jc w:val="center"/>
              <w:rPr>
                <w:b w:val="1"/>
                <w:sz w:val="20"/>
                <w:szCs w:val="20"/>
              </w:rPr>
            </w:pPr>
            <w:r w:rsidDel="00000000" w:rsidR="00000000" w:rsidRPr="00000000">
              <w:rPr>
                <w:b w:val="1"/>
                <w:sz w:val="20"/>
                <w:szCs w:val="20"/>
                <w:rtl w:val="0"/>
              </w:rPr>
              <w:t xml:space="preserve">Median</w:t>
            </w:r>
            <w:r w:rsidDel="00000000" w:rsidR="00000000" w:rsidRPr="00000000">
              <w:rPr>
                <w:b w:val="1"/>
                <w:sz w:val="20"/>
                <w:szCs w:val="20"/>
                <w:rtl w:val="0"/>
              </w:rPr>
              <w:t xml:space="preserve"> IR</w:t>
            </w:r>
          </w:p>
        </w:tc>
        <w:tc>
          <w:tcPr>
            <w:tcBorders>
              <w:top w:color="000000" w:space="0" w:sz="8" w:val="single"/>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5">
            <w:pPr>
              <w:spacing w:before="0" w:line="240" w:lineRule="auto"/>
              <w:jc w:val="center"/>
              <w:rPr>
                <w:b w:val="1"/>
                <w:sz w:val="20"/>
                <w:szCs w:val="20"/>
              </w:rPr>
            </w:pPr>
            <w:r w:rsidDel="00000000" w:rsidR="00000000" w:rsidRPr="00000000">
              <w:rPr>
                <w:b w:val="1"/>
                <w:sz w:val="20"/>
                <w:szCs w:val="20"/>
                <w:rtl w:val="0"/>
              </w:rPr>
              <w:t xml:space="preserve">Median</w:t>
            </w:r>
            <w:r w:rsidDel="00000000" w:rsidR="00000000" w:rsidRPr="00000000">
              <w:rPr>
                <w:b w:val="1"/>
                <w:sz w:val="20"/>
                <w:szCs w:val="20"/>
                <w:rtl w:val="0"/>
              </w:rPr>
              <w:t xml:space="preserve"> # observations</w:t>
            </w:r>
          </w:p>
        </w:tc>
        <w:tc>
          <w:tcPr>
            <w:tcBorders>
              <w:top w:color="000000" w:space="0" w:sz="8" w:val="single"/>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6">
            <w:pPr>
              <w:spacing w:before="0" w:line="240" w:lineRule="auto"/>
              <w:jc w:val="center"/>
              <w:rPr>
                <w:b w:val="1"/>
                <w:sz w:val="20"/>
                <w:szCs w:val="20"/>
              </w:rPr>
            </w:pPr>
            <w:r w:rsidDel="00000000" w:rsidR="00000000" w:rsidRPr="00000000">
              <w:rPr>
                <w:b w:val="1"/>
                <w:sz w:val="20"/>
                <w:szCs w:val="20"/>
                <w:rtl w:val="0"/>
              </w:rPr>
              <w:t xml:space="preserve">Median</w:t>
            </w:r>
            <w:r w:rsidDel="00000000" w:rsidR="00000000" w:rsidRPr="00000000">
              <w:rPr>
                <w:b w:val="1"/>
                <w:sz w:val="20"/>
                <w:szCs w:val="20"/>
                <w:rtl w:val="0"/>
              </w:rPr>
              <w:t xml:space="preserve"> # predictors</w:t>
            </w:r>
          </w:p>
        </w:tc>
        <w:tc>
          <w:tcPr>
            <w:tcBorders>
              <w:top w:color="000000" w:space="0" w:sz="8" w:val="single"/>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7">
            <w:pPr>
              <w:spacing w:before="0" w:line="240" w:lineRule="auto"/>
              <w:jc w:val="center"/>
              <w:rPr>
                <w:b w:val="1"/>
                <w:sz w:val="20"/>
                <w:szCs w:val="20"/>
              </w:rPr>
            </w:pPr>
            <w:r w:rsidDel="00000000" w:rsidR="00000000" w:rsidRPr="00000000">
              <w:rPr>
                <w:b w:val="1"/>
                <w:sz w:val="20"/>
                <w:szCs w:val="20"/>
                <w:rtl w:val="0"/>
              </w:rPr>
              <w:t xml:space="preserve">Median</w:t>
            </w:r>
            <w:r w:rsidDel="00000000" w:rsidR="00000000" w:rsidRPr="00000000">
              <w:rPr>
                <w:b w:val="1"/>
                <w:sz w:val="20"/>
                <w:szCs w:val="20"/>
                <w:rtl w:val="0"/>
              </w:rPr>
              <w:t xml:space="preserve"> # numeric predictors</w:t>
            </w:r>
          </w:p>
        </w:tc>
        <w:tc>
          <w:tcPr>
            <w:tcBorders>
              <w:top w:color="000000" w:space="0" w:sz="8" w:val="single"/>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8">
            <w:pPr>
              <w:spacing w:before="0" w:line="240" w:lineRule="auto"/>
              <w:jc w:val="center"/>
              <w:rPr>
                <w:b w:val="1"/>
                <w:sz w:val="20"/>
                <w:szCs w:val="20"/>
              </w:rPr>
            </w:pPr>
            <w:r w:rsidDel="00000000" w:rsidR="00000000" w:rsidRPr="00000000">
              <w:rPr>
                <w:b w:val="1"/>
                <w:sz w:val="20"/>
                <w:szCs w:val="20"/>
                <w:rtl w:val="0"/>
              </w:rPr>
              <w:t xml:space="preserve">Median</w:t>
            </w:r>
            <w:r w:rsidDel="00000000" w:rsidR="00000000" w:rsidRPr="00000000">
              <w:rPr>
                <w:b w:val="1"/>
                <w:sz w:val="20"/>
                <w:szCs w:val="20"/>
                <w:rtl w:val="0"/>
              </w:rPr>
              <w:t xml:space="preserve"> # categorical predictors</w:t>
            </w:r>
          </w:p>
        </w:tc>
      </w:tr>
      <w:tr>
        <w:trPr>
          <w:trHeight w:val="28.799999999999997" w:hRule="atLeast"/>
        </w:trPr>
        <w:tc>
          <w:tcPr>
            <w:tcBorders>
              <w:top w:color="000000" w:space="0" w:sz="0" w:val="nil"/>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19">
            <w:pPr>
              <w:widowControl w:val="0"/>
              <w:spacing w:before="0" w:line="240" w:lineRule="auto"/>
              <w:jc w:val="left"/>
              <w:rPr>
                <w:sz w:val="20"/>
                <w:szCs w:val="20"/>
              </w:rPr>
            </w:pPr>
            <w:r w:rsidDel="00000000" w:rsidR="00000000" w:rsidRPr="00000000">
              <w:rPr>
                <w:sz w:val="20"/>
                <w:szCs w:val="20"/>
                <w:rtl w:val="0"/>
              </w:rPr>
              <w:t xml:space="preserve">    </w:t>
            </w:r>
            <m:oMath>
              <m:r>
                <w:rPr>
                  <w:sz w:val="20"/>
                  <w:szCs w:val="20"/>
                </w:rPr>
                <m:t xml:space="preserve">1.82</m:t>
              </m:r>
              <m:r>
                <w:rPr>
                  <w:sz w:val="20"/>
                  <w:szCs w:val="20"/>
                </w:rPr>
                <m:t>≤</m:t>
              </m:r>
              <m:r>
                <w:rPr>
                  <w:i w:val="1"/>
                  <w:sz w:val="20"/>
                  <w:szCs w:val="20"/>
                </w:rPr>
                <m:t xml:space="preserve">IR</m:t>
              </m:r>
              <m:r>
                <w:rPr>
                  <w:i w:val="1"/>
                  <w:sz w:val="20"/>
                  <w:szCs w:val="20"/>
                </w:rPr>
                <m:t>≤</m:t>
              </m:r>
              <m:r>
                <w:rPr>
                  <w:sz w:val="20"/>
                  <w:szCs w:val="20"/>
                </w:rPr>
                <m:t xml:space="preserve">5</m:t>
              </m:r>
            </m:oMath>
            <w:r w:rsidDel="00000000" w:rsidR="00000000" w:rsidRPr="00000000">
              <w:rPr>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1A">
            <w:pPr>
              <w:widowControl w:val="0"/>
              <w:spacing w:before="0" w:line="240" w:lineRule="auto"/>
              <w:jc w:val="center"/>
              <w:rPr>
                <w:sz w:val="20"/>
                <w:szCs w:val="20"/>
              </w:rPr>
            </w:pPr>
            <w:r w:rsidDel="00000000" w:rsidR="00000000" w:rsidRPr="00000000">
              <w:rPr>
                <w:sz w:val="20"/>
                <w:szCs w:val="20"/>
                <w:rtl w:val="0"/>
              </w:rPr>
              <w:t xml:space="preserve">13</w:t>
            </w:r>
          </w:p>
        </w:tc>
        <w:tc>
          <w:tcPr>
            <w:tcBorders>
              <w:top w:color="000000" w:space="0" w:sz="8" w:val="single"/>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B">
            <w:pPr>
              <w:widowControl w:val="0"/>
              <w:spacing w:before="0" w:line="240" w:lineRule="auto"/>
              <w:jc w:val="right"/>
              <w:rPr>
                <w:sz w:val="20"/>
                <w:szCs w:val="20"/>
              </w:rPr>
            </w:pPr>
            <w:r w:rsidDel="00000000" w:rsidR="00000000" w:rsidRPr="00000000">
              <w:rPr>
                <w:sz w:val="20"/>
                <w:szCs w:val="20"/>
                <w:rtl w:val="0"/>
              </w:rPr>
              <w:t xml:space="preserve">2.78 (1.0)</w:t>
            </w:r>
          </w:p>
        </w:tc>
        <w:tc>
          <w:tcPr>
            <w:tcBorders>
              <w:top w:color="000000" w:space="0" w:sz="8" w:val="single"/>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C">
            <w:pPr>
              <w:widowControl w:val="0"/>
              <w:spacing w:before="0" w:line="240" w:lineRule="auto"/>
              <w:jc w:val="right"/>
              <w:rPr>
                <w:sz w:val="20"/>
                <w:szCs w:val="20"/>
              </w:rPr>
            </w:pPr>
            <w:r w:rsidDel="00000000" w:rsidR="00000000" w:rsidRPr="00000000">
              <w:rPr>
                <w:sz w:val="20"/>
                <w:szCs w:val="20"/>
                <w:rtl w:val="0"/>
              </w:rPr>
              <w:t xml:space="preserve">683 (632.0)</w:t>
            </w:r>
          </w:p>
        </w:tc>
        <w:tc>
          <w:tcPr>
            <w:tcBorders>
              <w:top w:color="000000" w:space="0" w:sz="8" w:val="single"/>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D">
            <w:pPr>
              <w:widowControl w:val="0"/>
              <w:spacing w:before="0" w:line="240" w:lineRule="auto"/>
              <w:jc w:val="right"/>
              <w:rPr>
                <w:sz w:val="20"/>
                <w:szCs w:val="20"/>
              </w:rPr>
            </w:pPr>
            <w:r w:rsidDel="00000000" w:rsidR="00000000" w:rsidRPr="00000000">
              <w:rPr>
                <w:sz w:val="20"/>
                <w:szCs w:val="20"/>
                <w:rtl w:val="0"/>
              </w:rPr>
              <w:t xml:space="preserve"> 9.0 (10.0)</w:t>
            </w:r>
          </w:p>
        </w:tc>
        <w:tc>
          <w:tcPr>
            <w:tcBorders>
              <w:top w:color="000000" w:space="0" w:sz="8" w:val="single"/>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E">
            <w:pPr>
              <w:widowControl w:val="0"/>
              <w:spacing w:line="240" w:lineRule="auto"/>
              <w:jc w:val="right"/>
              <w:rPr>
                <w:sz w:val="20"/>
                <w:szCs w:val="20"/>
              </w:rPr>
            </w:pPr>
            <w:r w:rsidDel="00000000" w:rsidR="00000000" w:rsidRPr="00000000">
              <w:rPr>
                <w:sz w:val="20"/>
                <w:szCs w:val="20"/>
                <w:rtl w:val="0"/>
              </w:rPr>
              <w:t xml:space="preserve"> 9.0 (10.0)</w:t>
            </w:r>
          </w:p>
        </w:tc>
        <w:tc>
          <w:tcPr>
            <w:tcBorders>
              <w:top w:color="000000" w:space="0" w:sz="8" w:val="single"/>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1F">
            <w:pPr>
              <w:widowControl w:val="0"/>
              <w:spacing w:before="0" w:line="240" w:lineRule="auto"/>
              <w:jc w:val="right"/>
              <w:rPr>
                <w:sz w:val="20"/>
                <w:szCs w:val="20"/>
              </w:rPr>
            </w:pPr>
            <w:r w:rsidDel="00000000" w:rsidR="00000000" w:rsidRPr="00000000">
              <w:rPr>
                <w:sz w:val="20"/>
                <w:szCs w:val="20"/>
                <w:rtl w:val="0"/>
              </w:rPr>
              <w:t xml:space="preserve">0 (0)</w:t>
            </w:r>
          </w:p>
        </w:tc>
      </w:tr>
      <w:tr>
        <w:trPr>
          <w:trHeight w:val="28.799999999999997" w:hRule="atLeast"/>
        </w:trPr>
        <w:tc>
          <w:tcPr>
            <w:tcBorders>
              <w:top w:color="000000" w:space="0" w:sz="0" w:val="nil"/>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20">
            <w:pPr>
              <w:widowControl w:val="0"/>
              <w:spacing w:after="0" w:before="0" w:line="240" w:lineRule="auto"/>
              <w:jc w:val="right"/>
              <w:rPr>
                <w:sz w:val="20"/>
                <w:szCs w:val="20"/>
              </w:rPr>
            </w:pPr>
            <m:oMath>
              <m:r>
                <w:rPr>
                  <w:sz w:val="20"/>
                  <w:szCs w:val="20"/>
                </w:rPr>
                <m:t xml:space="preserve">5&lt;IR</m:t>
              </m:r>
              <m:r>
                <w:rPr>
                  <w:sz w:val="20"/>
                  <w:szCs w:val="20"/>
                </w:rPr>
                <m:t>≤</m:t>
              </m:r>
              <m:r>
                <w:rPr>
                  <w:sz w:val="20"/>
                  <w:szCs w:val="20"/>
                </w:rPr>
                <m:t xml:space="preserve">10</m:t>
              </m:r>
            </m:oMath>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21">
            <w:pPr>
              <w:widowControl w:val="0"/>
              <w:spacing w:before="0" w:line="240" w:lineRule="auto"/>
              <w:jc w:val="cente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22">
            <w:pPr>
              <w:widowControl w:val="0"/>
              <w:spacing w:before="0" w:line="240" w:lineRule="auto"/>
              <w:jc w:val="right"/>
              <w:rPr>
                <w:sz w:val="20"/>
                <w:szCs w:val="20"/>
              </w:rPr>
            </w:pPr>
            <w:r w:rsidDel="00000000" w:rsidR="00000000" w:rsidRPr="00000000">
              <w:rPr>
                <w:sz w:val="20"/>
                <w:szCs w:val="20"/>
                <w:rtl w:val="0"/>
              </w:rPr>
              <w:t xml:space="preserve">8.79 (2.9)</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23">
            <w:pPr>
              <w:widowControl w:val="0"/>
              <w:spacing w:before="0" w:line="240" w:lineRule="auto"/>
              <w:jc w:val="right"/>
              <w:rPr>
                <w:sz w:val="20"/>
                <w:szCs w:val="20"/>
              </w:rPr>
            </w:pPr>
            <w:r w:rsidDel="00000000" w:rsidR="00000000" w:rsidRPr="00000000">
              <w:rPr>
                <w:sz w:val="20"/>
                <w:szCs w:val="20"/>
                <w:rtl w:val="0"/>
              </w:rPr>
              <w:t xml:space="preserve">514 (707.5)</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24">
            <w:pPr>
              <w:widowControl w:val="0"/>
              <w:spacing w:before="0" w:line="240" w:lineRule="auto"/>
              <w:jc w:val="right"/>
              <w:rPr>
                <w:sz w:val="20"/>
                <w:szCs w:val="20"/>
              </w:rPr>
            </w:pPr>
            <w:r w:rsidDel="00000000" w:rsidR="00000000" w:rsidRPr="00000000">
              <w:rPr>
                <w:sz w:val="20"/>
                <w:szCs w:val="20"/>
                <w:rtl w:val="0"/>
              </w:rPr>
              <w:t xml:space="preserve">8.0 (1.5)</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25">
            <w:pPr>
              <w:widowControl w:val="0"/>
              <w:spacing w:line="240" w:lineRule="auto"/>
              <w:jc w:val="right"/>
              <w:rPr>
                <w:sz w:val="20"/>
                <w:szCs w:val="20"/>
              </w:rPr>
            </w:pPr>
            <w:r w:rsidDel="00000000" w:rsidR="00000000" w:rsidRPr="00000000">
              <w:rPr>
                <w:sz w:val="20"/>
                <w:szCs w:val="20"/>
                <w:rtl w:val="0"/>
              </w:rPr>
              <w:t xml:space="preserve">8.0 (1.5)</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26">
            <w:pPr>
              <w:widowControl w:val="0"/>
              <w:spacing w:before="0" w:line="240" w:lineRule="auto"/>
              <w:jc w:val="right"/>
              <w:rPr>
                <w:sz w:val="20"/>
                <w:szCs w:val="20"/>
              </w:rPr>
            </w:pPr>
            <w:r w:rsidDel="00000000" w:rsidR="00000000" w:rsidRPr="00000000">
              <w:rPr>
                <w:sz w:val="20"/>
                <w:szCs w:val="20"/>
                <w:rtl w:val="0"/>
              </w:rPr>
              <w:t xml:space="preserve">0 (0)</w:t>
            </w:r>
          </w:p>
        </w:tc>
      </w:tr>
      <w:tr>
        <w:trPr>
          <w:trHeight w:val="28.799999999999997" w:hRule="atLeast"/>
        </w:trPr>
        <w:tc>
          <w:tcPr>
            <w:tcBorders>
              <w:top w:color="000000" w:space="0" w:sz="0" w:val="nil"/>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27">
            <w:pPr>
              <w:widowControl w:val="0"/>
              <w:spacing w:after="0" w:before="0" w:line="240" w:lineRule="auto"/>
              <w:jc w:val="right"/>
              <w:rPr>
                <w:sz w:val="20"/>
                <w:szCs w:val="20"/>
              </w:rPr>
            </w:pPr>
            <m:oMath>
              <m:r>
                <w:rPr>
                  <w:sz w:val="20"/>
                  <w:szCs w:val="20"/>
                </w:rPr>
                <m:t xml:space="preserve">10&lt;IR</m:t>
              </m:r>
              <m:r>
                <w:rPr>
                  <w:sz w:val="20"/>
                  <w:szCs w:val="20"/>
                </w:rPr>
                <m:t>≤</m:t>
              </m:r>
              <m:r>
                <w:rPr>
                  <w:sz w:val="20"/>
                  <w:szCs w:val="20"/>
                </w:rPr>
                <m:t xml:space="preserve">30</m:t>
              </m:r>
            </m:oMath>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28">
            <w:pPr>
              <w:widowControl w:val="0"/>
              <w:spacing w:before="0" w:line="240" w:lineRule="auto"/>
              <w:jc w:val="cente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29">
            <w:pPr>
              <w:widowControl w:val="0"/>
              <w:spacing w:before="0" w:line="240" w:lineRule="auto"/>
              <w:jc w:val="right"/>
              <w:rPr>
                <w:sz w:val="20"/>
                <w:szCs w:val="20"/>
              </w:rPr>
            </w:pPr>
            <w:r w:rsidDel="00000000" w:rsidR="00000000" w:rsidRPr="00000000">
              <w:rPr>
                <w:sz w:val="20"/>
                <w:szCs w:val="20"/>
                <w:rtl w:val="0"/>
              </w:rPr>
              <w:t xml:space="preserve">22.10 (13.1)</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2A">
            <w:pPr>
              <w:widowControl w:val="0"/>
              <w:spacing w:before="0" w:line="240" w:lineRule="auto"/>
              <w:jc w:val="right"/>
              <w:rPr>
                <w:sz w:val="20"/>
                <w:szCs w:val="20"/>
              </w:rPr>
            </w:pPr>
            <w:r w:rsidDel="00000000" w:rsidR="00000000" w:rsidRPr="00000000">
              <w:rPr>
                <w:sz w:val="20"/>
                <w:szCs w:val="20"/>
                <w:rtl w:val="0"/>
              </w:rPr>
              <w:t xml:space="preserve">1484 (1262.5)</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2B">
            <w:pPr>
              <w:widowControl w:val="0"/>
              <w:spacing w:before="0" w:line="240" w:lineRule="auto"/>
              <w:jc w:val="right"/>
              <w:rPr>
                <w:sz w:val="20"/>
                <w:szCs w:val="20"/>
              </w:rPr>
            </w:pPr>
            <w:r w:rsidDel="00000000" w:rsidR="00000000" w:rsidRPr="00000000">
              <w:rPr>
                <w:sz w:val="20"/>
                <w:szCs w:val="20"/>
                <w:rtl w:val="0"/>
              </w:rPr>
              <w:t xml:space="preserve">7.0 (2.5)</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2C">
            <w:pPr>
              <w:widowControl w:val="0"/>
              <w:spacing w:line="240" w:lineRule="auto"/>
              <w:jc w:val="right"/>
              <w:rPr>
                <w:sz w:val="20"/>
                <w:szCs w:val="20"/>
              </w:rPr>
            </w:pPr>
            <w:r w:rsidDel="00000000" w:rsidR="00000000" w:rsidRPr="00000000">
              <w:rPr>
                <w:sz w:val="20"/>
                <w:szCs w:val="20"/>
                <w:rtl w:val="0"/>
              </w:rPr>
              <w:t xml:space="preserve">7.0 (4.0)</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2D">
            <w:pPr>
              <w:widowControl w:val="0"/>
              <w:spacing w:before="0" w:line="240" w:lineRule="auto"/>
              <w:jc w:val="right"/>
              <w:rPr>
                <w:sz w:val="20"/>
                <w:szCs w:val="20"/>
              </w:rPr>
            </w:pPr>
            <w:r w:rsidDel="00000000" w:rsidR="00000000" w:rsidRPr="00000000">
              <w:rPr>
                <w:sz w:val="20"/>
                <w:szCs w:val="20"/>
                <w:rtl w:val="0"/>
              </w:rPr>
              <w:t xml:space="preserve">0 (3)</w:t>
            </w:r>
          </w:p>
        </w:tc>
      </w:tr>
      <w:tr>
        <w:trPr>
          <w:trHeight w:val="28.799999999999997" w:hRule="atLeast"/>
        </w:trPr>
        <w:tc>
          <w:tcPr>
            <w:tcBorders>
              <w:top w:color="000000" w:space="0" w:sz="0" w:val="nil"/>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2E">
            <w:pPr>
              <w:widowControl w:val="0"/>
              <w:spacing w:before="0" w:line="240" w:lineRule="auto"/>
              <w:jc w:val="right"/>
              <w:rPr>
                <w:sz w:val="20"/>
                <w:szCs w:val="20"/>
              </w:rPr>
            </w:pPr>
            <m:oMath>
              <m:r>
                <w:rPr>
                  <w:sz w:val="20"/>
                  <w:szCs w:val="20"/>
                </w:rPr>
                <m:t xml:space="preserve">30&lt;</m:t>
              </m:r>
              <m:r>
                <w:rPr>
                  <w:sz w:val="20"/>
                  <w:szCs w:val="20"/>
                </w:rPr>
                <m:t xml:space="preserve">IR</m:t>
              </m:r>
              <m:r>
                <w:rPr>
                  <w:sz w:val="20"/>
                  <w:szCs w:val="20"/>
                </w:rPr>
                <m:t>≤</m:t>
              </m:r>
              <m:r>
                <w:rPr>
                  <w:sz w:val="20"/>
                  <w:szCs w:val="20"/>
                </w:rPr>
                <m:t xml:space="preserve">129.44</m:t>
              </m:r>
            </m:oMath>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2F">
            <w:pPr>
              <w:widowControl w:val="0"/>
              <w:spacing w:before="0" w:line="240" w:lineRule="auto"/>
              <w:jc w:val="cente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30">
            <w:pPr>
              <w:widowControl w:val="0"/>
              <w:spacing w:before="0" w:line="240" w:lineRule="auto"/>
              <w:jc w:val="right"/>
              <w:rPr>
                <w:sz w:val="20"/>
                <w:szCs w:val="20"/>
              </w:rPr>
            </w:pPr>
            <w:r w:rsidDel="00000000" w:rsidR="00000000" w:rsidRPr="00000000">
              <w:rPr>
                <w:sz w:val="20"/>
                <w:szCs w:val="20"/>
                <w:rtl w:val="0"/>
              </w:rPr>
              <w:t xml:space="preserve">58.28 (32.7)</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31">
            <w:pPr>
              <w:widowControl w:val="0"/>
              <w:spacing w:before="0" w:line="240" w:lineRule="auto"/>
              <w:jc w:val="right"/>
              <w:rPr>
                <w:sz w:val="20"/>
                <w:szCs w:val="20"/>
              </w:rPr>
            </w:pPr>
            <w:r w:rsidDel="00000000" w:rsidR="00000000" w:rsidRPr="00000000">
              <w:rPr>
                <w:sz w:val="20"/>
                <w:szCs w:val="20"/>
                <w:rtl w:val="0"/>
              </w:rPr>
              <w:t xml:space="preserve">1916 (801.5)</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32">
            <w:pPr>
              <w:widowControl w:val="0"/>
              <w:spacing w:before="0" w:line="240" w:lineRule="auto"/>
              <w:jc w:val="right"/>
              <w:rPr>
                <w:sz w:val="20"/>
                <w:szCs w:val="20"/>
              </w:rPr>
            </w:pPr>
            <w:r w:rsidDel="00000000" w:rsidR="00000000" w:rsidRPr="00000000">
              <w:rPr>
                <w:sz w:val="20"/>
                <w:szCs w:val="20"/>
                <w:rtl w:val="0"/>
              </w:rPr>
              <w:t xml:space="preserve">8.0 (1.5)</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33">
            <w:pPr>
              <w:widowControl w:val="0"/>
              <w:spacing w:line="240" w:lineRule="auto"/>
              <w:jc w:val="right"/>
              <w:rPr>
                <w:sz w:val="20"/>
                <w:szCs w:val="20"/>
              </w:rPr>
            </w:pPr>
            <w:r w:rsidDel="00000000" w:rsidR="00000000" w:rsidRPr="00000000">
              <w:rPr>
                <w:sz w:val="20"/>
                <w:szCs w:val="20"/>
                <w:rtl w:val="0"/>
              </w:rPr>
              <w:t xml:space="preserve">8.0 (2.5)</w:t>
            </w:r>
          </w:p>
        </w:tc>
        <w:tc>
          <w:tcPr>
            <w:tcBorders>
              <w:top w:color="000000" w:space="0" w:sz="0" w:val="nil"/>
              <w:left w:color="000000" w:space="0" w:sz="0" w:val="nil"/>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34">
            <w:pPr>
              <w:widowControl w:val="0"/>
              <w:spacing w:before="0" w:line="240" w:lineRule="auto"/>
              <w:jc w:val="right"/>
              <w:rPr>
                <w:sz w:val="20"/>
                <w:szCs w:val="20"/>
              </w:rPr>
            </w:pPr>
            <w:r w:rsidDel="00000000" w:rsidR="00000000" w:rsidRPr="00000000">
              <w:rPr>
                <w:sz w:val="20"/>
                <w:szCs w:val="20"/>
                <w:rtl w:val="0"/>
              </w:rPr>
              <w:t xml:space="preserve">1 (2)</w:t>
            </w:r>
          </w:p>
        </w:tc>
      </w:tr>
    </w:tbl>
    <w:p w:rsidR="00000000" w:rsidDel="00000000" w:rsidP="00000000" w:rsidRDefault="00000000" w:rsidRPr="00000000" w14:paraId="00000035">
      <w:pPr>
        <w:spacing w:after="280" w:before="280" w:lineRule="auto"/>
        <w:rPr>
          <w:b w:val="1"/>
          <w:sz w:val="24"/>
          <w:szCs w:val="24"/>
        </w:rPr>
      </w:pPr>
      <w:r w:rsidDel="00000000" w:rsidR="00000000" w:rsidRPr="00000000">
        <w:rPr>
          <w:rtl w:val="0"/>
        </w:rPr>
        <w:t xml:space="preserve">The impact of the three general strategies for handling imbalanced datasets (subsampling, metric, and both) on four representative KEEL datasets (one from each imbalance ratio category) is depicted in Fig. 2. Based on the sensitivity values (how well we detect the true positives), there are two important observations to be made. First, the no subsampling strategy (NULL) generally results in lower sensitivity values when compared to the under-sampling and SMOTE strategies, irrespective of the metric used to optimize the dataset and the dataset’s imbalance ratio. Second, the larger the imbalance ratio, the no subsampling approach converges to a naive model, where the sensitivity values tend to 0 (i.e., no positive outcomes are detected). Note that our two findings may not generalize to other datasets.  </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6">
            <w:pPr>
              <w:jc w:val="left"/>
              <w:rPr/>
            </w:pPr>
            <w:r w:rsidDel="00000000" w:rsidR="00000000" w:rsidRPr="00000000">
              <w:rPr>
                <w:b w:val="1"/>
                <w:sz w:val="22"/>
                <w:szCs w:val="22"/>
                <w:rtl w:val="0"/>
              </w:rPr>
              <w:t xml:space="preserve">Figure 2: 5-fold cross validation results from the decision tree model applied to four randomly selected datasets from each imbalance ratio category. The columns capture the choice of metric to train the decision tree and the rows capture our four subsampling strategies (with no subsampling in the top row). </w:t>
            </w: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5810250" cy="3873500"/>
                  <wp:effectExtent b="0" l="0" r="0" t="0"/>
                  <wp:docPr id="2" name="image1.gif"/>
                  <a:graphic>
                    <a:graphicData uri="http://schemas.openxmlformats.org/drawingml/2006/picture">
                      <pic:pic>
                        <pic:nvPicPr>
                          <pic:cNvPr id="0" name="image1.gif"/>
                          <pic:cNvPicPr preferRelativeResize="0"/>
                        </pic:nvPicPr>
                        <pic:blipFill>
                          <a:blip r:embed="rId18"/>
                          <a:srcRect b="0" l="0" r="0" t="0"/>
                          <a:stretch>
                            <a:fillRect/>
                          </a:stretch>
                        </pic:blipFill>
                        <pic:spPr>
                          <a:xfrm>
                            <a:off x="0" y="0"/>
                            <a:ext cx="58102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b w:val="1"/>
                <w:sz w:val="22"/>
                <w:szCs w:val="22"/>
              </w:rPr>
            </w:pPr>
            <w:r w:rsidDel="00000000" w:rsidR="00000000" w:rsidRPr="00000000">
              <w:rPr>
                <w:b w:val="1"/>
                <w:sz w:val="22"/>
                <w:szCs w:val="22"/>
                <w:rtl w:val="0"/>
              </w:rPr>
              <w:t xml:space="preserve">Note that the fig. is animated, changing every 10 seconds. </w:t>
            </w:r>
          </w:p>
        </w:tc>
      </w:tr>
    </w:tbl>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pPr>
      <w:r w:rsidDel="00000000" w:rsidR="00000000" w:rsidRPr="00000000">
        <w:rPr>
          <w:rtl w:val="0"/>
        </w:rPr>
        <w:t xml:space="preserve">We performed an ANOVA on sensitivity to capture how the imbalance ratio category, subsampling and method and their pairwise interactions impacted the results from all 58 datasets (Fig. 3). No subsampling (NULL) yielded the lowest sensitivity, with the average sensitivity values decreasing rapidly when the IR &gt; 10. On the other hand, under-sampling resulted in higher sensitivity results, on average, when compared to over-sampling and had significantly better results at the higher and lower ends of the imbalance ratio categories. For the examined datasets, logistic regression outperformed the decision tree model especially when the IR &gt; 10.</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4070.791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jc w:val="left"/>
              <w:rPr>
                <w:b w:val="1"/>
                <w:sz w:val="22"/>
                <w:szCs w:val="22"/>
              </w:rPr>
            </w:pPr>
            <w:r w:rsidDel="00000000" w:rsidR="00000000" w:rsidRPr="00000000">
              <w:rPr>
                <w:b w:val="1"/>
                <w:sz w:val="22"/>
                <w:szCs w:val="22"/>
                <w:rtl w:val="0"/>
              </w:rPr>
              <w:t xml:space="preserve">Figure 3: Result of Hierarchical Regression Analysis</w:t>
            </w:r>
          </w:p>
          <w:p w:rsidR="00000000" w:rsidDel="00000000" w:rsidP="00000000" w:rsidRDefault="00000000" w:rsidRPr="00000000" w14:paraId="0000003B">
            <w:pPr>
              <w:spacing w:line="240" w:lineRule="auto"/>
              <w:jc w:val="left"/>
              <w:rPr>
                <w:b w:val="1"/>
                <w:sz w:val="22"/>
                <w:szCs w:val="22"/>
              </w:rPr>
            </w:pPr>
            <w:r w:rsidDel="00000000" w:rsidR="00000000" w:rsidRPr="00000000">
              <w:rPr>
                <w:rtl w:val="0"/>
              </w:rPr>
            </w:r>
          </w:p>
          <w:tbl>
            <w:tblPr>
              <w:tblStyle w:val="Table5"/>
              <w:tblW w:w="9150.0" w:type="dxa"/>
              <w:jc w:val="left"/>
              <w:tblLayout w:type="fixed"/>
              <w:tblLook w:val="0600"/>
            </w:tblPr>
            <w:tblGrid>
              <w:gridCol w:w="3420"/>
              <w:gridCol w:w="2985"/>
              <w:gridCol w:w="2745"/>
              <w:tblGridChange w:id="0">
                <w:tblGrid>
                  <w:gridCol w:w="3420"/>
                  <w:gridCol w:w="2985"/>
                  <w:gridCol w:w="27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jc w:val="center"/>
                    <w:rPr>
                      <w:b w:val="1"/>
                      <w:sz w:val="22"/>
                      <w:szCs w:val="22"/>
                    </w:rPr>
                  </w:pPr>
                  <w:r w:rsidDel="00000000" w:rsidR="00000000" w:rsidRPr="00000000">
                    <w:rPr>
                      <w:sz w:val="20"/>
                      <w:szCs w:val="20"/>
                      <w:rtl w:val="0"/>
                    </w:rPr>
                    <w:t xml:space="preserve">(a) Type II Sum of Squares and Anova F-tests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jc w:val="center"/>
                    <w:rPr>
                      <w:b w:val="1"/>
                      <w:sz w:val="22"/>
                      <w:szCs w:val="22"/>
                    </w:rPr>
                  </w:pPr>
                  <w:r w:rsidDel="00000000" w:rsidR="00000000" w:rsidRPr="00000000">
                    <w:rPr>
                      <w:sz w:val="20"/>
                      <w:szCs w:val="20"/>
                      <w:rtl w:val="0"/>
                    </w:rPr>
                    <w:t xml:space="preserve">(b) Imbalance Ratio and Subsampling as Predictors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jc w:val="center"/>
                    <w:rPr>
                      <w:b w:val="1"/>
                      <w:sz w:val="22"/>
                      <w:szCs w:val="22"/>
                    </w:rPr>
                  </w:pPr>
                  <w:r w:rsidDel="00000000" w:rsidR="00000000" w:rsidRPr="00000000">
                    <w:rPr>
                      <w:sz w:val="20"/>
                      <w:szCs w:val="20"/>
                      <w:rtl w:val="0"/>
                    </w:rPr>
                    <w:t xml:space="preserve">(c) Imbalance Ratio and Method as Predictors</w:t>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jc w:val="left"/>
                    <w:rPr>
                      <w:b w:val="1"/>
                      <w:sz w:val="22"/>
                      <w:szCs w:val="22"/>
                    </w:rPr>
                  </w:pPr>
                  <w:r w:rsidDel="00000000" w:rsidR="00000000" w:rsidRPr="00000000">
                    <w:rPr/>
                    <w:drawing>
                      <wp:inline distB="114300" distT="114300" distL="114300" distR="114300">
                        <wp:extent cx="5667375" cy="15748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667375" cy="157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spacing w:line="240" w:lineRule="auto"/>
              <w:jc w:val="left"/>
              <w:rPr>
                <w:b w:val="1"/>
                <w:sz w:val="2"/>
                <w:szCs w:val="2"/>
              </w:rPr>
            </w:pPr>
            <w:r w:rsidDel="00000000" w:rsidR="00000000" w:rsidRPr="00000000">
              <w:rPr>
                <w:rtl w:val="0"/>
              </w:rPr>
            </w:r>
          </w:p>
        </w:tc>
      </w:tr>
    </w:tbl>
    <w:p w:rsidR="00000000" w:rsidDel="00000000" w:rsidP="00000000" w:rsidRDefault="00000000" w:rsidRPr="00000000" w14:paraId="00000043">
      <w:pPr>
        <w:spacing w:after="280" w:before="280" w:lineRule="auto"/>
        <w:rPr/>
      </w:pPr>
      <w:r w:rsidDel="00000000" w:rsidR="00000000" w:rsidRPr="00000000">
        <w:rPr>
          <w:rtl w:val="0"/>
        </w:rPr>
        <w:t xml:space="preserve">If we were to provide a general strategy based on our numeric experiments, we would recommend the use of down-sampling as an initial approach to training the machine learning model(s) of choice. If the results are acceptable, there may be no need for utilizing more advanced and computational subsampling methods. If the modelers chose to utilize their subsampling methodology to achieve a balanced dataset, the optimization metric will likely not be impactful. However, if the IR is not equal to 1, the choice of optimization metric can be important (see Fig. 2). </w:t>
      </w:r>
    </w:p>
    <w:p w:rsidR="00000000" w:rsidDel="00000000" w:rsidP="00000000" w:rsidRDefault="00000000" w:rsidRPr="00000000" w14:paraId="00000044">
      <w:pPr>
        <w:spacing w:after="120" w:before="400" w:lineRule="auto"/>
        <w:rPr>
          <w:b w:val="1"/>
        </w:rPr>
      </w:pPr>
      <w:r w:rsidDel="00000000" w:rsidR="00000000" w:rsidRPr="00000000">
        <w:rPr>
          <w:b w:val="1"/>
          <w:rtl w:val="0"/>
        </w:rPr>
        <w:t xml:space="preserve">Competing Interests</w:t>
      </w:r>
    </w:p>
    <w:p w:rsidR="00000000" w:rsidDel="00000000" w:rsidP="00000000" w:rsidRDefault="00000000" w:rsidRPr="00000000" w14:paraId="00000045">
      <w:pPr>
        <w:spacing w:after="280" w:before="0" w:lineRule="auto"/>
        <w:rPr/>
      </w:pPr>
      <w:r w:rsidDel="00000000" w:rsidR="00000000" w:rsidRPr="00000000">
        <w:rPr>
          <w:rtl w:val="0"/>
        </w:rPr>
        <w:t xml:space="preserve">The authors declare no competing interests.</w:t>
      </w:r>
    </w:p>
    <w:p w:rsidR="00000000" w:rsidDel="00000000" w:rsidP="00000000" w:rsidRDefault="00000000" w:rsidRPr="00000000" w14:paraId="00000046">
      <w:pPr>
        <w:spacing w:after="120" w:before="400" w:lineRule="auto"/>
        <w:rPr>
          <w:b w:val="1"/>
        </w:rPr>
      </w:pPr>
      <w:r w:rsidDel="00000000" w:rsidR="00000000" w:rsidRPr="00000000">
        <w:rPr>
          <w:b w:val="1"/>
          <w:rtl w:val="0"/>
        </w:rPr>
        <w:t xml:space="preserve">Supplementary Materials</w:t>
      </w:r>
    </w:p>
    <w:p w:rsidR="00000000" w:rsidDel="00000000" w:rsidP="00000000" w:rsidRDefault="00000000" w:rsidRPr="00000000" w14:paraId="00000047">
      <w:pPr>
        <w:spacing w:after="280" w:before="0" w:lineRule="auto"/>
        <w:rPr/>
      </w:pPr>
      <w:r w:rsidDel="00000000" w:rsidR="00000000" w:rsidRPr="00000000">
        <w:rPr>
          <w:rtl w:val="0"/>
        </w:rPr>
        <w:t xml:space="preserve">Our code can be accessed </w:t>
      </w:r>
      <w:r w:rsidDel="00000000" w:rsidR="00000000" w:rsidRPr="00000000">
        <w:rPr>
          <w:rtl w:val="0"/>
        </w:rPr>
        <w:t xml:space="preserve">at</w:t>
      </w:r>
      <w:r w:rsidDel="00000000" w:rsidR="00000000" w:rsidRPr="00000000">
        <w:rPr>
          <w:rtl w:val="0"/>
        </w:rPr>
        <w:t xml:space="preserve"> </w:t>
      </w:r>
      <w:hyperlink r:id="rId20">
        <w:r w:rsidDel="00000000" w:rsidR="00000000" w:rsidRPr="00000000">
          <w:rPr>
            <w:color w:val="1155cc"/>
            <w:u w:val="single"/>
            <w:rtl w:val="0"/>
          </w:rPr>
          <w:t xml:space="preserve">https://github.com/fmegahed/subsampling/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8">
      <w:pPr>
        <w:spacing w:after="0" w:lineRule="auto"/>
        <w:rPr>
          <w:b w:val="1"/>
        </w:rPr>
      </w:pPr>
      <w:r w:rsidDel="00000000" w:rsidR="00000000" w:rsidRPr="00000000">
        <w:rPr>
          <w:b w:val="1"/>
          <w:rtl w:val="0"/>
        </w:rPr>
        <w:t xml:space="preserve">References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400" w:right="0" w:hanging="400"/>
        <w:jc w:val="left"/>
        <w:rPr>
          <w:b w:val="0"/>
          <w:i w:val="0"/>
          <w:color w:val="000000"/>
          <w:sz w:val="20"/>
          <w:szCs w:val="20"/>
        </w:rPr>
      </w:pPr>
      <w:r w:rsidDel="00000000" w:rsidR="00000000" w:rsidRPr="00000000">
        <w:rPr>
          <w:b w:val="0"/>
          <w:i w:val="0"/>
          <w:color w:val="000000"/>
          <w:sz w:val="20"/>
          <w:szCs w:val="20"/>
          <w:rtl w:val="0"/>
        </w:rPr>
        <w:t xml:space="preserve">1.</w:t>
        <w:tab/>
      </w:r>
      <w:hyperlink r:id="rId21">
        <w:r w:rsidDel="00000000" w:rsidR="00000000" w:rsidRPr="00000000">
          <w:rPr>
            <w:b w:val="0"/>
            <w:i w:val="0"/>
            <w:color w:val="000000"/>
            <w:sz w:val="20"/>
            <w:szCs w:val="20"/>
            <w:u w:val="none"/>
            <w:rtl w:val="0"/>
          </w:rPr>
          <w:t xml:space="preserve">Lever, J., Krzywinski, M. &amp; Altman, N. Logistic regression. </w:t>
        </w:r>
      </w:hyperlink>
      <w:hyperlink r:id="rId22">
        <w:r w:rsidDel="00000000" w:rsidR="00000000" w:rsidRPr="00000000">
          <w:rPr>
            <w:b w:val="0"/>
            <w:i w:val="1"/>
            <w:color w:val="000000"/>
            <w:sz w:val="20"/>
            <w:szCs w:val="20"/>
            <w:u w:val="none"/>
            <w:rtl w:val="0"/>
          </w:rPr>
          <w:t xml:space="preserve">Nat. Methods</w:t>
        </w:r>
      </w:hyperlink>
      <w:hyperlink r:id="rId23">
        <w:r w:rsidDel="00000000" w:rsidR="00000000" w:rsidRPr="00000000">
          <w:rPr>
            <w:b w:val="0"/>
            <w:i w:val="0"/>
            <w:color w:val="000000"/>
            <w:sz w:val="20"/>
            <w:szCs w:val="20"/>
            <w:u w:val="none"/>
            <w:rtl w:val="0"/>
          </w:rPr>
          <w:t xml:space="preserve"> </w:t>
        </w:r>
      </w:hyperlink>
      <w:hyperlink r:id="rId24">
        <w:r w:rsidDel="00000000" w:rsidR="00000000" w:rsidRPr="00000000">
          <w:rPr>
            <w:b w:val="1"/>
            <w:i w:val="0"/>
            <w:color w:val="000000"/>
            <w:sz w:val="20"/>
            <w:szCs w:val="20"/>
            <w:u w:val="none"/>
            <w:rtl w:val="0"/>
          </w:rPr>
          <w:t xml:space="preserve">13</w:t>
        </w:r>
      </w:hyperlink>
      <w:hyperlink r:id="rId25">
        <w:r w:rsidDel="00000000" w:rsidR="00000000" w:rsidRPr="00000000">
          <w:rPr>
            <w:b w:val="0"/>
            <w:i w:val="0"/>
            <w:color w:val="000000"/>
            <w:sz w:val="20"/>
            <w:szCs w:val="20"/>
            <w:u w:val="none"/>
            <w:rtl w:val="0"/>
          </w:rPr>
          <w:t xml:space="preserve">, 541–542 (2016).</w:t>
        </w:r>
      </w:hyperlink>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0" w:right="0" w:hanging="400"/>
        <w:jc w:val="left"/>
        <w:rPr>
          <w:b w:val="0"/>
          <w:i w:val="0"/>
          <w:color w:val="000000"/>
          <w:sz w:val="20"/>
          <w:szCs w:val="20"/>
        </w:rPr>
      </w:pPr>
      <w:r w:rsidDel="00000000" w:rsidR="00000000" w:rsidRPr="00000000">
        <w:rPr>
          <w:b w:val="0"/>
          <w:i w:val="0"/>
          <w:color w:val="000000"/>
          <w:sz w:val="20"/>
          <w:szCs w:val="20"/>
          <w:rtl w:val="0"/>
        </w:rPr>
        <w:t xml:space="preserve">2.</w:t>
        <w:tab/>
      </w:r>
      <w:hyperlink r:id="rId26">
        <w:r w:rsidDel="00000000" w:rsidR="00000000" w:rsidRPr="00000000">
          <w:rPr>
            <w:b w:val="0"/>
            <w:i w:val="0"/>
            <w:color w:val="000000"/>
            <w:sz w:val="20"/>
            <w:szCs w:val="20"/>
            <w:u w:val="none"/>
            <w:rtl w:val="0"/>
          </w:rPr>
          <w:t xml:space="preserve">Bzdok, D., Krzywinski, M. &amp; Altman, N. Machine learning: supervised methods. </w:t>
        </w:r>
      </w:hyperlink>
      <w:hyperlink r:id="rId27">
        <w:r w:rsidDel="00000000" w:rsidR="00000000" w:rsidRPr="00000000">
          <w:rPr>
            <w:b w:val="0"/>
            <w:i w:val="1"/>
            <w:color w:val="000000"/>
            <w:sz w:val="20"/>
            <w:szCs w:val="20"/>
            <w:u w:val="none"/>
            <w:rtl w:val="0"/>
          </w:rPr>
          <w:t xml:space="preserve">Nat. Methods</w:t>
        </w:r>
      </w:hyperlink>
      <w:hyperlink r:id="rId28">
        <w:r w:rsidDel="00000000" w:rsidR="00000000" w:rsidRPr="00000000">
          <w:rPr>
            <w:b w:val="0"/>
            <w:i w:val="0"/>
            <w:color w:val="000000"/>
            <w:sz w:val="20"/>
            <w:szCs w:val="20"/>
            <w:u w:val="none"/>
            <w:rtl w:val="0"/>
          </w:rPr>
          <w:t xml:space="preserve"> </w:t>
        </w:r>
      </w:hyperlink>
      <w:hyperlink r:id="rId29">
        <w:r w:rsidDel="00000000" w:rsidR="00000000" w:rsidRPr="00000000">
          <w:rPr>
            <w:b w:val="1"/>
            <w:i w:val="0"/>
            <w:color w:val="000000"/>
            <w:sz w:val="20"/>
            <w:szCs w:val="20"/>
            <w:u w:val="none"/>
            <w:rtl w:val="0"/>
          </w:rPr>
          <w:t xml:space="preserve">15</w:t>
        </w:r>
      </w:hyperlink>
      <w:hyperlink r:id="rId30">
        <w:r w:rsidDel="00000000" w:rsidR="00000000" w:rsidRPr="00000000">
          <w:rPr>
            <w:b w:val="0"/>
            <w:i w:val="0"/>
            <w:color w:val="000000"/>
            <w:sz w:val="20"/>
            <w:szCs w:val="20"/>
            <w:u w:val="none"/>
            <w:rtl w:val="0"/>
          </w:rPr>
          <w:t xml:space="preserve">, 5–6 (2018).</w:t>
        </w:r>
      </w:hyperlink>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0" w:right="0" w:hanging="400"/>
        <w:jc w:val="left"/>
        <w:rPr>
          <w:b w:val="0"/>
          <w:i w:val="0"/>
          <w:color w:val="000000"/>
          <w:sz w:val="20"/>
          <w:szCs w:val="20"/>
        </w:rPr>
      </w:pPr>
      <w:r w:rsidDel="00000000" w:rsidR="00000000" w:rsidRPr="00000000">
        <w:rPr>
          <w:b w:val="0"/>
          <w:i w:val="0"/>
          <w:color w:val="000000"/>
          <w:sz w:val="20"/>
          <w:szCs w:val="20"/>
          <w:rtl w:val="0"/>
        </w:rPr>
        <w:t xml:space="preserve">3.</w:t>
        <w:tab/>
      </w:r>
      <w:hyperlink r:id="rId31">
        <w:r w:rsidDel="00000000" w:rsidR="00000000" w:rsidRPr="00000000">
          <w:rPr>
            <w:b w:val="0"/>
            <w:i w:val="0"/>
            <w:color w:val="000000"/>
            <w:sz w:val="20"/>
            <w:szCs w:val="20"/>
            <w:u w:val="none"/>
            <w:rtl w:val="0"/>
          </w:rPr>
          <w:t xml:space="preserve">Lever, J., Krzywinski, M. &amp; Altman, N. Classification evaluation. </w:t>
        </w:r>
      </w:hyperlink>
      <w:hyperlink r:id="rId32">
        <w:r w:rsidDel="00000000" w:rsidR="00000000" w:rsidRPr="00000000">
          <w:rPr>
            <w:b w:val="0"/>
            <w:i w:val="1"/>
            <w:color w:val="000000"/>
            <w:sz w:val="20"/>
            <w:szCs w:val="20"/>
            <w:u w:val="none"/>
            <w:rtl w:val="0"/>
          </w:rPr>
          <w:t xml:space="preserve">Nat. Methods</w:t>
        </w:r>
      </w:hyperlink>
      <w:hyperlink r:id="rId33">
        <w:r w:rsidDel="00000000" w:rsidR="00000000" w:rsidRPr="00000000">
          <w:rPr>
            <w:b w:val="0"/>
            <w:i w:val="0"/>
            <w:color w:val="000000"/>
            <w:sz w:val="20"/>
            <w:szCs w:val="20"/>
            <w:u w:val="none"/>
            <w:rtl w:val="0"/>
          </w:rPr>
          <w:t xml:space="preserve"> </w:t>
        </w:r>
      </w:hyperlink>
      <w:hyperlink r:id="rId34">
        <w:r w:rsidDel="00000000" w:rsidR="00000000" w:rsidRPr="00000000">
          <w:rPr>
            <w:b w:val="1"/>
            <w:i w:val="0"/>
            <w:color w:val="000000"/>
            <w:sz w:val="20"/>
            <w:szCs w:val="20"/>
            <w:u w:val="none"/>
            <w:rtl w:val="0"/>
          </w:rPr>
          <w:t xml:space="preserve">13</w:t>
        </w:r>
      </w:hyperlink>
      <w:hyperlink r:id="rId35">
        <w:r w:rsidDel="00000000" w:rsidR="00000000" w:rsidRPr="00000000">
          <w:rPr>
            <w:b w:val="0"/>
            <w:i w:val="0"/>
            <w:color w:val="000000"/>
            <w:sz w:val="20"/>
            <w:szCs w:val="20"/>
            <w:u w:val="none"/>
            <w:rtl w:val="0"/>
          </w:rPr>
          <w:t xml:space="preserve">, 603–604 (2016).</w:t>
        </w:r>
      </w:hyperlink>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0" w:right="0" w:hanging="400"/>
        <w:jc w:val="left"/>
        <w:rPr>
          <w:b w:val="0"/>
          <w:i w:val="0"/>
          <w:color w:val="000000"/>
          <w:sz w:val="20"/>
          <w:szCs w:val="20"/>
        </w:rPr>
      </w:pPr>
      <w:r w:rsidDel="00000000" w:rsidR="00000000" w:rsidRPr="00000000">
        <w:rPr>
          <w:b w:val="0"/>
          <w:i w:val="0"/>
          <w:color w:val="000000"/>
          <w:sz w:val="20"/>
          <w:szCs w:val="20"/>
          <w:rtl w:val="0"/>
        </w:rPr>
        <w:t xml:space="preserve">4.</w:t>
        <w:tab/>
      </w:r>
      <w:hyperlink r:id="rId36">
        <w:r w:rsidDel="00000000" w:rsidR="00000000" w:rsidRPr="00000000">
          <w:rPr>
            <w:b w:val="0"/>
            <w:i w:val="0"/>
            <w:color w:val="000000"/>
            <w:sz w:val="20"/>
            <w:szCs w:val="20"/>
            <w:u w:val="none"/>
            <w:rtl w:val="0"/>
          </w:rPr>
          <w:t xml:space="preserve">Altman, N. &amp; Krzywinski, M. Testing for rare conditions. </w:t>
        </w:r>
      </w:hyperlink>
      <w:hyperlink r:id="rId37">
        <w:r w:rsidDel="00000000" w:rsidR="00000000" w:rsidRPr="00000000">
          <w:rPr>
            <w:b w:val="0"/>
            <w:i w:val="1"/>
            <w:color w:val="000000"/>
            <w:sz w:val="20"/>
            <w:szCs w:val="20"/>
            <w:u w:val="none"/>
            <w:rtl w:val="0"/>
          </w:rPr>
          <w:t xml:space="preserve">Nat. Methods</w:t>
        </w:r>
      </w:hyperlink>
      <w:hyperlink r:id="rId38">
        <w:r w:rsidDel="00000000" w:rsidR="00000000" w:rsidRPr="00000000">
          <w:rPr>
            <w:b w:val="0"/>
            <w:i w:val="0"/>
            <w:color w:val="000000"/>
            <w:sz w:val="20"/>
            <w:szCs w:val="20"/>
            <w:u w:val="none"/>
            <w:rtl w:val="0"/>
          </w:rPr>
          <w:t xml:space="preserve"> </w:t>
        </w:r>
      </w:hyperlink>
      <w:hyperlink r:id="rId39">
        <w:r w:rsidDel="00000000" w:rsidR="00000000" w:rsidRPr="00000000">
          <w:rPr>
            <w:b w:val="1"/>
            <w:i w:val="0"/>
            <w:color w:val="000000"/>
            <w:sz w:val="20"/>
            <w:szCs w:val="20"/>
            <w:u w:val="none"/>
            <w:rtl w:val="0"/>
          </w:rPr>
          <w:t xml:space="preserve">18</w:t>
        </w:r>
      </w:hyperlink>
      <w:hyperlink r:id="rId40">
        <w:r w:rsidDel="00000000" w:rsidR="00000000" w:rsidRPr="00000000">
          <w:rPr>
            <w:b w:val="0"/>
            <w:i w:val="0"/>
            <w:color w:val="000000"/>
            <w:sz w:val="20"/>
            <w:szCs w:val="20"/>
            <w:u w:val="none"/>
            <w:rtl w:val="0"/>
          </w:rPr>
          <w:t xml:space="preserve">, 224–225 (2021).</w:t>
        </w:r>
      </w:hyperlink>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0" w:right="0" w:hanging="400"/>
        <w:jc w:val="left"/>
        <w:rPr>
          <w:b w:val="0"/>
          <w:i w:val="0"/>
          <w:color w:val="000000"/>
          <w:sz w:val="20"/>
          <w:szCs w:val="20"/>
        </w:rPr>
      </w:pPr>
      <w:r w:rsidDel="00000000" w:rsidR="00000000" w:rsidRPr="00000000">
        <w:rPr>
          <w:b w:val="0"/>
          <w:i w:val="0"/>
          <w:color w:val="000000"/>
          <w:sz w:val="20"/>
          <w:szCs w:val="20"/>
          <w:rtl w:val="0"/>
        </w:rPr>
        <w:t xml:space="preserve">5.</w:t>
        <w:tab/>
      </w:r>
      <w:hyperlink r:id="rId41">
        <w:r w:rsidDel="00000000" w:rsidR="00000000" w:rsidRPr="00000000">
          <w:rPr>
            <w:b w:val="0"/>
            <w:i w:val="0"/>
            <w:color w:val="000000"/>
            <w:sz w:val="20"/>
            <w:szCs w:val="20"/>
            <w:u w:val="none"/>
            <w:rtl w:val="0"/>
          </w:rPr>
          <w:t xml:space="preserve">Krzywinski, M. &amp; Altman, N. Classification and regression trees. </w:t>
        </w:r>
      </w:hyperlink>
      <w:hyperlink r:id="rId42">
        <w:r w:rsidDel="00000000" w:rsidR="00000000" w:rsidRPr="00000000">
          <w:rPr>
            <w:b w:val="0"/>
            <w:i w:val="1"/>
            <w:color w:val="000000"/>
            <w:sz w:val="20"/>
            <w:szCs w:val="20"/>
            <w:u w:val="none"/>
            <w:rtl w:val="0"/>
          </w:rPr>
          <w:t xml:space="preserve">Nat. Methods</w:t>
        </w:r>
      </w:hyperlink>
      <w:hyperlink r:id="rId43">
        <w:r w:rsidDel="00000000" w:rsidR="00000000" w:rsidRPr="00000000">
          <w:rPr>
            <w:b w:val="0"/>
            <w:i w:val="0"/>
            <w:color w:val="000000"/>
            <w:sz w:val="20"/>
            <w:szCs w:val="20"/>
            <w:u w:val="none"/>
            <w:rtl w:val="0"/>
          </w:rPr>
          <w:t xml:space="preserve"> </w:t>
        </w:r>
      </w:hyperlink>
      <w:hyperlink r:id="rId44">
        <w:r w:rsidDel="00000000" w:rsidR="00000000" w:rsidRPr="00000000">
          <w:rPr>
            <w:b w:val="1"/>
            <w:i w:val="0"/>
            <w:color w:val="000000"/>
            <w:sz w:val="20"/>
            <w:szCs w:val="20"/>
            <w:u w:val="none"/>
            <w:rtl w:val="0"/>
          </w:rPr>
          <w:t xml:space="preserve">14</w:t>
        </w:r>
      </w:hyperlink>
      <w:hyperlink r:id="rId45">
        <w:r w:rsidDel="00000000" w:rsidR="00000000" w:rsidRPr="00000000">
          <w:rPr>
            <w:b w:val="0"/>
            <w:i w:val="0"/>
            <w:color w:val="000000"/>
            <w:sz w:val="20"/>
            <w:szCs w:val="20"/>
            <w:u w:val="none"/>
            <w:rtl w:val="0"/>
          </w:rPr>
          <w:t xml:space="preserve">, 757–758 (2017).</w:t>
        </w:r>
      </w:hyperlink>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0" w:right="0" w:hanging="400"/>
        <w:jc w:val="left"/>
        <w:rPr>
          <w:b w:val="0"/>
          <w:i w:val="0"/>
          <w:color w:val="000000"/>
          <w:sz w:val="20"/>
          <w:szCs w:val="20"/>
        </w:rPr>
      </w:pPr>
      <w:r w:rsidDel="00000000" w:rsidR="00000000" w:rsidRPr="00000000">
        <w:rPr>
          <w:b w:val="0"/>
          <w:i w:val="0"/>
          <w:color w:val="000000"/>
          <w:sz w:val="20"/>
          <w:szCs w:val="20"/>
          <w:rtl w:val="0"/>
        </w:rPr>
        <w:t xml:space="preserve">6.</w:t>
        <w:tab/>
      </w:r>
      <w:hyperlink r:id="rId46">
        <w:r w:rsidDel="00000000" w:rsidR="00000000" w:rsidRPr="00000000">
          <w:rPr>
            <w:b w:val="0"/>
            <w:i w:val="0"/>
            <w:color w:val="000000"/>
            <w:sz w:val="20"/>
            <w:szCs w:val="20"/>
            <w:u w:val="none"/>
            <w:rtl w:val="0"/>
          </w:rPr>
          <w:t xml:space="preserve">King, G. &amp; Zeng, L. Logistic Regression in Rare Events Data. </w:t>
        </w:r>
      </w:hyperlink>
      <w:hyperlink r:id="rId47">
        <w:r w:rsidDel="00000000" w:rsidR="00000000" w:rsidRPr="00000000">
          <w:rPr>
            <w:b w:val="0"/>
            <w:i w:val="1"/>
            <w:color w:val="000000"/>
            <w:sz w:val="20"/>
            <w:szCs w:val="20"/>
            <w:u w:val="none"/>
            <w:rtl w:val="0"/>
          </w:rPr>
          <w:t xml:space="preserve">Polit. Anal.</w:t>
        </w:r>
      </w:hyperlink>
      <w:hyperlink r:id="rId48">
        <w:r w:rsidDel="00000000" w:rsidR="00000000" w:rsidRPr="00000000">
          <w:rPr>
            <w:b w:val="0"/>
            <w:i w:val="0"/>
            <w:color w:val="000000"/>
            <w:sz w:val="20"/>
            <w:szCs w:val="20"/>
            <w:u w:val="none"/>
            <w:rtl w:val="0"/>
          </w:rPr>
          <w:t xml:space="preserve"> </w:t>
        </w:r>
      </w:hyperlink>
      <w:hyperlink r:id="rId49">
        <w:r w:rsidDel="00000000" w:rsidR="00000000" w:rsidRPr="00000000">
          <w:rPr>
            <w:b w:val="1"/>
            <w:i w:val="0"/>
            <w:color w:val="000000"/>
            <w:sz w:val="20"/>
            <w:szCs w:val="20"/>
            <w:u w:val="none"/>
            <w:rtl w:val="0"/>
          </w:rPr>
          <w:t xml:space="preserve">9</w:t>
        </w:r>
      </w:hyperlink>
      <w:hyperlink r:id="rId50">
        <w:r w:rsidDel="00000000" w:rsidR="00000000" w:rsidRPr="00000000">
          <w:rPr>
            <w:b w:val="0"/>
            <w:i w:val="0"/>
            <w:color w:val="000000"/>
            <w:sz w:val="20"/>
            <w:szCs w:val="20"/>
            <w:u w:val="none"/>
            <w:rtl w:val="0"/>
          </w:rPr>
          <w:t xml:space="preserve">, 137–163 (2001).</w:t>
        </w:r>
      </w:hyperlink>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400" w:right="0" w:hanging="400"/>
        <w:jc w:val="left"/>
        <w:rPr>
          <w:b w:val="1"/>
        </w:rPr>
      </w:pPr>
      <w:r w:rsidDel="00000000" w:rsidR="00000000" w:rsidRPr="00000000">
        <w:rPr>
          <w:b w:val="0"/>
          <w:i w:val="0"/>
          <w:color w:val="000000"/>
          <w:sz w:val="20"/>
          <w:szCs w:val="20"/>
          <w:rtl w:val="0"/>
        </w:rPr>
        <w:t xml:space="preserve">7.</w:t>
        <w:tab/>
      </w:r>
      <w:hyperlink r:id="rId51">
        <w:r w:rsidDel="00000000" w:rsidR="00000000" w:rsidRPr="00000000">
          <w:rPr>
            <w:b w:val="0"/>
            <w:i w:val="0"/>
            <w:color w:val="000000"/>
            <w:sz w:val="20"/>
            <w:szCs w:val="20"/>
            <w:u w:val="none"/>
            <w:rtl w:val="0"/>
          </w:rPr>
          <w:t xml:space="preserve">Alcalá-Fdez, J. </w:t>
        </w:r>
      </w:hyperlink>
      <w:hyperlink r:id="rId52">
        <w:r w:rsidDel="00000000" w:rsidR="00000000" w:rsidRPr="00000000">
          <w:rPr>
            <w:b w:val="0"/>
            <w:i w:val="1"/>
            <w:color w:val="000000"/>
            <w:sz w:val="20"/>
            <w:szCs w:val="20"/>
            <w:u w:val="none"/>
            <w:rtl w:val="0"/>
          </w:rPr>
          <w:t xml:space="preserve">et al.</w:t>
        </w:r>
      </w:hyperlink>
      <w:hyperlink r:id="rId53">
        <w:r w:rsidDel="00000000" w:rsidR="00000000" w:rsidRPr="00000000">
          <w:rPr>
            <w:b w:val="0"/>
            <w:i w:val="0"/>
            <w:color w:val="000000"/>
            <w:sz w:val="20"/>
            <w:szCs w:val="20"/>
            <w:u w:val="none"/>
            <w:rtl w:val="0"/>
          </w:rPr>
          <w:t xml:space="preserve"> Keel data-mining software tool: data set repository, integration of algorithms and experimental analysis framework. </w:t>
        </w:r>
      </w:hyperlink>
      <w:hyperlink r:id="rId54">
        <w:r w:rsidDel="00000000" w:rsidR="00000000" w:rsidRPr="00000000">
          <w:rPr>
            <w:b w:val="0"/>
            <w:i w:val="1"/>
            <w:color w:val="000000"/>
            <w:sz w:val="20"/>
            <w:szCs w:val="20"/>
            <w:u w:val="none"/>
            <w:rtl w:val="0"/>
          </w:rPr>
          <w:t xml:space="preserve">J. Mult.-Valued Logic Soft Comput.</w:t>
        </w:r>
      </w:hyperlink>
      <w:hyperlink r:id="rId55">
        <w:r w:rsidDel="00000000" w:rsidR="00000000" w:rsidRPr="00000000">
          <w:rPr>
            <w:b w:val="0"/>
            <w:i w:val="0"/>
            <w:color w:val="000000"/>
            <w:sz w:val="20"/>
            <w:szCs w:val="20"/>
            <w:u w:val="none"/>
            <w:rtl w:val="0"/>
          </w:rPr>
          <w:t xml:space="preserve"> </w:t>
        </w:r>
      </w:hyperlink>
      <w:hyperlink r:id="rId56">
        <w:r w:rsidDel="00000000" w:rsidR="00000000" w:rsidRPr="00000000">
          <w:rPr>
            <w:b w:val="1"/>
            <w:i w:val="0"/>
            <w:color w:val="000000"/>
            <w:sz w:val="20"/>
            <w:szCs w:val="20"/>
            <w:u w:val="none"/>
            <w:rtl w:val="0"/>
          </w:rPr>
          <w:t xml:space="preserve">17</w:t>
        </w:r>
      </w:hyperlink>
      <w:hyperlink r:id="rId57">
        <w:r w:rsidDel="00000000" w:rsidR="00000000" w:rsidRPr="00000000">
          <w:rPr>
            <w:b w:val="0"/>
            <w:i w:val="0"/>
            <w:color w:val="000000"/>
            <w:sz w:val="20"/>
            <w:szCs w:val="20"/>
            <w:u w:val="none"/>
            <w:rtl w:val="0"/>
          </w:rPr>
          <w:t xml:space="preserve">, (2011).</w:t>
        </w:r>
      </w:hyperlink>
      <w:r w:rsidDel="00000000" w:rsidR="00000000" w:rsidRPr="00000000">
        <w:rPr>
          <w:rtl w:val="0"/>
        </w:rPr>
      </w:r>
    </w:p>
    <w:sectPr>
      <w:headerReference r:id="rId58" w:type="default"/>
      <w:footerReference r:id="rId5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8"/>
        <w:szCs w:val="28"/>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300" w:before="300" w:lineRule="auto"/>
      <w:jc w:val="center"/>
    </w:pPr>
    <w:rPr>
      <w:rFonts w:ascii="Georgia" w:cs="Georgia" w:eastAsia="Georgia" w:hAnsi="Georgia"/>
      <w:b w:val="1"/>
      <w:sz w:val="28"/>
      <w:szCs w:val="2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ZxOU7T/qpdi" TargetMode="External"/><Relationship Id="rId42" Type="http://schemas.openxmlformats.org/officeDocument/2006/relationships/hyperlink" Target="http://paperpile.com/b/ZxOU7T/MyEm" TargetMode="External"/><Relationship Id="rId41" Type="http://schemas.openxmlformats.org/officeDocument/2006/relationships/hyperlink" Target="http://paperpile.com/b/ZxOU7T/MyEm" TargetMode="External"/><Relationship Id="rId44" Type="http://schemas.openxmlformats.org/officeDocument/2006/relationships/hyperlink" Target="http://paperpile.com/b/ZxOU7T/MyEm" TargetMode="External"/><Relationship Id="rId43" Type="http://schemas.openxmlformats.org/officeDocument/2006/relationships/hyperlink" Target="http://paperpile.com/b/ZxOU7T/MyEm" TargetMode="External"/><Relationship Id="rId46" Type="http://schemas.openxmlformats.org/officeDocument/2006/relationships/hyperlink" Target="http://paperpile.com/b/ZxOU7T/5G8x" TargetMode="External"/><Relationship Id="rId45" Type="http://schemas.openxmlformats.org/officeDocument/2006/relationships/hyperlink" Target="http://paperpile.com/b/ZxOU7T/My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ZxOU7T/qpdi" TargetMode="External"/><Relationship Id="rId48" Type="http://schemas.openxmlformats.org/officeDocument/2006/relationships/hyperlink" Target="http://paperpile.com/b/ZxOU7T/5G8x" TargetMode="External"/><Relationship Id="rId47" Type="http://schemas.openxmlformats.org/officeDocument/2006/relationships/hyperlink" Target="http://paperpile.com/b/ZxOU7T/5G8x" TargetMode="External"/><Relationship Id="rId49" Type="http://schemas.openxmlformats.org/officeDocument/2006/relationships/hyperlink" Target="http://paperpile.com/b/ZxOU7T/5G8x" TargetMode="External"/><Relationship Id="rId5" Type="http://schemas.openxmlformats.org/officeDocument/2006/relationships/styles" Target="styles.xml"/><Relationship Id="rId6" Type="http://schemas.openxmlformats.org/officeDocument/2006/relationships/hyperlink" Target="https://paperpile.com/c/ZxOU7T/DmdM" TargetMode="External"/><Relationship Id="rId7" Type="http://schemas.openxmlformats.org/officeDocument/2006/relationships/hyperlink" Target="https://paperpile.com/c/ZxOU7T/qJxF" TargetMode="External"/><Relationship Id="rId8" Type="http://schemas.openxmlformats.org/officeDocument/2006/relationships/hyperlink" Target="https://paperpile.com/c/ZxOU7T/wTzc" TargetMode="External"/><Relationship Id="rId31" Type="http://schemas.openxmlformats.org/officeDocument/2006/relationships/hyperlink" Target="http://paperpile.com/b/ZxOU7T/wTzc" TargetMode="External"/><Relationship Id="rId30" Type="http://schemas.openxmlformats.org/officeDocument/2006/relationships/hyperlink" Target="http://paperpile.com/b/ZxOU7T/qJxF" TargetMode="External"/><Relationship Id="rId33" Type="http://schemas.openxmlformats.org/officeDocument/2006/relationships/hyperlink" Target="http://paperpile.com/b/ZxOU7T/wTzc" TargetMode="External"/><Relationship Id="rId32" Type="http://schemas.openxmlformats.org/officeDocument/2006/relationships/hyperlink" Target="http://paperpile.com/b/ZxOU7T/wTzc" TargetMode="External"/><Relationship Id="rId35" Type="http://schemas.openxmlformats.org/officeDocument/2006/relationships/hyperlink" Target="http://paperpile.com/b/ZxOU7T/wTzc" TargetMode="External"/><Relationship Id="rId34" Type="http://schemas.openxmlformats.org/officeDocument/2006/relationships/hyperlink" Target="http://paperpile.com/b/ZxOU7T/wTzc" TargetMode="External"/><Relationship Id="rId37" Type="http://schemas.openxmlformats.org/officeDocument/2006/relationships/hyperlink" Target="http://paperpile.com/b/ZxOU7T/qpdi" TargetMode="External"/><Relationship Id="rId36" Type="http://schemas.openxmlformats.org/officeDocument/2006/relationships/hyperlink" Target="http://paperpile.com/b/ZxOU7T/qpdi" TargetMode="External"/><Relationship Id="rId39" Type="http://schemas.openxmlformats.org/officeDocument/2006/relationships/hyperlink" Target="http://paperpile.com/b/ZxOU7T/qpdi" TargetMode="External"/><Relationship Id="rId38" Type="http://schemas.openxmlformats.org/officeDocument/2006/relationships/hyperlink" Target="http://paperpile.com/b/ZxOU7T/qpdi" TargetMode="External"/><Relationship Id="rId20" Type="http://schemas.openxmlformats.org/officeDocument/2006/relationships/hyperlink" Target="https://github.com/fmegahed/subsampling/" TargetMode="External"/><Relationship Id="rId22" Type="http://schemas.openxmlformats.org/officeDocument/2006/relationships/hyperlink" Target="http://paperpile.com/b/ZxOU7T/DmdM" TargetMode="External"/><Relationship Id="rId21" Type="http://schemas.openxmlformats.org/officeDocument/2006/relationships/hyperlink" Target="http://paperpile.com/b/ZxOU7T/DmdM" TargetMode="External"/><Relationship Id="rId24" Type="http://schemas.openxmlformats.org/officeDocument/2006/relationships/hyperlink" Target="http://paperpile.com/b/ZxOU7T/DmdM" TargetMode="External"/><Relationship Id="rId23" Type="http://schemas.openxmlformats.org/officeDocument/2006/relationships/hyperlink" Target="http://paperpile.com/b/ZxOU7T/DmdM" TargetMode="External"/><Relationship Id="rId26" Type="http://schemas.openxmlformats.org/officeDocument/2006/relationships/hyperlink" Target="http://paperpile.com/b/ZxOU7T/qJxF" TargetMode="External"/><Relationship Id="rId25" Type="http://schemas.openxmlformats.org/officeDocument/2006/relationships/hyperlink" Target="http://paperpile.com/b/ZxOU7T/DmdM" TargetMode="External"/><Relationship Id="rId28" Type="http://schemas.openxmlformats.org/officeDocument/2006/relationships/hyperlink" Target="http://paperpile.com/b/ZxOU7T/qJxF" TargetMode="External"/><Relationship Id="rId27" Type="http://schemas.openxmlformats.org/officeDocument/2006/relationships/hyperlink" Target="http://paperpile.com/b/ZxOU7T/qJxF" TargetMode="External"/><Relationship Id="rId29" Type="http://schemas.openxmlformats.org/officeDocument/2006/relationships/hyperlink" Target="http://paperpile.com/b/ZxOU7T/qJxF" TargetMode="External"/><Relationship Id="rId51" Type="http://schemas.openxmlformats.org/officeDocument/2006/relationships/hyperlink" Target="http://paperpile.com/b/ZxOU7T/QgQV" TargetMode="External"/><Relationship Id="rId50" Type="http://schemas.openxmlformats.org/officeDocument/2006/relationships/hyperlink" Target="http://paperpile.com/b/ZxOU7T/5G8x" TargetMode="External"/><Relationship Id="rId53" Type="http://schemas.openxmlformats.org/officeDocument/2006/relationships/hyperlink" Target="http://paperpile.com/b/ZxOU7T/QgQV" TargetMode="External"/><Relationship Id="rId52" Type="http://schemas.openxmlformats.org/officeDocument/2006/relationships/hyperlink" Target="http://paperpile.com/b/ZxOU7T/QgQV" TargetMode="External"/><Relationship Id="rId11" Type="http://schemas.openxmlformats.org/officeDocument/2006/relationships/hyperlink" Target="https://paperpile.com/c/ZxOU7T/MyEm" TargetMode="External"/><Relationship Id="rId55" Type="http://schemas.openxmlformats.org/officeDocument/2006/relationships/hyperlink" Target="http://paperpile.com/b/ZxOU7T/QgQV" TargetMode="External"/><Relationship Id="rId10" Type="http://schemas.openxmlformats.org/officeDocument/2006/relationships/hyperlink" Target="https://paperpile.com/c/ZxOU7T/DmdM" TargetMode="External"/><Relationship Id="rId54" Type="http://schemas.openxmlformats.org/officeDocument/2006/relationships/hyperlink" Target="http://paperpile.com/b/ZxOU7T/QgQV" TargetMode="External"/><Relationship Id="rId13" Type="http://schemas.openxmlformats.org/officeDocument/2006/relationships/hyperlink" Target="https://paperpile.com/c/ZxOU7T/5G8x" TargetMode="External"/><Relationship Id="rId57" Type="http://schemas.openxmlformats.org/officeDocument/2006/relationships/hyperlink" Target="http://paperpile.com/b/ZxOU7T/QgQV" TargetMode="External"/><Relationship Id="rId12" Type="http://schemas.openxmlformats.org/officeDocument/2006/relationships/hyperlink" Target="https://paperpile.com/c/ZxOU7T/DmdM" TargetMode="External"/><Relationship Id="rId56" Type="http://schemas.openxmlformats.org/officeDocument/2006/relationships/hyperlink" Target="http://paperpile.com/b/ZxOU7T/QgQV" TargetMode="External"/><Relationship Id="rId15" Type="http://schemas.openxmlformats.org/officeDocument/2006/relationships/hyperlink" Target="https://paperpile.com/c/ZxOU7T/wTzc" TargetMode="External"/><Relationship Id="rId59" Type="http://schemas.openxmlformats.org/officeDocument/2006/relationships/footer" Target="footer1.xml"/><Relationship Id="rId14" Type="http://schemas.openxmlformats.org/officeDocument/2006/relationships/hyperlink" Target="https://paperpile.com/c/ZxOU7T/MyEm" TargetMode="External"/><Relationship Id="rId58" Type="http://schemas.openxmlformats.org/officeDocument/2006/relationships/header" Target="header1.xml"/><Relationship Id="rId17" Type="http://schemas.openxmlformats.org/officeDocument/2006/relationships/hyperlink" Target="https://paperpile.com/c/ZxOU7T/QgQV" TargetMode="External"/><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