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5384"/>
          <w:sz w:val="48"/>
        </w:rPr>
        <w:t>FTC HUB</w:t>
      </w:r>
    </w:p>
    <w:p>
      <w:pPr>
        <w:spacing w:after="80"/>
        <w:jc w:val="center"/>
      </w:pPr>
      <w:r>
        <w:rPr>
          <w:b/>
          <w:sz w:val="30"/>
        </w:rPr>
        <w:t>Riassunto stampabile - modello RBAC enterprise</w:t>
      </w:r>
    </w:p>
    <w:p>
      <w:pPr>
        <w:spacing w:after="280"/>
        <w:jc w:val="center"/>
      </w:pPr>
      <w:r>
        <w:rPr>
          <w:i/>
          <w:color w:val="5F6E7B"/>
          <w:sz w:val="21"/>
        </w:rPr>
        <w:t>Ruoli, permessi, scope e regole architetturali per FTC 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EDF5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sz w:val="21"/>
              </w:rPr>
              <w:t>Obiettivo: gestire correttamente 150+ store, più entity (IT01, IT02, IT03), utenti con ruoli diversi, permessi granulari per modulo/funzione e limiti operativi per entity o store specifici.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b/>
          <w:color w:val="1A5384"/>
          <w:sz w:val="28"/>
        </w:rPr>
        <w:t>1. Diagramma architetturale</w:t>
      </w:r>
    </w:p>
    <w:p>
      <w:r>
        <w:drawing>
          <wp:inline xmlns:a="http://schemas.openxmlformats.org/drawingml/2006/main" xmlns:pic="http://schemas.openxmlformats.org/drawingml/2006/picture">
            <wp:extent cx="6192000" cy="4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c_hub_rbac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E7B"/>
          <w:sz w:val="19"/>
        </w:rPr>
        <w:t>Vista unificata di backend, modello RBAC e gerarchia degli scope.</w:t>
      </w:r>
    </w:p>
    <w:p>
      <w:pPr>
        <w:spacing w:after="120"/>
      </w:pPr>
      <w:r>
        <w:rPr>
          <w:b/>
          <w:color w:val="1A5384"/>
          <w:sz w:val="28"/>
        </w:rPr>
        <w:t>2. Struttura concettuale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Livello</w:t>
            </w:r>
          </w:p>
        </w:tc>
        <w:tc>
          <w:tcPr>
            <w:tcW w:type="dxa" w:w="5100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Significato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r>
              <w:t>USER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r>
              <w:t>Identità autenticata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ROLE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Funzione dell’utente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r>
              <w:t>PERMISSION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r>
              <w:t>Azione consentita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SCOPE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Perimetro operativo</w:t>
            </w:r>
          </w:p>
        </w:tc>
      </w:tr>
    </w:tbl>
    <w:p>
      <w:pPr>
        <w:spacing w:before="200" w:after="120"/>
      </w:pPr>
      <w:r>
        <w:rPr>
          <w:b/>
          <w:color w:val="1A5384"/>
          <w:sz w:val="28"/>
        </w:rPr>
        <w:t>3. Ruoli standard FTC 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Ruolo</w:t>
            </w:r>
          </w:p>
        </w:tc>
        <w:tc>
          <w:tcPr>
            <w:tcW w:type="dxa" w:w="5100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Descrizione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t>ADMIN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t>Amministratore sistema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HO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Head Office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t>DM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t>District Manager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STORE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Utente negozio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t>SERVICE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t>Tecnico / assistenza</w:t>
            </w:r>
          </w:p>
        </w:tc>
      </w:tr>
    </w:tbl>
    <w:p>
      <w:pPr>
        <w:spacing w:after="120"/>
      </w:pPr>
      <w:r>
        <w:t>Regola chiave: ROLE = funzione stabile, non perimetro operativo.</w:t>
      </w:r>
    </w:p>
    <w:p>
      <w:pPr>
        <w:spacing w:before="200" w:after="120"/>
      </w:pPr>
      <w:r>
        <w:rPr>
          <w:b/>
          <w:color w:val="1A5384"/>
          <w:sz w:val="28"/>
        </w:rPr>
        <w:t>4. Scope e gerarchia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Scope</w:t>
            </w:r>
          </w:p>
        </w:tc>
        <w:tc>
          <w:tcPr>
            <w:tcW w:type="dxa" w:w="3400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Esempio</w:t>
            </w:r>
          </w:p>
        </w:tc>
        <w:tc>
          <w:tcPr>
            <w:tcW w:type="dxa" w:w="3400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Copertura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t>GLOBAL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t>GLOBAL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t>Tutto il sistema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ENTITY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ENTITY:IT01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Tutti gli store della entity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t>STORE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t>STORE:IT315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t>Solo il singolo punto vendita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MODULE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MODULE:SALES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Scope funzionale opzionale</w:t>
            </w:r>
          </w:p>
        </w:tc>
      </w:tr>
    </w:tbl>
    <w:p>
      <w:pPr>
        <w:spacing w:after="80"/>
      </w:pPr>
      <w:r>
        <w:t>Gerarchia consigliata: GLOBAL -&gt; ENTITY -&gt; STORE.</w:t>
      </w:r>
    </w:p>
    <w:p>
      <w:r>
        <w:br w:type="page"/>
      </w:r>
    </w:p>
    <w:p>
      <w:pPr>
        <w:spacing w:after="120"/>
      </w:pPr>
      <w:r>
        <w:rPr>
          <w:b/>
          <w:color w:val="1A5384"/>
          <w:sz w:val="28"/>
        </w:rPr>
        <w:t>5. Regola di autorizzazione</w:t>
      </w:r>
    </w:p>
    <w:p>
      <w:pPr>
        <w:spacing w:after="60"/>
        <w:ind w:left="227"/>
      </w:pPr>
      <w:r>
        <w:rPr>
          <w:sz w:val="21"/>
        </w:rPr>
        <w:t>• Un accesso è consentito quando l’utente ha il permesso richiesto e lo scope è compatibile con la richiesta.</w:t>
      </w:r>
    </w:p>
    <w:p>
      <w:pPr>
        <w:spacing w:after="60"/>
        <w:ind w:left="227"/>
      </w:pPr>
      <w:r>
        <w:rPr>
          <w:sz w:val="21"/>
        </w:rPr>
        <w:t>• GLOBAL copre tutto; ENTITY copre tutti gli store figli; STORE vale solo sul singolo negozio.</w:t>
      </w:r>
    </w:p>
    <w:p>
      <w:pPr>
        <w:spacing w:after="60"/>
        <w:ind w:left="227"/>
      </w:pPr>
      <w:r>
        <w:rPr>
          <w:sz w:val="21"/>
        </w:rPr>
        <w:t>• Il permesso system.admin con scope GLOBAL abilita il bypass completo dei controlli.</w:t>
      </w:r>
    </w:p>
    <w:p>
      <w:pPr>
        <w:spacing w:before="200" w:after="120"/>
      </w:pPr>
      <w:r>
        <w:rPr>
          <w:b/>
          <w:color w:val="1A5384"/>
          <w:sz w:val="28"/>
        </w:rPr>
        <w:t>6. Esempi operativi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Caso</w:t>
            </w:r>
          </w:p>
        </w:tc>
        <w:tc>
          <w:tcPr>
            <w:tcW w:type="dxa" w:w="2550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Role</w:t>
            </w:r>
          </w:p>
        </w:tc>
        <w:tc>
          <w:tcPr>
            <w:tcW w:type="dxa" w:w="2550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Permessi</w:t>
            </w:r>
          </w:p>
        </w:tc>
        <w:tc>
          <w:tcPr>
            <w:tcW w:type="dxa" w:w="2550"/>
            <w:shd w:fill="DC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Scope</w:t>
            </w:r>
          </w:p>
        </w:tc>
      </w:tr>
      <w:tr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shd w:fill="F8FBFE"/>
          </w:tcPr>
          <w:p>
            <w:r>
              <w:t>ADMIN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shd w:fill="F8FBFE"/>
          </w:tcPr>
          <w:p>
            <w:r>
              <w:t>ADMIN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shd w:fill="F8FBFE"/>
          </w:tcPr>
          <w:p>
            <w:r>
              <w:t>system.admin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shd w:fill="F8FBFE"/>
          </w:tcPr>
          <w:p>
            <w:r>
              <w:t>GLOBAL</w:t>
            </w:r>
          </w:p>
        </w:tc>
      </w:tr>
      <w:tr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HO Sales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HO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sales.view / import / export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ENTITY:IT01 / IT02 / IT03</w:t>
            </w:r>
          </w:p>
        </w:tc>
      </w:tr>
      <w:tr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shd w:fill="F8FBFE"/>
          </w:tcPr>
          <w:p>
            <w:r>
              <w:t>DM area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shd w:fill="F8FBFE"/>
          </w:tcPr>
          <w:p>
            <w:r>
              <w:t>DM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shd w:fill="F8FBFE"/>
          </w:tcPr>
          <w:p>
            <w:r>
              <w:t>sales.view + inventory.view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shd w:fill="F8FBFE"/>
          </w:tcPr>
          <w:p>
            <w:r>
              <w:t>STORE:IT207 / IT208 / IT221</w:t>
            </w:r>
          </w:p>
        </w:tc>
      </w:tr>
      <w:tr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Store manager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STORE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inventory.edit + checkmerce.execute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STORE:IT315</w:t>
            </w:r>
          </w:p>
        </w:tc>
      </w:tr>
    </w:tbl>
    <w:p>
      <w:pPr>
        <w:spacing w:before="200" w:after="120"/>
      </w:pPr>
      <w:r>
        <w:rPr>
          <w:b/>
          <w:color w:val="1A5384"/>
          <w:sz w:val="28"/>
        </w:rPr>
        <w:t>7. Regole architetturali da rispettare</w:t>
      </w:r>
    </w:p>
    <w:p>
      <w:pPr>
        <w:spacing w:after="40"/>
        <w:ind w:left="227"/>
      </w:pPr>
      <w:r>
        <w:rPr>
          <w:sz w:val="21"/>
        </w:rPr>
        <w:t>• Non creare ruoli per store o area (es. STORE_IT315, DM_IT01).</w:t>
      </w:r>
    </w:p>
    <w:p>
      <w:pPr>
        <w:spacing w:after="40"/>
        <w:ind w:left="227"/>
      </w:pPr>
      <w:r>
        <w:rPr>
          <w:sz w:val="21"/>
        </w:rPr>
        <w:t>• Usare ruoli semplici e stabili; il perimetro operativo va espresso negli scope.</w:t>
      </w:r>
    </w:p>
    <w:p>
      <w:pPr>
        <w:spacing w:after="40"/>
        <w:ind w:left="227"/>
      </w:pPr>
      <w:r>
        <w:rPr>
          <w:sz w:val="21"/>
        </w:rPr>
        <w:t>• Usare auth.user_roles come fonte principale del ruolo, non users.role come unica verità.</w:t>
      </w:r>
    </w:p>
    <w:p>
      <w:pPr>
        <w:spacing w:after="40"/>
        <w:ind w:left="227"/>
      </w:pPr>
      <w:r>
        <w:rPr>
          <w:sz w:val="21"/>
        </w:rPr>
        <w:t>• Gestire le eccezioni utente con auth.user_permission_scopes.</w:t>
      </w:r>
    </w:p>
    <w:p>
      <w:pPr>
        <w:spacing w:after="40"/>
        <w:ind w:left="227"/>
      </w:pPr>
      <w:r>
        <w:rPr>
          <w:sz w:val="21"/>
        </w:rPr>
        <w:t>• Usare auth.user_assignments per rappresentare dove l’utente opera normalmente.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EEF7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2C5E35"/>
                <w:sz w:val="22"/>
              </w:rPr>
              <w:t>Modello finale consigliato: ruoli semplici + permessi granulari + scope separati + override utente + assignments operativi.</w:t>
            </w:r>
          </w:p>
        </w:tc>
      </w:tr>
    </w:tbl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