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Resumen de comentarios y respuestas</w:t>
      </w:r>
    </w:p>
    <w:p>
      <w:pPr>
        <w:pStyle w:val="Subtitle"/>
        <w:jc w:val="center"/>
      </w:pPr>
      <w:r>
        <w:t>HBL Series – Do CCT Programs Really (Reduce) Mortality? 10-Year Evidence from Mexico</w:t>
      </w:r>
    </w:p>
    <w:p/>
    <w:p>
      <w:pPr>
        <w:pStyle w:val="Heading1"/>
      </w:pPr>
      <w:r>
        <w:t>1. Óscar — ¿Por qué importa quién recibe la transferencia? (min 7–11)</w:t>
      </w:r>
    </w:p>
    <w:p>
      <w:pPr>
        <w:pStyle w:val="Heading2"/>
      </w:pPr>
      <w:r>
        <w:t>Comentario</w:t>
      </w:r>
    </w:p>
    <w:p>
      <w:r>
        <w:t>Óscar planteó una crítica conceptual de fondo a uno de los framings del paper: ¿por qué concentrarse en la identidad del receptor de la transferencia (la madre/jefa de hogar) versus simplemente pensar en un shock al budget constraint del hogar? Su argumento fue que, en ausencia de un modelo explícito de bargaining intra-hogar, es difícil justificar teóricamente por qué el receptor importa: el hogar es una unidad que incluye distintas generaciones (intergeneracional), y lo relevante económicamente sería que la restricción presupuestaria cambia y esos recursos se redistribuyen internamente entre los miembros.</w:t>
      </w:r>
    </w:p>
    <w:p>
      <w:r>
        <w:t>Óscar además hizo una segunda distinción metodológica importante: en el diseño reduced form que usamos, no podemos observar la asignación intra-hogar de recursos. Es decir, un resultado nulo en mortalidad podría deberse a dos escenarios muy distintos: (i) los recursos nunca llegaron al adulto mayor, o (ii) sí llegaron pero fueron insuficientes para generar un efecto. El paper no puede distinguir entre ambos.</w:t>
      </w:r>
    </w:p>
    <w:p>
      <w:pPr>
        <w:pStyle w:val="Heading2"/>
      </w:pPr>
      <w:r>
        <w:t>Respuesta</w:t>
      </w:r>
    </w:p>
    <w:p>
      <w:r>
        <w:t>La respuesta fue doble: (a) se reconoce que si la transferencia va a la jefa de hogar, no necesariamente el uso se traduce en beneficio para el adulto mayor; (b) se aborda el problema en la sección de mecanismos vía gastos en nutrición y visitas al médico, pero se admite que no tenemos datos de consumo a nivel individual (solo ingreso), y que la ENIGH tiene poder insuficiente para el periodo de interés. La encuesta experimental de Progresa tampoco permite descomponer el ingreso individual dentro del hogar.</w:t>
      </w:r>
    </w:p>
    <w:p>
      <w:pPr>
        <w:pStyle w:val="Heading1"/>
      </w:pPr>
      <w:r>
        <w:t>2. Eduardo — Endogeneidad de la intensidad de tratamiento (min 18–19)</w:t>
      </w:r>
    </w:p>
    <w:p>
      <w:pPr>
        <w:pStyle w:val="Heading2"/>
      </w:pPr>
      <w:r>
        <w:t>Comentario</w:t>
      </w:r>
    </w:p>
    <w:p>
      <w:r>
        <w:t>Planteó una crítica clásica de identificación: un municipio con mayor intensidad de tratamiento probablemente refleja mayor pobreza subyacente, y la pobreza correlaciona con peor mortalidad. Esto sesgaría los estimadores.</w:t>
      </w:r>
    </w:p>
    <w:p>
      <w:pPr>
        <w:pStyle w:val="Heading2"/>
      </w:pPr>
      <w:r>
        <w:t>Respuesta</w:t>
      </w:r>
    </w:p>
    <w:p>
      <w:r>
        <w:t>Nos apoyamos en (i) restringir la muestra a municipios altamente marginalizados (comparabilidad inicial), y (ii) usar la intensidad del 2005 para absorber heterogeneidad de riqueza dentro de ese grupo, comparando municipios similares en marginalidad baseline pero con distinta intensidad de tratamiento.</w:t>
      </w:r>
    </w:p>
    <w:p>
      <w:pPr>
        <w:pStyle w:val="Heading1"/>
      </w:pPr>
      <w:r>
        <w:t>3. Óscar — El problema de "comparaciones prohibidas" (Callaway-Sant'Anna) (min 24–31)</w:t>
      </w:r>
    </w:p>
    <w:p>
      <w:pPr>
        <w:pStyle w:val="Heading2"/>
      </w:pPr>
      <w:r>
        <w:t>Comentario</w:t>
      </w:r>
    </w:p>
    <w:p>
      <w:r>
        <w:t>Este fue el punto más debatido de toda la sesión. Óscar cuestionó fuertemente la lógica de fijar la intensidad de tratamiento en únicamente dos periodos (1999 y 2005) para lidiar con la adopción escalonada. Su argumento central fue que este approach no resuelve el problema de comparaciones prohibidas identificado por Callaway &amp; Sant'Anna: aunque uno "cargue" toda la heterogeneidad intermedia en el coeficiente del 2005, en la realidad hubo variación adicional de intensidad en 2000, 2001, 2002, 2003 y 2004 que se está ignorando, y esas cohortes intermedias siguen contaminando las comparaciones "prohibidas" entre already-treated y newly-treated.</w:t>
      </w:r>
    </w:p>
    <w:p>
      <w:r>
        <w:t>Óscar fue insistente pero honesto: "tengo que admitir que tengo que pensarlo más, pero mi intuición es que el hecho de que tú ignores que la intensidad va cambiando no te remueve el problema del staggered adoption". Calificó la solución como poco ortodoxa y sugirió dos caminos alternativos concretos:</w:t>
      </w:r>
    </w:p>
    <w:p>
      <w:pPr>
        <w:pStyle w:val="ListBullet"/>
      </w:pPr>
      <w:r>
        <w:t>Opción A — Callaway-Sant'Anna con tratamiento continuo a nivel municipio. Mencionó explícitamente que "ya hay day-two paper o 3 de tratamientos continuos" y que la literatura de diff-in-diff "cambia minuto a minuto". Aunque el tratamiento original fue a nivel de localidad (que no observamos), la intensidad municipal sí es calculable y podría alimentar estos nuevos estimadores como robustness.</w:t>
      </w:r>
    </w:p>
    <w:p>
      <w:pPr>
        <w:pStyle w:val="ListBullet"/>
      </w:pPr>
      <w:r>
        <w:t>Opción B — Binarizar el tratamiento + event study estándar. Definir un umbral (por ejemplo, ≥15% de intensidad = tratado, cero o muy bajo = control) y correr un event study año a año. Óscar lo calificó como "super clean desde el punto de vista de identificación" y "low hanging fruit". La crítica de que se pierden efectos heterogéneos la contrargumentó diciendo que precisamente eso es lo que uno quiere ver: la evolución año a año en un DiD estándar, sabiendo mentalmente que hay heterogeneidad detrás.</w:t>
      </w:r>
    </w:p>
    <w:p>
      <w:pPr>
        <w:pStyle w:val="Heading2"/>
      </w:pPr>
      <w:r>
        <w:t>Respuesta</w:t>
      </w:r>
    </w:p>
    <w:p>
      <w:r>
        <w:t>Se aceptó que ambos ejercicios son razonables y se comprometió a explorarlos como robustness. Se argumentó que la especificación actual carga toda la heterogeneidad intermedia en el coeficiente del 2005 y que la variación relevante para el paper es la de la fase inicial (1999). Óscar reiteró que era solo un comentario para pensarlo, sin estar 100% seguro de que el approach actual resuelva el problema.</w:t>
      </w:r>
    </w:p>
    <w:p>
      <w:pPr>
        <w:pStyle w:val="Heading1"/>
      </w:pPr>
      <w:r>
        <w:t>4. Óscar — Los pesos poblacionales pueden estar capturando heterogeneidad (min 44–47)</w:t>
      </w:r>
    </w:p>
    <w:p>
      <w:pPr>
        <w:pStyle w:val="Heading2"/>
      </w:pPr>
      <w:r>
        <w:t>Comentario</w:t>
      </w:r>
    </w:p>
    <w:p>
      <w:r>
        <w:t>Óscar observó que meter inverse population weights es una manera muy paramétrica de capturar potenciales efectos heterogéneos por tamaño de municipio, y sugirió complementar con análisis no paramétrico por subsamples (municipios grandes / medianos / chicos). Esto ayudaría además a explicar la discrepancia con Barham &amp; Rovery, quienes no usaron pesos y encontraron efectos.</w:t>
      </w:r>
    </w:p>
    <w:p>
      <w:pPr>
        <w:pStyle w:val="Heading2"/>
      </w:pPr>
      <w:r>
        <w:t>Respuesta</w:t>
      </w:r>
    </w:p>
    <w:p>
      <w:r>
        <w:t>Se justificó el uso de pesos poblacionales como una forma de reflejar proporcionalmente la contribución total a la mortalidad, dado que los municipios varían enormemente en tamaño. Se mostró en el progressive trimming que a medida que se remueven municipios más pequeños, el coeficiente sin pesos converge hacia el estimado con pesos, sugiriendo que el tamaño municipal es una fuente relevante de heterogeneidad. Se aceptó explorar el análisis por subsamples como robustness adicional.</w:t>
      </w:r>
    </w:p>
    <w:p>
      <w:pPr>
        <w:pStyle w:val="Heading1"/>
      </w:pPr>
      <w:r>
        <w:t>5. Luis — Heterogeneidad por tipo de beneficiario (min 47–49)</w:t>
      </w:r>
    </w:p>
    <w:p>
      <w:pPr>
        <w:pStyle w:val="Heading2"/>
      </w:pPr>
      <w:r>
        <w:t>Comentario</w:t>
      </w:r>
    </w:p>
    <w:p>
      <w:r>
        <w:t>Luis extendió la sugerencia de Óscar sobre subsamples, pero llevándola en una dirección distinta: en lugar de heterogeneidad por tamaño del municipio, propuso mirar heterogeneidad por características de la población beneficiaria. Su lógica fue precisa: la literatura sugiere que ciertos subgrupos son más susceptibles a beneficiarse en términos de reducción de mortalidad, y si se promedian todos los municipios se podría estar diluyendo un efecto real en un subgrupo específico con un cero en otro.</w:t>
      </w:r>
    </w:p>
    <w:p>
      <w:r>
        <w:t>Reconoció que si solo hay datos a nivel de ubicación (municipio), aún se podría explotar el porcentaje de la población municipal que es particularmente vulnerable (por ejemplo, adultos mayores en pobreza extrema, hogares con ciertas características de composición, etc.) y usar eso como dimensión de heterogeneidad. Sugirió mirar la literatura previa para identificar exactamente quién es el subgrupo teóricamente más susceptible a mejorar en mortalidad.</w:t>
      </w:r>
    </w:p>
    <w:p>
      <w:pPr>
        <w:pStyle w:val="Heading2"/>
      </w:pPr>
      <w:r>
        <w:t>Respuesta</w:t>
      </w:r>
    </w:p>
    <w:p>
      <w:r>
        <w:t>Se reconoció la limitación estructural: la mortalidad solo se observa a nivel municipio, no a nivel individuo ni localidad, así que cualquier heterogeneidad termina siendo por características agregadas municipales. Se mencionó que la sugerencia de binarizar (de Óscar) podría permitir avanzar parcialmente en esa línea, combinando el tratamiento binario con dimensiones de vulnerabilidad municipal.</w:t>
      </w:r>
    </w:p>
    <w:p>
      <w:pPr>
        <w:pStyle w:val="Heading1"/>
      </w:pPr>
      <w:r>
        <w:t>6. León + Eduardo — Calidad del supply de salud como mecanismo (min 49–51 y 55–57)</w:t>
      </w:r>
    </w:p>
    <w:p>
      <w:pPr>
        <w:pStyle w:val="Heading2"/>
      </w:pPr>
      <w:r>
        <w:t>Comentario</w:t>
      </w:r>
    </w:p>
    <w:p>
      <w:r>
        <w:t>Parte 1 (León): Planteó que la ausencia de efectos sobre mortalidad podría no reflejar la inefectividad del programa, sino la mala calidad del supply de servicios de salud en las zonas rurales marginalizadas. La lógica es que aunque el hogar reciba dinero y cumpla la condicionalidad de visita clínica, si el centro de salud no tiene capacidad resolutiva, el efecto sobre mortalidad será nulo. Esto tiene una implicación de política importante: no es que Progresa haya fallado, sino que solo pudo haber tenido efecto donde había margen en el supply.</w:t>
      </w:r>
    </w:p>
    <w:p>
      <w:r>
        <w:t>Parte 2 (Eduardo): Retomó exactamente esta línea con una sugerencia concreta de datos. Recordó el paper que él trabajó con Julio Ramos y Sebastián Bauhoff sobre mortalidad infantil que usaba apertura de hospitales como fuente de variación cuasi-exógena. La sugerencia fue doble: (i) usar la presencia/apertura de hospitales como control adicional, y (ii) explotarla como fuente de heterogeneidad —el efecto de Progresa sobre mortalidad debería concentrarse en municipios con mejor infraestructura hospitalaria. Eduardo mismo relativizó: "no estoy muy seguro qué tan importantes son hospitales para mortalidad de adultos mayores".</w:t>
      </w:r>
    </w:p>
    <w:p>
      <w:pPr>
        <w:pStyle w:val="Heading2"/>
      </w:pPr>
      <w:r>
        <w:t>Respuesta</w:t>
      </w:r>
    </w:p>
    <w:p>
      <w:r>
        <w:t>Se explicó que se controla por el roll-out del Seguro Popular como proxy de expansión del supply, y los resultados no cambian. Además hay efectos fijos de municipio que absorben diferencias estructurales en el supply de salud. Se reconoció, sin embargo, que los datos detallados de infraestructura y personal de salud a nivel localidad empiezan solo en 2001, por lo que no hay pre-trends para hacer un control más fino en el periodo relevante. Se aceptó la sugerencia de contactar a Julio Ramos para explorar bases de datos alternativas de infraestructura hospitalaria que cubran el periodo pre-2001.</w:t>
      </w:r>
    </w:p>
    <w:p>
      <w:pPr>
        <w:pStyle w:val="Heading1"/>
      </w:pPr>
      <w:r>
        <w:t>7. Leonel — Efectos del programa sobre migración (min 22–24)</w:t>
      </w:r>
    </w:p>
    <w:p>
      <w:pPr>
        <w:pStyle w:val="Heading2"/>
      </w:pPr>
      <w:r>
        <w:t>Comentario</w:t>
      </w:r>
    </w:p>
    <w:p>
      <w:r>
        <w:t>Leonel planteó una preocupación sobre un canal potencialmente confundidor que la literatura ha documentado sobre Progresa: sus efectos heterogéneos sobre la migración. Su argumento se estructuró en dos partes:</w:t>
      </w:r>
    </w:p>
    <w:p>
      <w:pPr>
        <w:pStyle w:val="ListBullet"/>
      </w:pPr>
      <w:r>
        <w:t>Evidencia de corto plazo: Recordó que hay literatura que muestra que Progresa redujo la migración internacional (hacia Estados Unidos) en el corto plazo, sin afectar la migración interna. Esto es relevante porque los migrantes internacionales tienen patrones de mortalidad distintos al resto de la población (por selección positiva en salud, edad, etc.), por lo que un cambio en la composición de quienes se quedan en el municipio podría contaminar las estimaciones de mortalidad.</w:t>
      </w:r>
    </w:p>
    <w:p>
      <w:pPr>
        <w:pStyle w:val="ListBullet"/>
      </w:pPr>
      <w:r>
        <w:t>Evidencia de largo plazo: Mencionó además que hay evidencia más reciente en la dirección opuesta: hogares que recibieron transferencias más grandes (típicamente asociadas a la presencia de adolescentes o composición familiar específica) sí migraron más a Estados Unidos en el largo plazo. Esto abre la posibilidad de que en la ventana de 10 años que estudiamos, el efecto sobre migración cambie de signo, complicando aún más la interpretación.</w:t>
      </w:r>
    </w:p>
    <w:p>
      <w:r>
        <w:t>Su pregunta concreta fue cómo lidiamos con este canal —tanto para migración interna entre municipios como para migración internacional— dentro del sampling y la identificación.</w:t>
      </w:r>
    </w:p>
    <w:p>
      <w:pPr>
        <w:pStyle w:val="Heading2"/>
      </w:pPr>
      <w:r>
        <w:t>Respuesta</w:t>
      </w:r>
    </w:p>
    <w:p>
      <w:r>
        <w:t>La respuesta tuvo tres componentes:</w:t>
      </w:r>
    </w:p>
    <w:p>
      <w:pPr>
        <w:pStyle w:val="ListBullet"/>
      </w:pPr>
      <w:r>
        <w:t>Nos apoyamos en la literatura previa (Marco Stampini en Demography, 2005) que encuentra que no hay efectos de Progresa sobre migración en la vejez, que es nuestro grupo de interés. Es decir, aunque el programa haya movido a jóvenes o adolescentes, no habría movido a adultos mayores.</w:t>
      </w:r>
    </w:p>
    <w:p>
      <w:pPr>
        <w:pStyle w:val="ListBullet"/>
      </w:pPr>
      <w:r>
        <w:t>Complementariamente, usamos la MHAS (Mexican Health and Aging Study) —similar en diseño al HRS de EE.UU.— para verificar directamente si había migración significativa en adultos mayores atribuible al programa, y no encontramos evidencia. Se reconoció que no se testeó directamente en los datos administrativos de mortalidad, pero a priori no se ve un mecanismo claro por el cual Progresa (que no estaba enfocado en adultos mayores) movería a este grupo específico.</w:t>
      </w:r>
    </w:p>
    <w:p>
      <w:pPr>
        <w:pStyle w:val="ListBullet"/>
      </w:pPr>
      <w:r>
        <w:t>Como contraste, se mencionó que en otro paper sobre el programa "70 y más" —esa transferencia sí dirigida al adulto mayor— sí encontramos migración interna como respuesta al programa. Esto refuerza indirectamente el argumento: cuando el programa está dirigido al adulto mayor, sí hay migración; cuando no lo está (Progresa), no la hay.</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Felipe Menares</lastModifiedBy>
  <revision>2</revision>
  <dcterms:created xsi:type="dcterms:W3CDTF">2026-07-02T19:07:55.5345786Z</dcterms:created>
  <dcterms:modified xsi:type="dcterms:W3CDTF">2026-07-02T19:07:55.5345786Z</dcterms:modified>
  <dc:creator>Felipe Menares</dc:creator>
</coreProperties>
</file>