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9021A" w14:textId="77777777" w:rsidR="00854DF6" w:rsidRDefault="00854DF6" w:rsidP="00EA784B">
      <w:pPr>
        <w:spacing w:before="100" w:beforeAutospacing="1" w:after="100" w:afterAutospacing="1" w:line="240" w:lineRule="auto"/>
        <w:outlineLvl w:val="3"/>
        <w:rPr>
          <w:rFonts w:ascii="Arial" w:eastAsia="Times New Roman" w:hAnsi="Arial" w:cs="Arial"/>
          <w:bCs/>
          <w:sz w:val="20"/>
          <w:szCs w:val="20"/>
          <w:lang w:val="en-GB" w:eastAsia="it-IT"/>
        </w:rPr>
      </w:pPr>
      <w:bookmarkStart w:id="0" w:name="_GoBack"/>
      <w:bookmarkEnd w:id="0"/>
      <w:r>
        <w:rPr>
          <w:rFonts w:ascii="Arial" w:eastAsia="Times New Roman" w:hAnsi="Arial" w:cs="Arial"/>
          <w:bCs/>
          <w:sz w:val="20"/>
          <w:szCs w:val="20"/>
          <w:lang w:val="en-GB" w:eastAsia="it-IT"/>
        </w:rPr>
        <w:t>The gagged teacup</w:t>
      </w:r>
    </w:p>
    <w:p w14:paraId="4AC2655A" w14:textId="77777777" w:rsidR="00EA784B" w:rsidRPr="00795DFE" w:rsidRDefault="00EA784B" w:rsidP="00EA784B">
      <w:pPr>
        <w:spacing w:before="100" w:beforeAutospacing="1" w:after="100" w:afterAutospacing="1" w:line="240" w:lineRule="auto"/>
        <w:outlineLvl w:val="3"/>
        <w:rPr>
          <w:rFonts w:ascii="Arial" w:eastAsia="Times New Roman" w:hAnsi="Arial" w:cs="Arial"/>
          <w:bCs/>
          <w:sz w:val="20"/>
          <w:szCs w:val="20"/>
          <w:lang w:val="en-GB" w:eastAsia="it-IT"/>
        </w:rPr>
      </w:pPr>
      <w:proofErr w:type="spellStart"/>
      <w:r w:rsidRPr="00795DFE">
        <w:rPr>
          <w:rFonts w:ascii="Arial" w:eastAsia="Times New Roman" w:hAnsi="Arial" w:cs="Arial"/>
          <w:bCs/>
          <w:sz w:val="20"/>
          <w:szCs w:val="20"/>
          <w:lang w:val="en-GB" w:eastAsia="it-IT"/>
        </w:rPr>
        <w:t>Srivatsan’s</w:t>
      </w:r>
      <w:proofErr w:type="spellEnd"/>
      <w:r w:rsidRPr="00795DFE">
        <w:rPr>
          <w:rFonts w:ascii="Arial" w:eastAsia="Times New Roman" w:hAnsi="Arial" w:cs="Arial"/>
          <w:bCs/>
          <w:sz w:val="20"/>
          <w:szCs w:val="20"/>
          <w:lang w:val="en-GB" w:eastAsia="it-IT"/>
        </w:rPr>
        <w:t xml:space="preserve"> powerful commentary is an important reminder that we live in an era of new </w:t>
      </w:r>
      <w:proofErr w:type="spellStart"/>
      <w:r w:rsidRPr="00795DFE">
        <w:rPr>
          <w:rFonts w:ascii="Arial" w:eastAsia="Times New Roman" w:hAnsi="Arial" w:cs="Arial"/>
          <w:bCs/>
          <w:sz w:val="20"/>
          <w:szCs w:val="20"/>
          <w:lang w:val="en-GB" w:eastAsia="it-IT"/>
        </w:rPr>
        <w:t>McCarthysm</w:t>
      </w:r>
      <w:proofErr w:type="spellEnd"/>
      <w:r w:rsidRPr="00795DFE">
        <w:rPr>
          <w:rFonts w:ascii="Arial" w:eastAsia="Times New Roman" w:hAnsi="Arial" w:cs="Arial"/>
          <w:bCs/>
          <w:sz w:val="20"/>
          <w:szCs w:val="20"/>
          <w:lang w:val="en-GB" w:eastAsia="it-IT"/>
        </w:rPr>
        <w:t>.</w:t>
      </w:r>
    </w:p>
    <w:p w14:paraId="1EB71998" w14:textId="77777777" w:rsidR="00795DFE" w:rsidRPr="00795DFE" w:rsidRDefault="00795DFE"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795DFE">
        <w:rPr>
          <w:rFonts w:ascii="Arial" w:eastAsia="Times New Roman" w:hAnsi="Arial" w:cs="Arial"/>
          <w:bCs/>
          <w:sz w:val="20"/>
          <w:szCs w:val="20"/>
          <w:lang w:val="en-GB" w:eastAsia="it-IT"/>
        </w:rPr>
        <w:t xml:space="preserve">The issue of </w:t>
      </w:r>
      <w:r w:rsidR="00854DF6">
        <w:rPr>
          <w:rFonts w:ascii="Arial" w:eastAsia="Times New Roman" w:hAnsi="Arial" w:cs="Arial"/>
          <w:bCs/>
          <w:sz w:val="20"/>
          <w:szCs w:val="20"/>
          <w:lang w:val="en-GB" w:eastAsia="it-IT"/>
        </w:rPr>
        <w:t xml:space="preserve">the sacking of </w:t>
      </w:r>
      <w:r w:rsidRPr="00795DFE">
        <w:rPr>
          <w:rFonts w:ascii="Arial" w:eastAsia="Times New Roman" w:hAnsi="Arial" w:cs="Arial"/>
          <w:bCs/>
          <w:sz w:val="20"/>
          <w:szCs w:val="20"/>
          <w:lang w:val="en-GB" w:eastAsia="it-IT"/>
        </w:rPr>
        <w:t>Peter Gøtzche is com</w:t>
      </w:r>
      <w:r>
        <w:rPr>
          <w:rFonts w:ascii="Arial" w:eastAsia="Times New Roman" w:hAnsi="Arial" w:cs="Arial"/>
          <w:bCs/>
          <w:sz w:val="20"/>
          <w:szCs w:val="20"/>
          <w:lang w:val="en-GB" w:eastAsia="it-IT"/>
        </w:rPr>
        <w:t>p</w:t>
      </w:r>
      <w:r w:rsidRPr="00795DFE">
        <w:rPr>
          <w:rFonts w:ascii="Arial" w:eastAsia="Times New Roman" w:hAnsi="Arial" w:cs="Arial"/>
          <w:bCs/>
          <w:sz w:val="20"/>
          <w:szCs w:val="20"/>
          <w:lang w:val="en-GB" w:eastAsia="it-IT"/>
        </w:rPr>
        <w:t>lex</w:t>
      </w:r>
      <w:r>
        <w:rPr>
          <w:rFonts w:ascii="Arial" w:eastAsia="Times New Roman" w:hAnsi="Arial" w:cs="Arial"/>
          <w:bCs/>
          <w:sz w:val="20"/>
          <w:szCs w:val="20"/>
          <w:lang w:val="en-GB" w:eastAsia="it-IT"/>
        </w:rPr>
        <w:t xml:space="preserve"> and has two linked aspects. The first are the facts of his dismissal and the second is our work on Human Papillomavirus (HPV) vaccines </w:t>
      </w:r>
    </w:p>
    <w:p w14:paraId="715DA545" w14:textId="77777777" w:rsidR="009969CB" w:rsidRDefault="006D2C65"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795DFE">
        <w:rPr>
          <w:rFonts w:ascii="Arial" w:eastAsia="Times New Roman" w:hAnsi="Arial" w:cs="Arial"/>
          <w:bCs/>
          <w:sz w:val="20"/>
          <w:szCs w:val="20"/>
          <w:lang w:val="en-GB" w:eastAsia="it-IT"/>
        </w:rPr>
        <w:t>Peter Gøtzche</w:t>
      </w:r>
      <w:r>
        <w:rPr>
          <w:rFonts w:ascii="Arial" w:eastAsia="Times New Roman" w:hAnsi="Arial" w:cs="Arial"/>
          <w:bCs/>
          <w:sz w:val="20"/>
          <w:szCs w:val="20"/>
          <w:lang w:val="en-GB" w:eastAsia="it-IT"/>
        </w:rPr>
        <w:t xml:space="preserve">’s dismissal was because of “bad behaviour”, defined by the Board as repeated presentation of personal views as those of Cochrane despite requests and promises not do so” and </w:t>
      </w:r>
      <w:r>
        <w:rPr>
          <w:rFonts w:ascii="Arial" w:eastAsia="Times New Roman" w:hAnsi="Arial" w:cs="Arial"/>
          <w:bCs/>
          <w:noProof/>
          <w:sz w:val="20"/>
          <w:szCs w:val="20"/>
          <w:lang w:eastAsia="it-IT"/>
        </w:rPr>
        <w:drawing>
          <wp:inline distT="0" distB="0" distL="0" distR="0" wp14:anchorId="3F3FBFD1" wp14:editId="0BAE9AB8">
            <wp:extent cx="29210" cy="7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10" cy="7620"/>
                    </a:xfrm>
                    <a:prstGeom prst="rect">
                      <a:avLst/>
                    </a:prstGeom>
                    <a:noFill/>
                    <a:ln>
                      <a:noFill/>
                    </a:ln>
                  </pic:spPr>
                </pic:pic>
              </a:graphicData>
            </a:graphic>
          </wp:inline>
        </w:drawing>
      </w:r>
      <w:r>
        <w:rPr>
          <w:rFonts w:ascii="Arial" w:eastAsia="Times New Roman" w:hAnsi="Arial" w:cs="Arial"/>
          <w:bCs/>
          <w:sz w:val="20"/>
          <w:szCs w:val="20"/>
          <w:lang w:val="en-GB" w:eastAsia="it-IT"/>
        </w:rPr>
        <w:t xml:space="preserve">serious defamatory and outrageous allegations against Cochrane colleagues – and publicly”. The full </w:t>
      </w:r>
      <w:r w:rsidR="009969CB">
        <w:rPr>
          <w:rFonts w:ascii="Arial" w:eastAsia="Times New Roman" w:hAnsi="Arial" w:cs="Arial"/>
          <w:bCs/>
          <w:sz w:val="20"/>
          <w:szCs w:val="20"/>
          <w:lang w:val="en-GB" w:eastAsia="it-IT"/>
        </w:rPr>
        <w:t xml:space="preserve">list of “charges” </w:t>
      </w:r>
      <w:r>
        <w:rPr>
          <w:rFonts w:ascii="Arial" w:eastAsia="Times New Roman" w:hAnsi="Arial" w:cs="Arial"/>
          <w:bCs/>
          <w:sz w:val="20"/>
          <w:szCs w:val="20"/>
          <w:lang w:val="en-GB" w:eastAsia="it-IT"/>
        </w:rPr>
        <w:t xml:space="preserve">can be accessed here: </w:t>
      </w:r>
      <w:hyperlink r:id="rId6" w:history="1">
        <w:r w:rsidRPr="007D33AF">
          <w:rPr>
            <w:rStyle w:val="Hyperlink"/>
            <w:rFonts w:ascii="Arial" w:eastAsia="Times New Roman" w:hAnsi="Arial" w:cs="Arial"/>
            <w:bCs/>
            <w:sz w:val="20"/>
            <w:szCs w:val="20"/>
            <w:lang w:val="en-GB" w:eastAsia="it-IT"/>
          </w:rPr>
          <w:t>https://community.cochrane.org/news/governing-board-webinars-october-2018</w:t>
        </w:r>
      </w:hyperlink>
      <w:r>
        <w:rPr>
          <w:rFonts w:ascii="Arial" w:eastAsia="Times New Roman" w:hAnsi="Arial" w:cs="Arial"/>
          <w:bCs/>
          <w:sz w:val="20"/>
          <w:szCs w:val="20"/>
          <w:lang w:val="en-GB" w:eastAsia="it-IT"/>
        </w:rPr>
        <w:t xml:space="preserve">. </w:t>
      </w:r>
      <w:r w:rsidR="009969CB">
        <w:rPr>
          <w:rFonts w:ascii="Arial" w:eastAsia="Times New Roman" w:hAnsi="Arial" w:cs="Arial"/>
          <w:bCs/>
          <w:sz w:val="20"/>
          <w:szCs w:val="20"/>
          <w:lang w:val="en-GB" w:eastAsia="it-IT"/>
        </w:rPr>
        <w:t>So far n</w:t>
      </w:r>
      <w:r>
        <w:rPr>
          <w:rFonts w:ascii="Arial" w:eastAsia="Times New Roman" w:hAnsi="Arial" w:cs="Arial"/>
          <w:bCs/>
          <w:sz w:val="20"/>
          <w:szCs w:val="20"/>
          <w:lang w:val="en-GB" w:eastAsia="it-IT"/>
        </w:rPr>
        <w:t xml:space="preserve">o hard evidence to back these </w:t>
      </w:r>
      <w:r w:rsidR="009969CB">
        <w:rPr>
          <w:rFonts w:ascii="Arial" w:eastAsia="Times New Roman" w:hAnsi="Arial" w:cs="Arial"/>
          <w:bCs/>
          <w:sz w:val="20"/>
          <w:szCs w:val="20"/>
          <w:lang w:val="en-GB" w:eastAsia="it-IT"/>
        </w:rPr>
        <w:t>“</w:t>
      </w:r>
      <w:r>
        <w:rPr>
          <w:rFonts w:ascii="Arial" w:eastAsia="Times New Roman" w:hAnsi="Arial" w:cs="Arial"/>
          <w:bCs/>
          <w:sz w:val="20"/>
          <w:szCs w:val="20"/>
          <w:lang w:val="en-GB" w:eastAsia="it-IT"/>
        </w:rPr>
        <w:t>charges</w:t>
      </w:r>
      <w:r w:rsidR="009969CB">
        <w:rPr>
          <w:rFonts w:ascii="Arial" w:eastAsia="Times New Roman" w:hAnsi="Arial" w:cs="Arial"/>
          <w:bCs/>
          <w:sz w:val="20"/>
          <w:szCs w:val="20"/>
          <w:lang w:val="en-GB" w:eastAsia="it-IT"/>
        </w:rPr>
        <w:t>”</w:t>
      </w:r>
      <w:r>
        <w:rPr>
          <w:rFonts w:ascii="Arial" w:eastAsia="Times New Roman" w:hAnsi="Arial" w:cs="Arial"/>
          <w:bCs/>
          <w:sz w:val="20"/>
          <w:szCs w:val="20"/>
          <w:lang w:val="en-GB" w:eastAsia="it-IT"/>
        </w:rPr>
        <w:t xml:space="preserve"> has ever been produced by the rump Management Board</w:t>
      </w:r>
      <w:r w:rsidR="009969CB">
        <w:rPr>
          <w:rFonts w:ascii="Arial" w:eastAsia="Times New Roman" w:hAnsi="Arial" w:cs="Arial"/>
          <w:bCs/>
          <w:sz w:val="20"/>
          <w:szCs w:val="20"/>
          <w:lang w:val="en-GB" w:eastAsia="it-IT"/>
        </w:rPr>
        <w:t xml:space="preserve">. </w:t>
      </w:r>
      <w:r w:rsidRPr="00795DFE">
        <w:rPr>
          <w:rFonts w:ascii="Arial" w:eastAsia="Times New Roman" w:hAnsi="Arial" w:cs="Arial"/>
          <w:bCs/>
          <w:sz w:val="20"/>
          <w:szCs w:val="20"/>
          <w:lang w:val="en-GB" w:eastAsia="it-IT"/>
        </w:rPr>
        <w:t>Peter Gøtzche</w:t>
      </w:r>
      <w:r w:rsidR="003E7973">
        <w:rPr>
          <w:rFonts w:ascii="Arial" w:eastAsia="Times New Roman" w:hAnsi="Arial" w:cs="Arial"/>
          <w:bCs/>
          <w:sz w:val="20"/>
          <w:szCs w:val="20"/>
          <w:lang w:val="en-GB" w:eastAsia="it-IT"/>
        </w:rPr>
        <w:t xml:space="preserve"> </w:t>
      </w:r>
      <w:r w:rsidR="00EA784B" w:rsidRPr="00795DFE">
        <w:rPr>
          <w:rFonts w:ascii="Arial" w:eastAsia="Times New Roman" w:hAnsi="Arial" w:cs="Arial"/>
          <w:bCs/>
          <w:sz w:val="20"/>
          <w:szCs w:val="20"/>
          <w:lang w:val="en-GB" w:eastAsia="it-IT"/>
        </w:rPr>
        <w:t xml:space="preserve">was sacked because his style and his message are not popular in an organisation which has lost sight of its </w:t>
      </w:r>
      <w:proofErr w:type="spellStart"/>
      <w:r w:rsidR="00EA784B" w:rsidRPr="00795DFE">
        <w:rPr>
          <w:rFonts w:ascii="Arial" w:eastAsia="Times New Roman" w:hAnsi="Arial" w:cs="Arial"/>
          <w:bCs/>
          <w:sz w:val="20"/>
          <w:szCs w:val="20"/>
          <w:lang w:val="en-GB" w:eastAsia="it-IT"/>
        </w:rPr>
        <w:t>birthright</w:t>
      </w:r>
      <w:proofErr w:type="spellEnd"/>
      <w:r w:rsidR="00854DF6">
        <w:rPr>
          <w:rFonts w:ascii="Arial" w:eastAsia="Times New Roman" w:hAnsi="Arial" w:cs="Arial"/>
          <w:bCs/>
          <w:sz w:val="20"/>
          <w:szCs w:val="20"/>
          <w:lang w:val="en-GB" w:eastAsia="it-IT"/>
        </w:rPr>
        <w:t xml:space="preserve"> and is intent in tightly controlling the release of information it produces</w:t>
      </w:r>
      <w:r w:rsidR="00EA784B" w:rsidRPr="00795DFE">
        <w:rPr>
          <w:rFonts w:ascii="Arial" w:eastAsia="Times New Roman" w:hAnsi="Arial" w:cs="Arial"/>
          <w:bCs/>
          <w:sz w:val="20"/>
          <w:szCs w:val="20"/>
          <w:lang w:val="en-GB" w:eastAsia="it-IT"/>
        </w:rPr>
        <w:t xml:space="preserve">. Those present at the Annual General Meeting </w:t>
      </w:r>
      <w:r w:rsidR="003E7973">
        <w:rPr>
          <w:rFonts w:ascii="Arial" w:eastAsia="Times New Roman" w:hAnsi="Arial" w:cs="Arial"/>
          <w:bCs/>
          <w:sz w:val="20"/>
          <w:szCs w:val="20"/>
          <w:lang w:val="en-GB" w:eastAsia="it-IT"/>
        </w:rPr>
        <w:t xml:space="preserve">in September </w:t>
      </w:r>
      <w:r w:rsidR="00EA784B" w:rsidRPr="00795DFE">
        <w:rPr>
          <w:rFonts w:ascii="Arial" w:eastAsia="Times New Roman" w:hAnsi="Arial" w:cs="Arial"/>
          <w:bCs/>
          <w:sz w:val="20"/>
          <w:szCs w:val="20"/>
          <w:lang w:val="en-GB" w:eastAsia="it-IT"/>
        </w:rPr>
        <w:t>or those who have wat</w:t>
      </w:r>
      <w:r w:rsidR="003E7973">
        <w:rPr>
          <w:rFonts w:ascii="Arial" w:eastAsia="Times New Roman" w:hAnsi="Arial" w:cs="Arial"/>
          <w:bCs/>
          <w:sz w:val="20"/>
          <w:szCs w:val="20"/>
          <w:lang w:val="en-GB" w:eastAsia="it-IT"/>
        </w:rPr>
        <w:t>c</w:t>
      </w:r>
      <w:r w:rsidR="00EA784B" w:rsidRPr="00795DFE">
        <w:rPr>
          <w:rFonts w:ascii="Arial" w:eastAsia="Times New Roman" w:hAnsi="Arial" w:cs="Arial"/>
          <w:bCs/>
          <w:sz w:val="20"/>
          <w:szCs w:val="20"/>
          <w:lang w:val="en-GB" w:eastAsia="it-IT"/>
        </w:rPr>
        <w:t>hed the reco</w:t>
      </w:r>
      <w:r w:rsidR="003E7973">
        <w:rPr>
          <w:rFonts w:ascii="Arial" w:eastAsia="Times New Roman" w:hAnsi="Arial" w:cs="Arial"/>
          <w:bCs/>
          <w:sz w:val="20"/>
          <w:szCs w:val="20"/>
          <w:lang w:val="en-GB" w:eastAsia="it-IT"/>
        </w:rPr>
        <w:t xml:space="preserve">rding will remember the sheer </w:t>
      </w:r>
      <w:r w:rsidR="00EA784B" w:rsidRPr="00795DFE">
        <w:rPr>
          <w:rFonts w:ascii="Arial" w:eastAsia="Times New Roman" w:hAnsi="Arial" w:cs="Arial"/>
          <w:bCs/>
          <w:sz w:val="20"/>
          <w:szCs w:val="20"/>
          <w:lang w:val="en-GB" w:eastAsia="it-IT"/>
        </w:rPr>
        <w:t xml:space="preserve">venom with which Peter’s expulsion was </w:t>
      </w:r>
      <w:r w:rsidR="003E7973">
        <w:rPr>
          <w:rFonts w:ascii="Arial" w:eastAsia="Times New Roman" w:hAnsi="Arial" w:cs="Arial"/>
          <w:bCs/>
          <w:sz w:val="20"/>
          <w:szCs w:val="20"/>
          <w:lang w:val="en-GB" w:eastAsia="it-IT"/>
        </w:rPr>
        <w:t>discussed</w:t>
      </w:r>
      <w:r w:rsidR="00EA784B" w:rsidRPr="00795DFE">
        <w:rPr>
          <w:rFonts w:ascii="Arial" w:eastAsia="Times New Roman" w:hAnsi="Arial" w:cs="Arial"/>
          <w:bCs/>
          <w:sz w:val="20"/>
          <w:szCs w:val="20"/>
          <w:lang w:val="en-GB" w:eastAsia="it-IT"/>
        </w:rPr>
        <w:t>.</w:t>
      </w:r>
      <w:r w:rsidR="003E7973">
        <w:rPr>
          <w:rFonts w:ascii="Arial" w:eastAsia="Times New Roman" w:hAnsi="Arial" w:cs="Arial"/>
          <w:bCs/>
          <w:sz w:val="20"/>
          <w:szCs w:val="20"/>
          <w:lang w:val="en-GB" w:eastAsia="it-IT"/>
        </w:rPr>
        <w:t xml:space="preserve"> </w:t>
      </w:r>
      <w:r w:rsidR="00854DF6">
        <w:rPr>
          <w:rFonts w:ascii="Arial" w:eastAsia="Times New Roman" w:hAnsi="Arial" w:cs="Arial"/>
          <w:bCs/>
          <w:sz w:val="20"/>
          <w:szCs w:val="20"/>
          <w:lang w:val="en-GB" w:eastAsia="it-IT"/>
        </w:rPr>
        <w:t>B</w:t>
      </w:r>
      <w:r w:rsidR="003E7973">
        <w:rPr>
          <w:rFonts w:ascii="Arial" w:eastAsia="Times New Roman" w:hAnsi="Arial" w:cs="Arial"/>
          <w:bCs/>
          <w:sz w:val="20"/>
          <w:szCs w:val="20"/>
          <w:lang w:val="en-GB" w:eastAsia="it-IT"/>
        </w:rPr>
        <w:t>alanced statements</w:t>
      </w:r>
      <w:r w:rsidR="00854DF6">
        <w:rPr>
          <w:rFonts w:ascii="Arial" w:eastAsia="Times New Roman" w:hAnsi="Arial" w:cs="Arial"/>
          <w:bCs/>
          <w:sz w:val="20"/>
          <w:szCs w:val="20"/>
          <w:lang w:val="en-GB" w:eastAsia="it-IT"/>
        </w:rPr>
        <w:t>, propo</w:t>
      </w:r>
      <w:r w:rsidR="009969CB">
        <w:rPr>
          <w:rFonts w:ascii="Arial" w:eastAsia="Times New Roman" w:hAnsi="Arial" w:cs="Arial"/>
          <w:bCs/>
          <w:sz w:val="20"/>
          <w:szCs w:val="20"/>
          <w:lang w:val="en-GB" w:eastAsia="it-IT"/>
        </w:rPr>
        <w:t>s</w:t>
      </w:r>
      <w:r w:rsidR="00854DF6">
        <w:rPr>
          <w:rFonts w:ascii="Arial" w:eastAsia="Times New Roman" w:hAnsi="Arial" w:cs="Arial"/>
          <w:bCs/>
          <w:sz w:val="20"/>
          <w:szCs w:val="20"/>
          <w:lang w:val="en-GB" w:eastAsia="it-IT"/>
        </w:rPr>
        <w:t>als</w:t>
      </w:r>
      <w:r w:rsidR="003E7973">
        <w:rPr>
          <w:rFonts w:ascii="Arial" w:eastAsia="Times New Roman" w:hAnsi="Arial" w:cs="Arial"/>
          <w:bCs/>
          <w:sz w:val="20"/>
          <w:szCs w:val="20"/>
          <w:lang w:val="en-GB" w:eastAsia="it-IT"/>
        </w:rPr>
        <w:t xml:space="preserve"> and analyses of the facts can be found in </w:t>
      </w:r>
      <w:r w:rsidR="003E7973" w:rsidRPr="003E7973">
        <w:rPr>
          <w:lang w:val="en-GB"/>
        </w:rPr>
        <w:t xml:space="preserve">the statement by the Directors of the </w:t>
      </w:r>
      <w:proofErr w:type="spellStart"/>
      <w:r w:rsidR="003E7973" w:rsidRPr="003E7973">
        <w:rPr>
          <w:lang w:val="en-GB"/>
        </w:rPr>
        <w:t>Iberoamerica</w:t>
      </w:r>
      <w:r w:rsidR="003E7973">
        <w:rPr>
          <w:lang w:val="en-GB"/>
        </w:rPr>
        <w:t>n</w:t>
      </w:r>
      <w:proofErr w:type="spellEnd"/>
      <w:r w:rsidR="003E7973">
        <w:rPr>
          <w:lang w:val="en-GB"/>
        </w:rPr>
        <w:t xml:space="preserve"> Cochrane Network</w:t>
      </w:r>
      <w:r w:rsidR="003E7973" w:rsidRPr="003E7973">
        <w:rPr>
          <w:lang w:val="en-GB"/>
        </w:rPr>
        <w:t xml:space="preserve">: </w:t>
      </w:r>
      <w:hyperlink r:id="rId7" w:tgtFrame="_blank" w:history="1">
        <w:r w:rsidR="003E7973" w:rsidRPr="003E7973">
          <w:rPr>
            <w:rStyle w:val="Hyperlink"/>
            <w:lang w:val="en-GB"/>
          </w:rPr>
          <w:t>http://www.nogracias.eu/2018/10/06/the-cochrane-iberoamerican-network-asks-to-improve-the-governance-of-the-organisation-as-well-as-transparency-participation-and-an-independent-review-of-the-peter-gotzsches-process/</w:t>
        </w:r>
      </w:hyperlink>
      <w:r w:rsidR="003E7973" w:rsidRPr="003E7973">
        <w:rPr>
          <w:lang w:val="en-GB"/>
        </w:rPr>
        <w:t xml:space="preserve"> and David Hammerstein's comment </w:t>
      </w:r>
      <w:hyperlink r:id="rId8" w:tgtFrame="_blank" w:history="1">
        <w:r w:rsidR="003E7973" w:rsidRPr="003E7973">
          <w:rPr>
            <w:rStyle w:val="Hyperlink"/>
            <w:lang w:val="en-GB"/>
          </w:rPr>
          <w:t>http://www.nogracias.eu/2018/10/08/regenerate-cochrane-to-strengthen-the-production-of-trusted-evidence-for-the-common-good-of-public-health-by-david-hammerstein/</w:t>
        </w:r>
      </w:hyperlink>
      <w:r w:rsidR="003E7973" w:rsidRPr="003E7973">
        <w:rPr>
          <w:lang w:val="en-GB"/>
        </w:rPr>
        <w:t xml:space="preserve">. </w:t>
      </w:r>
      <w:r w:rsidR="003E7973">
        <w:rPr>
          <w:lang w:val="en-GB"/>
        </w:rPr>
        <w:t xml:space="preserve">Hammerstein is one of the four Board members who resigned in protest at </w:t>
      </w:r>
      <w:r w:rsidR="003E7973" w:rsidRPr="00795DFE">
        <w:rPr>
          <w:rFonts w:ascii="Arial" w:eastAsia="Times New Roman" w:hAnsi="Arial" w:cs="Arial"/>
          <w:bCs/>
          <w:sz w:val="20"/>
          <w:szCs w:val="20"/>
          <w:lang w:val="en-GB" w:eastAsia="it-IT"/>
        </w:rPr>
        <w:t>Gøtzche</w:t>
      </w:r>
      <w:r w:rsidR="003E7973">
        <w:rPr>
          <w:rFonts w:ascii="Arial" w:eastAsia="Times New Roman" w:hAnsi="Arial" w:cs="Arial"/>
          <w:bCs/>
          <w:sz w:val="20"/>
          <w:szCs w:val="20"/>
          <w:lang w:val="en-GB" w:eastAsia="it-IT"/>
        </w:rPr>
        <w:t>’s expulsion.</w:t>
      </w:r>
      <w:r w:rsidR="009969CB">
        <w:rPr>
          <w:rFonts w:ascii="Arial" w:eastAsia="Times New Roman" w:hAnsi="Arial" w:cs="Arial"/>
          <w:bCs/>
          <w:sz w:val="20"/>
          <w:szCs w:val="20"/>
          <w:lang w:val="en-GB" w:eastAsia="it-IT"/>
        </w:rPr>
        <w:t xml:space="preserve"> </w:t>
      </w:r>
      <w:r w:rsidR="00D32EB8">
        <w:rPr>
          <w:rFonts w:ascii="Arial" w:eastAsia="Times New Roman" w:hAnsi="Arial" w:cs="Arial"/>
          <w:bCs/>
          <w:sz w:val="20"/>
          <w:szCs w:val="20"/>
          <w:lang w:val="en-GB" w:eastAsia="it-IT"/>
        </w:rPr>
        <w:t>But that is all it was:</w:t>
      </w:r>
      <w:r w:rsidR="00EA784B" w:rsidRPr="00795DFE">
        <w:rPr>
          <w:rFonts w:ascii="Arial" w:eastAsia="Times New Roman" w:hAnsi="Arial" w:cs="Arial"/>
          <w:bCs/>
          <w:sz w:val="20"/>
          <w:szCs w:val="20"/>
          <w:lang w:val="en-GB" w:eastAsia="it-IT"/>
        </w:rPr>
        <w:t xml:space="preserve"> fire</w:t>
      </w:r>
      <w:r w:rsidR="009969CB">
        <w:rPr>
          <w:rFonts w:ascii="Arial" w:eastAsia="Times New Roman" w:hAnsi="Arial" w:cs="Arial"/>
          <w:bCs/>
          <w:sz w:val="20"/>
          <w:szCs w:val="20"/>
          <w:lang w:val="en-GB" w:eastAsia="it-IT"/>
        </w:rPr>
        <w:t xml:space="preserve">, </w:t>
      </w:r>
      <w:r w:rsidR="00EA784B" w:rsidRPr="00795DFE">
        <w:rPr>
          <w:rFonts w:ascii="Arial" w:eastAsia="Times New Roman" w:hAnsi="Arial" w:cs="Arial"/>
          <w:bCs/>
          <w:sz w:val="20"/>
          <w:szCs w:val="20"/>
          <w:lang w:val="en-GB" w:eastAsia="it-IT"/>
        </w:rPr>
        <w:t>smoke</w:t>
      </w:r>
      <w:r w:rsidR="003E7973">
        <w:rPr>
          <w:rFonts w:ascii="Arial" w:eastAsia="Times New Roman" w:hAnsi="Arial" w:cs="Arial"/>
          <w:bCs/>
          <w:sz w:val="20"/>
          <w:szCs w:val="20"/>
          <w:lang w:val="en-GB" w:eastAsia="it-IT"/>
        </w:rPr>
        <w:t xml:space="preserve"> and personality clashes</w:t>
      </w:r>
      <w:r w:rsidR="00EA784B" w:rsidRPr="00795DFE">
        <w:rPr>
          <w:rFonts w:ascii="Arial" w:eastAsia="Times New Roman" w:hAnsi="Arial" w:cs="Arial"/>
          <w:bCs/>
          <w:sz w:val="20"/>
          <w:szCs w:val="20"/>
          <w:lang w:val="en-GB" w:eastAsia="it-IT"/>
        </w:rPr>
        <w:t xml:space="preserve">, little substance. </w:t>
      </w:r>
    </w:p>
    <w:p w14:paraId="309A4C17" w14:textId="77777777" w:rsidR="009011FD" w:rsidRDefault="009969CB"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9969CB">
        <w:rPr>
          <w:rFonts w:ascii="Calibri" w:hAnsi="Calibri"/>
          <w:szCs w:val="24"/>
          <w:lang w:val="en-GB"/>
        </w:rPr>
        <w:t xml:space="preserve">The Cochrane Collaboration was established in 1993 to help people </w:t>
      </w:r>
      <w:r>
        <w:rPr>
          <w:rFonts w:ascii="Calibri" w:hAnsi="Calibri"/>
          <w:szCs w:val="24"/>
          <w:lang w:val="en-GB"/>
        </w:rPr>
        <w:t xml:space="preserve">reach </w:t>
      </w:r>
      <w:r w:rsidRPr="009969CB">
        <w:rPr>
          <w:rFonts w:ascii="Calibri" w:hAnsi="Calibri"/>
          <w:szCs w:val="24"/>
          <w:lang w:val="en-GB"/>
        </w:rPr>
        <w:t>more reliable conclusions about the benefits and harms of interventions than what was otherwise possible</w:t>
      </w:r>
      <w:r>
        <w:rPr>
          <w:rFonts w:ascii="Calibri" w:hAnsi="Calibri"/>
          <w:szCs w:val="24"/>
          <w:lang w:val="en-GB"/>
        </w:rPr>
        <w:t xml:space="preserve"> at the time. </w:t>
      </w:r>
      <w:r w:rsidR="00EA784B" w:rsidRPr="00795DFE">
        <w:rPr>
          <w:rFonts w:ascii="Arial" w:eastAsia="Times New Roman" w:hAnsi="Arial" w:cs="Arial"/>
          <w:bCs/>
          <w:sz w:val="20"/>
          <w:szCs w:val="20"/>
          <w:lang w:val="en-GB" w:eastAsia="it-IT"/>
        </w:rPr>
        <w:t>We were a cultural movement</w:t>
      </w:r>
      <w:r w:rsidR="00D32EB8">
        <w:rPr>
          <w:rFonts w:ascii="Arial" w:eastAsia="Times New Roman" w:hAnsi="Arial" w:cs="Arial"/>
          <w:bCs/>
          <w:sz w:val="20"/>
          <w:szCs w:val="20"/>
          <w:lang w:val="en-GB" w:eastAsia="it-IT"/>
        </w:rPr>
        <w:t xml:space="preserve"> </w:t>
      </w:r>
      <w:r w:rsidR="00854DF6">
        <w:rPr>
          <w:rFonts w:ascii="Arial" w:eastAsia="Times New Roman" w:hAnsi="Arial" w:cs="Arial"/>
          <w:bCs/>
          <w:sz w:val="20"/>
          <w:szCs w:val="20"/>
          <w:lang w:val="en-GB" w:eastAsia="it-IT"/>
        </w:rPr>
        <w:t xml:space="preserve">based </w:t>
      </w:r>
      <w:r w:rsidR="00D32EB8">
        <w:rPr>
          <w:rFonts w:ascii="Arial" w:eastAsia="Times New Roman" w:hAnsi="Arial" w:cs="Arial"/>
          <w:bCs/>
          <w:sz w:val="20"/>
          <w:szCs w:val="20"/>
          <w:lang w:val="en-GB" w:eastAsia="it-IT"/>
        </w:rPr>
        <w:t>on openness</w:t>
      </w:r>
      <w:r>
        <w:rPr>
          <w:rFonts w:ascii="Arial" w:eastAsia="Times New Roman" w:hAnsi="Arial" w:cs="Arial"/>
          <w:bCs/>
          <w:sz w:val="20"/>
          <w:szCs w:val="20"/>
          <w:lang w:val="en-GB" w:eastAsia="it-IT"/>
        </w:rPr>
        <w:t>, collaboration</w:t>
      </w:r>
      <w:r w:rsidR="00D32EB8">
        <w:rPr>
          <w:rFonts w:ascii="Arial" w:eastAsia="Times New Roman" w:hAnsi="Arial" w:cs="Arial"/>
          <w:bCs/>
          <w:sz w:val="20"/>
          <w:szCs w:val="20"/>
          <w:lang w:val="en-GB" w:eastAsia="it-IT"/>
        </w:rPr>
        <w:t xml:space="preserve"> </w:t>
      </w:r>
      <w:r w:rsidR="00854DF6">
        <w:rPr>
          <w:rFonts w:ascii="Arial" w:eastAsia="Times New Roman" w:hAnsi="Arial" w:cs="Arial"/>
          <w:bCs/>
          <w:sz w:val="20"/>
          <w:szCs w:val="20"/>
          <w:lang w:val="en-GB" w:eastAsia="it-IT"/>
        </w:rPr>
        <w:t>and</w:t>
      </w:r>
      <w:r w:rsidR="00EA784B" w:rsidRPr="00795DFE">
        <w:rPr>
          <w:rFonts w:ascii="Arial" w:eastAsia="Times New Roman" w:hAnsi="Arial" w:cs="Arial"/>
          <w:bCs/>
          <w:sz w:val="20"/>
          <w:szCs w:val="20"/>
          <w:lang w:val="en-GB" w:eastAsia="it-IT"/>
        </w:rPr>
        <w:t xml:space="preserve"> what we thought at the time to be a good basis of fact: journal publications of clinical trials. As time went by it became clear that these were in most cases no better than nice stories with exaggerated claims of b</w:t>
      </w:r>
      <w:r w:rsidR="003E7973">
        <w:rPr>
          <w:rFonts w:ascii="Arial" w:eastAsia="Times New Roman" w:hAnsi="Arial" w:cs="Arial"/>
          <w:bCs/>
          <w:sz w:val="20"/>
          <w:szCs w:val="20"/>
          <w:lang w:val="en-GB" w:eastAsia="it-IT"/>
        </w:rPr>
        <w:t>enefits and forgotten or miniatu</w:t>
      </w:r>
      <w:r w:rsidR="00EA784B" w:rsidRPr="00795DFE">
        <w:rPr>
          <w:rFonts w:ascii="Arial" w:eastAsia="Times New Roman" w:hAnsi="Arial" w:cs="Arial"/>
          <w:bCs/>
          <w:sz w:val="20"/>
          <w:szCs w:val="20"/>
          <w:lang w:val="en-GB" w:eastAsia="it-IT"/>
        </w:rPr>
        <w:t>rized harms reporting.</w:t>
      </w:r>
      <w:r w:rsidR="003E7973">
        <w:rPr>
          <w:rFonts w:ascii="Arial" w:eastAsia="Times New Roman" w:hAnsi="Arial" w:cs="Arial"/>
          <w:bCs/>
          <w:sz w:val="20"/>
          <w:szCs w:val="20"/>
          <w:lang w:val="en-GB" w:eastAsia="it-IT"/>
        </w:rPr>
        <w:t xml:space="preserve"> This is why, after our experience with our Tamiflu Cochrane review, we decided to review the evidence based for HPV vaccines focussing only on regulatory data. </w:t>
      </w:r>
      <w:r>
        <w:rPr>
          <w:rFonts w:ascii="Arial" w:eastAsia="Times New Roman" w:hAnsi="Arial" w:cs="Arial"/>
          <w:bCs/>
          <w:sz w:val="20"/>
          <w:szCs w:val="20"/>
          <w:lang w:val="en-GB" w:eastAsia="it-IT"/>
        </w:rPr>
        <w:t xml:space="preserve">Regulatory data are still part of a commercial operation: getting your intervention to market. However they are far more detailed and reliable than 10 page journal summaries. </w:t>
      </w:r>
      <w:r w:rsidR="009011FD">
        <w:rPr>
          <w:rFonts w:ascii="Arial" w:eastAsia="Times New Roman" w:hAnsi="Arial" w:cs="Arial"/>
          <w:bCs/>
          <w:sz w:val="20"/>
          <w:szCs w:val="20"/>
          <w:lang w:val="en-GB" w:eastAsia="it-IT"/>
        </w:rPr>
        <w:t>We started by asking the European regulator EMA for clinical study reports. We have documented the difficulties encountered and the correspondence</w:t>
      </w:r>
      <w:r w:rsidR="009011FD">
        <w:rPr>
          <w:rFonts w:ascii="Arial" w:eastAsia="Times New Roman" w:hAnsi="Arial" w:cs="Arial"/>
          <w:bCs/>
          <w:sz w:val="20"/>
          <w:szCs w:val="20"/>
          <w:vertAlign w:val="superscript"/>
          <w:lang w:val="en-GB" w:eastAsia="it-IT"/>
        </w:rPr>
        <w:t>1</w:t>
      </w:r>
      <w:r w:rsidR="009011FD">
        <w:rPr>
          <w:rFonts w:ascii="Arial" w:eastAsia="Times New Roman" w:hAnsi="Arial" w:cs="Arial"/>
          <w:bCs/>
          <w:sz w:val="20"/>
          <w:szCs w:val="20"/>
          <w:lang w:val="en-GB" w:eastAsia="it-IT"/>
        </w:rPr>
        <w:t>. Despite the</w:t>
      </w:r>
      <w:r w:rsidR="00854DF6">
        <w:rPr>
          <w:rFonts w:ascii="Arial" w:eastAsia="Times New Roman" w:hAnsi="Arial" w:cs="Arial"/>
          <w:bCs/>
          <w:sz w:val="20"/>
          <w:szCs w:val="20"/>
          <w:lang w:val="en-GB" w:eastAsia="it-IT"/>
        </w:rPr>
        <w:t xml:space="preserve"> difficulties</w:t>
      </w:r>
      <w:r w:rsidR="009011FD">
        <w:rPr>
          <w:rFonts w:ascii="Arial" w:eastAsia="Times New Roman" w:hAnsi="Arial" w:cs="Arial"/>
          <w:bCs/>
          <w:sz w:val="20"/>
          <w:szCs w:val="20"/>
          <w:lang w:val="en-GB" w:eastAsia="it-IT"/>
        </w:rPr>
        <w:t xml:space="preserve">, we succeeded in creating an index of 206 prospective comparative studies of HPV vaccines accessible here: </w:t>
      </w:r>
      <w:hyperlink r:id="rId9" w:history="1">
        <w:r w:rsidR="009011FD" w:rsidRPr="007D33AF">
          <w:rPr>
            <w:rStyle w:val="Hyperlink"/>
            <w:rFonts w:ascii="Arial" w:eastAsia="Times New Roman" w:hAnsi="Arial" w:cs="Arial"/>
            <w:bCs/>
            <w:sz w:val="20"/>
            <w:szCs w:val="20"/>
            <w:lang w:val="en-GB" w:eastAsia="it-IT"/>
          </w:rPr>
          <w:t>https://systematicreviewsjournal.biomedcentral.com/articles/10.1186/s13643-018-0675-z</w:t>
        </w:r>
      </w:hyperlink>
      <w:r w:rsidR="009011FD">
        <w:rPr>
          <w:rFonts w:ascii="Arial" w:eastAsia="Times New Roman" w:hAnsi="Arial" w:cs="Arial"/>
          <w:bCs/>
          <w:sz w:val="20"/>
          <w:szCs w:val="20"/>
          <w:lang w:val="en-GB" w:eastAsia="it-IT"/>
        </w:rPr>
        <w:t xml:space="preserve">. This unique achievement is aimed at addressing publication bias and minimising the effects of other types of reporting bias, effectively providing an alternative to journal-published articles and their databases (see here for </w:t>
      </w:r>
      <w:r w:rsidR="00D32EB8">
        <w:rPr>
          <w:rFonts w:ascii="Arial" w:eastAsia="Times New Roman" w:hAnsi="Arial" w:cs="Arial"/>
          <w:bCs/>
          <w:sz w:val="20"/>
          <w:szCs w:val="20"/>
          <w:lang w:val="en-GB" w:eastAsia="it-IT"/>
        </w:rPr>
        <w:t xml:space="preserve">the conceptual </w:t>
      </w:r>
      <w:r w:rsidR="009011FD">
        <w:rPr>
          <w:rFonts w:ascii="Arial" w:eastAsia="Times New Roman" w:hAnsi="Arial" w:cs="Arial"/>
          <w:bCs/>
          <w:sz w:val="20"/>
          <w:szCs w:val="20"/>
          <w:lang w:val="en-GB" w:eastAsia="it-IT"/>
        </w:rPr>
        <w:t xml:space="preserve">details </w:t>
      </w:r>
      <w:hyperlink r:id="rId10" w:history="1">
        <w:r w:rsidR="009011FD" w:rsidRPr="007D33AF">
          <w:rPr>
            <w:rStyle w:val="Hyperlink"/>
            <w:rFonts w:ascii="Arial" w:eastAsia="Times New Roman" w:hAnsi="Arial" w:cs="Arial"/>
            <w:bCs/>
            <w:sz w:val="20"/>
            <w:szCs w:val="20"/>
            <w:lang w:val="en-GB" w:eastAsia="it-IT"/>
          </w:rPr>
          <w:t>https://ebm.bmj.com/content/23/2/46</w:t>
        </w:r>
      </w:hyperlink>
      <w:r w:rsidR="009011FD">
        <w:rPr>
          <w:rFonts w:ascii="Arial" w:eastAsia="Times New Roman" w:hAnsi="Arial" w:cs="Arial"/>
          <w:bCs/>
          <w:sz w:val="20"/>
          <w:szCs w:val="20"/>
          <w:lang w:val="en-GB" w:eastAsia="it-IT"/>
        </w:rPr>
        <w:t>).</w:t>
      </w:r>
    </w:p>
    <w:p w14:paraId="2A65EA4B" w14:textId="77777777" w:rsidR="009011FD" w:rsidRDefault="009011FD" w:rsidP="00EA784B">
      <w:pPr>
        <w:spacing w:before="100" w:beforeAutospacing="1" w:after="100" w:afterAutospacing="1" w:line="240" w:lineRule="auto"/>
        <w:outlineLvl w:val="3"/>
        <w:rPr>
          <w:rFonts w:ascii="Arial" w:eastAsia="Times New Roman" w:hAnsi="Arial" w:cs="Arial"/>
          <w:bCs/>
          <w:sz w:val="20"/>
          <w:szCs w:val="20"/>
          <w:lang w:val="en-GB" w:eastAsia="it-IT"/>
        </w:rPr>
      </w:pPr>
      <w:r>
        <w:rPr>
          <w:rFonts w:ascii="Arial" w:eastAsia="Times New Roman" w:hAnsi="Arial" w:cs="Arial"/>
          <w:bCs/>
          <w:sz w:val="20"/>
          <w:szCs w:val="20"/>
          <w:lang w:val="en-GB" w:eastAsia="it-IT"/>
        </w:rPr>
        <w:t xml:space="preserve">A copy of the index was sent to the Cochrane editors and review group finalising the HPV review </w:t>
      </w:r>
      <w:r w:rsidR="00D32EB8">
        <w:rPr>
          <w:rFonts w:ascii="Arial" w:eastAsia="Times New Roman" w:hAnsi="Arial" w:cs="Arial"/>
          <w:bCs/>
          <w:sz w:val="20"/>
          <w:szCs w:val="20"/>
          <w:lang w:val="en-GB" w:eastAsia="it-IT"/>
        </w:rPr>
        <w:t xml:space="preserve">on the day of publication: </w:t>
      </w:r>
      <w:r>
        <w:rPr>
          <w:rFonts w:ascii="Arial" w:eastAsia="Times New Roman" w:hAnsi="Arial" w:cs="Arial"/>
          <w:bCs/>
          <w:sz w:val="20"/>
          <w:szCs w:val="20"/>
          <w:lang w:val="en-GB" w:eastAsia="it-IT"/>
        </w:rPr>
        <w:t>19 January</w:t>
      </w:r>
      <w:r w:rsidR="004E7C90">
        <w:rPr>
          <w:rFonts w:ascii="Arial" w:eastAsia="Times New Roman" w:hAnsi="Arial" w:cs="Arial"/>
          <w:bCs/>
          <w:sz w:val="20"/>
          <w:szCs w:val="20"/>
          <w:lang w:val="en-GB" w:eastAsia="it-IT"/>
        </w:rPr>
        <w:t xml:space="preserve"> 2018</w:t>
      </w:r>
      <w:r>
        <w:rPr>
          <w:rFonts w:ascii="Arial" w:eastAsia="Times New Roman" w:hAnsi="Arial" w:cs="Arial"/>
          <w:bCs/>
          <w:sz w:val="20"/>
          <w:szCs w:val="20"/>
          <w:lang w:val="en-GB" w:eastAsia="it-IT"/>
        </w:rPr>
        <w:t>. They took no notice of the index</w:t>
      </w:r>
      <w:r w:rsidR="00D32EB8">
        <w:rPr>
          <w:rFonts w:ascii="Arial" w:eastAsia="Times New Roman" w:hAnsi="Arial" w:cs="Arial"/>
          <w:bCs/>
          <w:sz w:val="20"/>
          <w:szCs w:val="20"/>
          <w:lang w:val="en-GB" w:eastAsia="it-IT"/>
        </w:rPr>
        <w:t>,</w:t>
      </w:r>
      <w:r>
        <w:rPr>
          <w:rFonts w:ascii="Arial" w:eastAsia="Times New Roman" w:hAnsi="Arial" w:cs="Arial"/>
          <w:bCs/>
          <w:sz w:val="20"/>
          <w:szCs w:val="20"/>
          <w:lang w:val="en-GB" w:eastAsia="it-IT"/>
        </w:rPr>
        <w:t xml:space="preserve"> its content and implication</w:t>
      </w:r>
      <w:r w:rsidR="004E7C90">
        <w:rPr>
          <w:rFonts w:ascii="Arial" w:eastAsia="Times New Roman" w:hAnsi="Arial" w:cs="Arial"/>
          <w:bCs/>
          <w:sz w:val="20"/>
          <w:szCs w:val="20"/>
          <w:lang w:val="en-GB" w:eastAsia="it-IT"/>
        </w:rPr>
        <w:t>s</w:t>
      </w:r>
      <w:r>
        <w:rPr>
          <w:rFonts w:ascii="Arial" w:eastAsia="Times New Roman" w:hAnsi="Arial" w:cs="Arial"/>
          <w:bCs/>
          <w:sz w:val="20"/>
          <w:szCs w:val="20"/>
          <w:lang w:val="en-GB" w:eastAsia="it-IT"/>
        </w:rPr>
        <w:t xml:space="preserve"> and published a biased </w:t>
      </w:r>
      <w:r w:rsidR="00D32EB8">
        <w:rPr>
          <w:rFonts w:ascii="Arial" w:eastAsia="Times New Roman" w:hAnsi="Arial" w:cs="Arial"/>
          <w:bCs/>
          <w:sz w:val="20"/>
          <w:szCs w:val="20"/>
          <w:lang w:val="en-GB" w:eastAsia="it-IT"/>
        </w:rPr>
        <w:t xml:space="preserve">and factually wrong </w:t>
      </w:r>
      <w:r>
        <w:rPr>
          <w:rFonts w:ascii="Arial" w:eastAsia="Times New Roman" w:hAnsi="Arial" w:cs="Arial"/>
          <w:bCs/>
          <w:sz w:val="20"/>
          <w:szCs w:val="20"/>
          <w:lang w:val="en-GB" w:eastAsia="it-IT"/>
        </w:rPr>
        <w:t>review with</w:t>
      </w:r>
      <w:r w:rsidR="00D32EB8">
        <w:rPr>
          <w:rFonts w:ascii="Arial" w:eastAsia="Times New Roman" w:hAnsi="Arial" w:cs="Arial"/>
          <w:bCs/>
          <w:sz w:val="20"/>
          <w:szCs w:val="20"/>
          <w:lang w:val="en-GB" w:eastAsia="it-IT"/>
        </w:rPr>
        <w:t xml:space="preserve"> a series of gushing testimonials in the covering </w:t>
      </w:r>
      <w:r w:rsidR="009969CB">
        <w:rPr>
          <w:rFonts w:ascii="Arial" w:eastAsia="Times New Roman" w:hAnsi="Arial" w:cs="Arial"/>
          <w:bCs/>
          <w:sz w:val="20"/>
          <w:szCs w:val="20"/>
          <w:lang w:val="en-GB" w:eastAsia="it-IT"/>
        </w:rPr>
        <w:t>press release</w:t>
      </w:r>
      <w:r w:rsidR="00D32EB8">
        <w:rPr>
          <w:rFonts w:ascii="Arial" w:eastAsia="Times New Roman" w:hAnsi="Arial" w:cs="Arial"/>
          <w:bCs/>
          <w:sz w:val="20"/>
          <w:szCs w:val="20"/>
          <w:lang w:val="en-GB" w:eastAsia="it-IT"/>
        </w:rPr>
        <w:t>. We responded publicly pointing out the list of problems</w:t>
      </w:r>
      <w:r w:rsidR="00854DF6">
        <w:rPr>
          <w:rFonts w:ascii="Arial" w:eastAsia="Times New Roman" w:hAnsi="Arial" w:cs="Arial"/>
          <w:bCs/>
          <w:sz w:val="20"/>
          <w:szCs w:val="20"/>
          <w:vertAlign w:val="superscript"/>
          <w:lang w:val="en-GB" w:eastAsia="it-IT"/>
        </w:rPr>
        <w:t>3</w:t>
      </w:r>
      <w:r w:rsidR="00D32EB8">
        <w:rPr>
          <w:rFonts w:ascii="Arial" w:eastAsia="Times New Roman" w:hAnsi="Arial" w:cs="Arial"/>
          <w:bCs/>
          <w:sz w:val="20"/>
          <w:szCs w:val="20"/>
          <w:lang w:val="en-GB" w:eastAsia="it-IT"/>
        </w:rPr>
        <w:t>. It now turns out that our list was rather conservative</w:t>
      </w:r>
      <w:r w:rsidR="004E7C90">
        <w:rPr>
          <w:rFonts w:ascii="Arial" w:eastAsia="Times New Roman" w:hAnsi="Arial" w:cs="Arial"/>
          <w:bCs/>
          <w:sz w:val="20"/>
          <w:szCs w:val="20"/>
          <w:vertAlign w:val="superscript"/>
          <w:lang w:val="en-GB" w:eastAsia="it-IT"/>
        </w:rPr>
        <w:t>4</w:t>
      </w:r>
      <w:r w:rsidR="00D32EB8">
        <w:rPr>
          <w:rFonts w:ascii="Arial" w:eastAsia="Times New Roman" w:hAnsi="Arial" w:cs="Arial"/>
          <w:bCs/>
          <w:sz w:val="20"/>
          <w:szCs w:val="20"/>
          <w:lang w:val="en-GB" w:eastAsia="it-IT"/>
        </w:rPr>
        <w:t>. The Cochrane editors responded with an urgent investigation whic</w:t>
      </w:r>
      <w:r w:rsidR="009969CB">
        <w:rPr>
          <w:rFonts w:ascii="Arial" w:eastAsia="Times New Roman" w:hAnsi="Arial" w:cs="Arial"/>
          <w:bCs/>
          <w:sz w:val="20"/>
          <w:szCs w:val="20"/>
          <w:lang w:val="en-GB" w:eastAsia="it-IT"/>
        </w:rPr>
        <w:t>h is nothing more than the rest:</w:t>
      </w:r>
      <w:r w:rsidR="00D32EB8">
        <w:rPr>
          <w:rFonts w:ascii="Arial" w:eastAsia="Times New Roman" w:hAnsi="Arial" w:cs="Arial"/>
          <w:bCs/>
          <w:sz w:val="20"/>
          <w:szCs w:val="20"/>
          <w:lang w:val="en-GB" w:eastAsia="it-IT"/>
        </w:rPr>
        <w:t xml:space="preserve"> smoke to hide their dismissal of our Index and its implications. Shortly after</w:t>
      </w:r>
      <w:r w:rsidR="009969CB">
        <w:rPr>
          <w:rFonts w:ascii="Arial" w:eastAsia="Times New Roman" w:hAnsi="Arial" w:cs="Arial"/>
          <w:bCs/>
          <w:sz w:val="20"/>
          <w:szCs w:val="20"/>
          <w:lang w:val="en-GB" w:eastAsia="it-IT"/>
        </w:rPr>
        <w:t>,</w:t>
      </w:r>
      <w:r w:rsidR="00D32EB8">
        <w:rPr>
          <w:rFonts w:ascii="Arial" w:eastAsia="Times New Roman" w:hAnsi="Arial" w:cs="Arial"/>
          <w:bCs/>
          <w:sz w:val="20"/>
          <w:szCs w:val="20"/>
          <w:lang w:val="en-GB" w:eastAsia="it-IT"/>
        </w:rPr>
        <w:t xml:space="preserve"> the man who has done more than anyone else to open our eyes to the shortcomings of published trial</w:t>
      </w:r>
      <w:r w:rsidR="004E7C90">
        <w:rPr>
          <w:rFonts w:ascii="Arial" w:eastAsia="Times New Roman" w:hAnsi="Arial" w:cs="Arial"/>
          <w:bCs/>
          <w:sz w:val="20"/>
          <w:szCs w:val="20"/>
          <w:lang w:val="en-GB" w:eastAsia="it-IT"/>
        </w:rPr>
        <w:t>s</w:t>
      </w:r>
      <w:r w:rsidR="00D32EB8">
        <w:rPr>
          <w:rFonts w:ascii="Arial" w:eastAsia="Times New Roman" w:hAnsi="Arial" w:cs="Arial"/>
          <w:bCs/>
          <w:sz w:val="20"/>
          <w:szCs w:val="20"/>
          <w:lang w:val="en-GB" w:eastAsia="it-IT"/>
        </w:rPr>
        <w:t xml:space="preserve"> was sacked.</w:t>
      </w:r>
    </w:p>
    <w:p w14:paraId="22DA1438" w14:textId="77777777" w:rsidR="00D32EB8" w:rsidRDefault="00EA784B"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795DFE">
        <w:rPr>
          <w:rFonts w:ascii="Arial" w:eastAsia="Times New Roman" w:hAnsi="Arial" w:cs="Arial"/>
          <w:bCs/>
          <w:sz w:val="20"/>
          <w:szCs w:val="20"/>
          <w:lang w:val="en-GB" w:eastAsia="it-IT"/>
        </w:rPr>
        <w:t>Despite th</w:t>
      </w:r>
      <w:r w:rsidR="003E7973">
        <w:rPr>
          <w:rFonts w:ascii="Arial" w:eastAsia="Times New Roman" w:hAnsi="Arial" w:cs="Arial"/>
          <w:bCs/>
          <w:sz w:val="20"/>
          <w:szCs w:val="20"/>
          <w:lang w:val="en-GB" w:eastAsia="it-IT"/>
        </w:rPr>
        <w:t>e</w:t>
      </w:r>
      <w:r w:rsidR="009011FD">
        <w:rPr>
          <w:rFonts w:ascii="Arial" w:eastAsia="Times New Roman" w:hAnsi="Arial" w:cs="Arial"/>
          <w:bCs/>
          <w:sz w:val="20"/>
          <w:szCs w:val="20"/>
          <w:lang w:val="en-GB" w:eastAsia="it-IT"/>
        </w:rPr>
        <w:t xml:space="preserve"> mounting</w:t>
      </w:r>
      <w:r w:rsidR="003E7973">
        <w:rPr>
          <w:rFonts w:ascii="Arial" w:eastAsia="Times New Roman" w:hAnsi="Arial" w:cs="Arial"/>
          <w:bCs/>
          <w:sz w:val="20"/>
          <w:szCs w:val="20"/>
          <w:lang w:val="en-GB" w:eastAsia="it-IT"/>
        </w:rPr>
        <w:t xml:space="preserve"> evidence for </w:t>
      </w:r>
      <w:r w:rsidR="009011FD">
        <w:rPr>
          <w:rFonts w:ascii="Arial" w:eastAsia="Times New Roman" w:hAnsi="Arial" w:cs="Arial"/>
          <w:bCs/>
          <w:sz w:val="20"/>
          <w:szCs w:val="20"/>
          <w:lang w:val="en-GB" w:eastAsia="it-IT"/>
        </w:rPr>
        <w:t>the need to</w:t>
      </w:r>
      <w:r w:rsidR="003E7973">
        <w:rPr>
          <w:rFonts w:ascii="Arial" w:eastAsia="Times New Roman" w:hAnsi="Arial" w:cs="Arial"/>
          <w:bCs/>
          <w:sz w:val="20"/>
          <w:szCs w:val="20"/>
          <w:lang w:val="en-GB" w:eastAsia="it-IT"/>
        </w:rPr>
        <w:t xml:space="preserve"> switch to an al</w:t>
      </w:r>
      <w:r w:rsidRPr="00795DFE">
        <w:rPr>
          <w:rFonts w:ascii="Arial" w:eastAsia="Times New Roman" w:hAnsi="Arial" w:cs="Arial"/>
          <w:bCs/>
          <w:sz w:val="20"/>
          <w:szCs w:val="20"/>
          <w:lang w:val="en-GB" w:eastAsia="it-IT"/>
        </w:rPr>
        <w:t xml:space="preserve">ternative form of </w:t>
      </w:r>
      <w:r w:rsidR="009011FD">
        <w:rPr>
          <w:rFonts w:ascii="Arial" w:eastAsia="Times New Roman" w:hAnsi="Arial" w:cs="Arial"/>
          <w:bCs/>
          <w:sz w:val="20"/>
          <w:szCs w:val="20"/>
          <w:lang w:val="en-GB" w:eastAsia="it-IT"/>
        </w:rPr>
        <w:t>“</w:t>
      </w:r>
      <w:r w:rsidRPr="00795DFE">
        <w:rPr>
          <w:rFonts w:ascii="Arial" w:eastAsia="Times New Roman" w:hAnsi="Arial" w:cs="Arial"/>
          <w:bCs/>
          <w:sz w:val="20"/>
          <w:szCs w:val="20"/>
          <w:lang w:val="en-GB" w:eastAsia="it-IT"/>
        </w:rPr>
        <w:t>E</w:t>
      </w:r>
      <w:r w:rsidR="009011FD">
        <w:rPr>
          <w:rFonts w:ascii="Arial" w:eastAsia="Times New Roman" w:hAnsi="Arial" w:cs="Arial"/>
          <w:bCs/>
          <w:sz w:val="20"/>
          <w:szCs w:val="20"/>
          <w:lang w:val="en-GB" w:eastAsia="it-IT"/>
        </w:rPr>
        <w:t>”</w:t>
      </w:r>
      <w:r w:rsidRPr="00795DFE">
        <w:rPr>
          <w:rFonts w:ascii="Arial" w:eastAsia="Times New Roman" w:hAnsi="Arial" w:cs="Arial"/>
          <w:bCs/>
          <w:sz w:val="20"/>
          <w:szCs w:val="20"/>
          <w:lang w:val="en-GB" w:eastAsia="it-IT"/>
        </w:rPr>
        <w:t xml:space="preserve"> for EBM </w:t>
      </w:r>
      <w:r w:rsidR="003E7973">
        <w:rPr>
          <w:rFonts w:ascii="Arial" w:eastAsia="Times New Roman" w:hAnsi="Arial" w:cs="Arial"/>
          <w:bCs/>
          <w:sz w:val="20"/>
          <w:szCs w:val="20"/>
          <w:lang w:val="en-GB" w:eastAsia="it-IT"/>
        </w:rPr>
        <w:t xml:space="preserve">(see here for details </w:t>
      </w:r>
      <w:r w:rsidR="003E7973" w:rsidRPr="003E7973">
        <w:rPr>
          <w:rFonts w:ascii="Arial" w:eastAsia="Times New Roman" w:hAnsi="Arial" w:cs="Arial"/>
          <w:bCs/>
          <w:sz w:val="20"/>
          <w:szCs w:val="20"/>
          <w:lang w:val="en-GB" w:eastAsia="it-IT"/>
        </w:rPr>
        <w:t>https://ebm.bmj.com/content/23/2/46</w:t>
      </w:r>
      <w:r w:rsidR="003E7973">
        <w:rPr>
          <w:rFonts w:ascii="Arial" w:eastAsia="Times New Roman" w:hAnsi="Arial" w:cs="Arial"/>
          <w:bCs/>
          <w:sz w:val="20"/>
          <w:szCs w:val="20"/>
          <w:lang w:val="en-GB" w:eastAsia="it-IT"/>
        </w:rPr>
        <w:t xml:space="preserve">) </w:t>
      </w:r>
      <w:r w:rsidR="009011FD">
        <w:rPr>
          <w:rFonts w:ascii="Arial" w:eastAsia="Times New Roman" w:hAnsi="Arial" w:cs="Arial"/>
          <w:bCs/>
          <w:sz w:val="20"/>
          <w:szCs w:val="20"/>
          <w:lang w:val="en-GB" w:eastAsia="it-IT"/>
        </w:rPr>
        <w:t xml:space="preserve">Cochrane </w:t>
      </w:r>
      <w:r w:rsidR="001B4826">
        <w:rPr>
          <w:rFonts w:ascii="Arial" w:eastAsia="Times New Roman" w:hAnsi="Arial" w:cs="Arial"/>
          <w:bCs/>
          <w:sz w:val="20"/>
          <w:szCs w:val="20"/>
          <w:lang w:val="en-GB" w:eastAsia="it-IT"/>
        </w:rPr>
        <w:t xml:space="preserve">has taken </w:t>
      </w:r>
      <w:r w:rsidR="009011FD">
        <w:rPr>
          <w:rFonts w:ascii="Arial" w:eastAsia="Times New Roman" w:hAnsi="Arial" w:cs="Arial"/>
          <w:bCs/>
          <w:sz w:val="20"/>
          <w:szCs w:val="20"/>
          <w:lang w:val="en-GB" w:eastAsia="it-IT"/>
        </w:rPr>
        <w:t>no corporate action</w:t>
      </w:r>
      <w:r w:rsidRPr="00795DFE">
        <w:rPr>
          <w:rFonts w:ascii="Arial" w:eastAsia="Times New Roman" w:hAnsi="Arial" w:cs="Arial"/>
          <w:bCs/>
          <w:sz w:val="20"/>
          <w:szCs w:val="20"/>
          <w:lang w:val="en-GB" w:eastAsia="it-IT"/>
        </w:rPr>
        <w:t xml:space="preserve">, concentrating on commercial mantras like </w:t>
      </w:r>
      <w:r w:rsidR="003E7973">
        <w:rPr>
          <w:rFonts w:ascii="Arial" w:eastAsia="Times New Roman" w:hAnsi="Arial" w:cs="Arial"/>
          <w:bCs/>
          <w:sz w:val="20"/>
          <w:szCs w:val="20"/>
          <w:lang w:val="en-GB" w:eastAsia="it-IT"/>
        </w:rPr>
        <w:t>“</w:t>
      </w:r>
      <w:r w:rsidRPr="00795DFE">
        <w:rPr>
          <w:rFonts w:ascii="Arial" w:eastAsia="Times New Roman" w:hAnsi="Arial" w:cs="Arial"/>
          <w:bCs/>
          <w:sz w:val="20"/>
          <w:szCs w:val="20"/>
          <w:lang w:val="en-GB" w:eastAsia="it-IT"/>
        </w:rPr>
        <w:t>brand</w:t>
      </w:r>
      <w:r w:rsidR="003E7973">
        <w:rPr>
          <w:rFonts w:ascii="Arial" w:eastAsia="Times New Roman" w:hAnsi="Arial" w:cs="Arial"/>
          <w:bCs/>
          <w:sz w:val="20"/>
          <w:szCs w:val="20"/>
          <w:lang w:val="en-GB" w:eastAsia="it-IT"/>
        </w:rPr>
        <w:t>”</w:t>
      </w:r>
      <w:r w:rsidR="004E7C90">
        <w:rPr>
          <w:rFonts w:ascii="Arial" w:eastAsia="Times New Roman" w:hAnsi="Arial" w:cs="Arial"/>
          <w:bCs/>
          <w:sz w:val="20"/>
          <w:szCs w:val="20"/>
          <w:lang w:val="en-GB" w:eastAsia="it-IT"/>
        </w:rPr>
        <w:t xml:space="preserve"> dropping our hallowed “Collaboration” from the name</w:t>
      </w:r>
      <w:r w:rsidRPr="00795DFE">
        <w:rPr>
          <w:rFonts w:ascii="Arial" w:eastAsia="Times New Roman" w:hAnsi="Arial" w:cs="Arial"/>
          <w:bCs/>
          <w:sz w:val="20"/>
          <w:szCs w:val="20"/>
          <w:lang w:val="en-GB" w:eastAsia="it-IT"/>
        </w:rPr>
        <w:t>, and building a whole bureaucratic infrastructure to service its boss, not its life and blood: reviewers.</w:t>
      </w:r>
      <w:r w:rsidR="00D32EB8">
        <w:rPr>
          <w:rFonts w:ascii="Arial" w:eastAsia="Times New Roman" w:hAnsi="Arial" w:cs="Arial"/>
          <w:bCs/>
          <w:sz w:val="20"/>
          <w:szCs w:val="20"/>
          <w:lang w:val="en-GB" w:eastAsia="it-IT"/>
        </w:rPr>
        <w:t xml:space="preserve"> The s</w:t>
      </w:r>
      <w:r w:rsidR="001B4826">
        <w:rPr>
          <w:rFonts w:ascii="Arial" w:eastAsia="Times New Roman" w:hAnsi="Arial" w:cs="Arial"/>
          <w:bCs/>
          <w:sz w:val="20"/>
          <w:szCs w:val="20"/>
          <w:lang w:val="en-GB" w:eastAsia="it-IT"/>
        </w:rPr>
        <w:t>tory is by no means finished as</w:t>
      </w:r>
      <w:r w:rsidR="00D32EB8">
        <w:rPr>
          <w:rFonts w:ascii="Arial" w:eastAsia="Times New Roman" w:hAnsi="Arial" w:cs="Arial"/>
          <w:bCs/>
          <w:sz w:val="20"/>
          <w:szCs w:val="20"/>
          <w:lang w:val="en-GB" w:eastAsia="it-IT"/>
        </w:rPr>
        <w:t xml:space="preserve"> we are about to publish our review of the regulatory evidence</w:t>
      </w:r>
      <w:r w:rsidR="001B4826">
        <w:rPr>
          <w:rFonts w:ascii="Arial" w:eastAsia="Times New Roman" w:hAnsi="Arial" w:cs="Arial"/>
          <w:bCs/>
          <w:sz w:val="20"/>
          <w:szCs w:val="20"/>
          <w:lang w:val="en-GB" w:eastAsia="it-IT"/>
        </w:rPr>
        <w:t>: The Editor-in-C</w:t>
      </w:r>
      <w:r w:rsidR="00D32EB8">
        <w:rPr>
          <w:rFonts w:ascii="Arial" w:eastAsia="Times New Roman" w:hAnsi="Arial" w:cs="Arial"/>
          <w:bCs/>
          <w:sz w:val="20"/>
          <w:szCs w:val="20"/>
          <w:lang w:val="en-GB" w:eastAsia="it-IT"/>
        </w:rPr>
        <w:t>hief of BMJ EBM is leading further scrutiny of the Arbyn et al review.</w:t>
      </w:r>
    </w:p>
    <w:p w14:paraId="23465B13" w14:textId="77777777" w:rsidR="00EA784B" w:rsidRPr="00795DFE" w:rsidRDefault="00D32EB8" w:rsidP="00EA784B">
      <w:pPr>
        <w:spacing w:before="100" w:beforeAutospacing="1" w:after="100" w:afterAutospacing="1" w:line="240" w:lineRule="auto"/>
        <w:outlineLvl w:val="3"/>
        <w:rPr>
          <w:rFonts w:ascii="Arial" w:eastAsia="Times New Roman" w:hAnsi="Arial" w:cs="Arial"/>
          <w:bCs/>
          <w:sz w:val="20"/>
          <w:szCs w:val="20"/>
          <w:lang w:val="en-GB" w:eastAsia="it-IT"/>
        </w:rPr>
      </w:pPr>
      <w:r>
        <w:rPr>
          <w:rFonts w:ascii="Arial" w:eastAsia="Times New Roman" w:hAnsi="Arial" w:cs="Arial"/>
          <w:bCs/>
          <w:sz w:val="20"/>
          <w:szCs w:val="20"/>
          <w:lang w:val="en-GB" w:eastAsia="it-IT"/>
        </w:rPr>
        <w:t xml:space="preserve">But do HPV vaccines cause serious harms? To </w:t>
      </w:r>
      <w:r w:rsidR="004E7C90">
        <w:rPr>
          <w:rFonts w:ascii="Arial" w:eastAsia="Times New Roman" w:hAnsi="Arial" w:cs="Arial"/>
          <w:bCs/>
          <w:sz w:val="20"/>
          <w:szCs w:val="20"/>
          <w:lang w:val="en-GB" w:eastAsia="it-IT"/>
        </w:rPr>
        <w:t>that I can only answer that the trials</w:t>
      </w:r>
      <w:r>
        <w:rPr>
          <w:rFonts w:ascii="Arial" w:eastAsia="Times New Roman" w:hAnsi="Arial" w:cs="Arial"/>
          <w:bCs/>
          <w:sz w:val="20"/>
          <w:szCs w:val="20"/>
          <w:lang w:val="en-GB" w:eastAsia="it-IT"/>
        </w:rPr>
        <w:t xml:space="preserve"> were </w:t>
      </w:r>
      <w:r w:rsidR="004E7C90">
        <w:rPr>
          <w:rFonts w:ascii="Arial" w:eastAsia="Times New Roman" w:hAnsi="Arial" w:cs="Arial"/>
          <w:bCs/>
          <w:sz w:val="20"/>
          <w:szCs w:val="20"/>
          <w:lang w:val="en-GB" w:eastAsia="it-IT"/>
        </w:rPr>
        <w:t xml:space="preserve">not </w:t>
      </w:r>
      <w:r>
        <w:rPr>
          <w:rFonts w:ascii="Arial" w:eastAsia="Times New Roman" w:hAnsi="Arial" w:cs="Arial"/>
          <w:bCs/>
          <w:sz w:val="20"/>
          <w:szCs w:val="20"/>
          <w:lang w:val="en-GB" w:eastAsia="it-IT"/>
        </w:rPr>
        <w:t>designed to test harms fairly</w:t>
      </w:r>
      <w:r w:rsidR="001B4826">
        <w:rPr>
          <w:rFonts w:ascii="Arial" w:eastAsia="Times New Roman" w:hAnsi="Arial" w:cs="Arial"/>
          <w:bCs/>
          <w:sz w:val="20"/>
          <w:szCs w:val="20"/>
          <w:lang w:val="en-GB" w:eastAsia="it-IT"/>
        </w:rPr>
        <w:t xml:space="preserve"> through a combination of idiosyncratic harms categorization, reporting and the use of active comparators dubbed “placebo”</w:t>
      </w:r>
      <w:r>
        <w:rPr>
          <w:rFonts w:ascii="Arial" w:eastAsia="Times New Roman" w:hAnsi="Arial" w:cs="Arial"/>
          <w:bCs/>
          <w:sz w:val="20"/>
          <w:szCs w:val="20"/>
          <w:lang w:val="en-GB" w:eastAsia="it-IT"/>
        </w:rPr>
        <w:t xml:space="preserve">. </w:t>
      </w:r>
    </w:p>
    <w:p w14:paraId="5D209A41" w14:textId="77777777" w:rsidR="00EA784B" w:rsidRPr="00795DFE" w:rsidRDefault="00AE3E21"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795DFE">
        <w:rPr>
          <w:rFonts w:ascii="Arial" w:eastAsia="Times New Roman" w:hAnsi="Arial" w:cs="Arial"/>
          <w:bCs/>
          <w:sz w:val="20"/>
          <w:szCs w:val="20"/>
          <w:lang w:val="en-GB" w:eastAsia="it-IT"/>
        </w:rPr>
        <w:lastRenderedPageBreak/>
        <w:t xml:space="preserve">Now the </w:t>
      </w:r>
      <w:r w:rsidR="001B4826">
        <w:rPr>
          <w:rFonts w:ascii="Arial" w:eastAsia="Times New Roman" w:hAnsi="Arial" w:cs="Arial"/>
          <w:bCs/>
          <w:sz w:val="20"/>
          <w:szCs w:val="20"/>
          <w:lang w:val="en-GB" w:eastAsia="it-IT"/>
        </w:rPr>
        <w:t xml:space="preserve">current </w:t>
      </w:r>
      <w:r w:rsidRPr="00795DFE">
        <w:rPr>
          <w:rFonts w:ascii="Arial" w:eastAsia="Times New Roman" w:hAnsi="Arial" w:cs="Arial"/>
          <w:bCs/>
          <w:sz w:val="20"/>
          <w:szCs w:val="20"/>
          <w:lang w:val="en-GB" w:eastAsia="it-IT"/>
        </w:rPr>
        <w:t xml:space="preserve">Cochrane leadership wants to carry on as if nothing has </w:t>
      </w:r>
      <w:r w:rsidR="002C70E1">
        <w:rPr>
          <w:rFonts w:ascii="Arial" w:eastAsia="Times New Roman" w:hAnsi="Arial" w:cs="Arial"/>
          <w:bCs/>
          <w:sz w:val="20"/>
          <w:szCs w:val="20"/>
          <w:lang w:val="en-GB" w:eastAsia="it-IT"/>
        </w:rPr>
        <w:t>happened.</w:t>
      </w:r>
    </w:p>
    <w:p w14:paraId="46CA8BDA" w14:textId="77777777" w:rsidR="00EA784B" w:rsidRDefault="00854DF6" w:rsidP="00EA784B">
      <w:pPr>
        <w:spacing w:before="100" w:beforeAutospacing="1" w:after="100" w:afterAutospacing="1" w:line="240" w:lineRule="auto"/>
        <w:outlineLvl w:val="3"/>
        <w:rPr>
          <w:rFonts w:ascii="Arial" w:eastAsia="Times New Roman" w:hAnsi="Arial" w:cs="Arial"/>
          <w:bCs/>
          <w:sz w:val="20"/>
          <w:szCs w:val="20"/>
          <w:lang w:val="en-GB" w:eastAsia="it-IT"/>
        </w:rPr>
      </w:pPr>
      <w:r>
        <w:rPr>
          <w:rFonts w:ascii="Arial" w:eastAsia="Times New Roman" w:hAnsi="Arial" w:cs="Arial"/>
          <w:bCs/>
          <w:sz w:val="20"/>
          <w:szCs w:val="20"/>
          <w:lang w:val="en-GB" w:eastAsia="it-IT"/>
        </w:rPr>
        <w:t>Tom Jefferson</w:t>
      </w:r>
    </w:p>
    <w:p w14:paraId="6363F4AC" w14:textId="77777777" w:rsidR="00854DF6" w:rsidRDefault="00854DF6" w:rsidP="00EA784B">
      <w:pPr>
        <w:spacing w:before="100" w:beforeAutospacing="1" w:after="100" w:afterAutospacing="1" w:line="240" w:lineRule="auto"/>
        <w:outlineLvl w:val="3"/>
        <w:rPr>
          <w:rFonts w:ascii="Arial" w:eastAsia="Times New Roman" w:hAnsi="Arial" w:cs="Arial"/>
          <w:bCs/>
          <w:sz w:val="20"/>
          <w:szCs w:val="20"/>
          <w:lang w:val="en-GB" w:eastAsia="it-IT"/>
        </w:rPr>
      </w:pPr>
    </w:p>
    <w:p w14:paraId="0CAE5975" w14:textId="77777777" w:rsidR="00854DF6" w:rsidRPr="00795DFE" w:rsidRDefault="00854DF6" w:rsidP="00EA784B">
      <w:pPr>
        <w:spacing w:before="100" w:beforeAutospacing="1" w:after="100" w:afterAutospacing="1" w:line="240" w:lineRule="auto"/>
        <w:outlineLvl w:val="3"/>
        <w:rPr>
          <w:rFonts w:ascii="Arial" w:eastAsia="Times New Roman" w:hAnsi="Arial" w:cs="Arial"/>
          <w:bCs/>
          <w:sz w:val="20"/>
          <w:szCs w:val="20"/>
          <w:lang w:val="en-GB" w:eastAsia="it-IT"/>
        </w:rPr>
      </w:pPr>
    </w:p>
    <w:p w14:paraId="17AA915B" w14:textId="77777777" w:rsidR="00EA784B" w:rsidRPr="00D32EB8" w:rsidRDefault="009011FD" w:rsidP="009011FD">
      <w:pPr>
        <w:pStyle w:val="ListParagraph"/>
        <w:numPr>
          <w:ilvl w:val="0"/>
          <w:numId w:val="1"/>
        </w:numPr>
        <w:spacing w:before="100" w:beforeAutospacing="1" w:after="100" w:afterAutospacing="1" w:line="240" w:lineRule="auto"/>
        <w:outlineLvl w:val="3"/>
        <w:rPr>
          <w:rFonts w:ascii="Arial" w:eastAsia="Times New Roman" w:hAnsi="Arial" w:cs="Arial"/>
          <w:bCs/>
          <w:sz w:val="20"/>
          <w:szCs w:val="20"/>
          <w:lang w:val="en-GB" w:eastAsia="it-IT"/>
        </w:rPr>
      </w:pPr>
      <w:r w:rsidRPr="009011FD">
        <w:rPr>
          <w:lang w:val="en-GB"/>
        </w:rPr>
        <w:t xml:space="preserve">Jørgensen L, Doshi P, Gøtzsche P, Jefferson T. Challenges of independent assessment of potential harms of HPV vaccines. </w:t>
      </w:r>
      <w:r>
        <w:rPr>
          <w:rStyle w:val="Emphasis"/>
        </w:rPr>
        <w:t>BMJ.</w:t>
      </w:r>
      <w:r>
        <w:t xml:space="preserve"> 2018 Sep 24 [cited 2018 Oct 4];362: k3694 doi: 10.1136/bmj.k3694</w:t>
      </w:r>
    </w:p>
    <w:p w14:paraId="05971E36" w14:textId="77777777" w:rsidR="00D32EB8" w:rsidRDefault="00D32EB8" w:rsidP="00D32EB8">
      <w:pPr>
        <w:pStyle w:val="ListParagraph"/>
        <w:numPr>
          <w:ilvl w:val="0"/>
          <w:numId w:val="1"/>
        </w:numPr>
        <w:autoSpaceDE w:val="0"/>
        <w:autoSpaceDN w:val="0"/>
        <w:adjustRightInd w:val="0"/>
        <w:spacing w:before="100" w:beforeAutospacing="1" w:after="0" w:afterAutospacing="1" w:line="240" w:lineRule="auto"/>
        <w:outlineLvl w:val="3"/>
        <w:rPr>
          <w:lang w:val="en-GB"/>
        </w:rPr>
      </w:pPr>
      <w:r w:rsidRPr="00D32EB8">
        <w:rPr>
          <w:lang w:val="en-GB"/>
        </w:rPr>
        <w:t>Arbyn M, Xu L, Simoens C, Martin-Hirsch PPL. Prophylactic vaccination against human papillomaviruses to prevent cervical cancer and its precursors. Cochrane Database of Systematic Reviews 2018, Issue 5. Art. No.: CD009069. DOI: 10.1002/14651858.CD009069.pub3.</w:t>
      </w:r>
    </w:p>
    <w:p w14:paraId="116EC268" w14:textId="77777777" w:rsidR="00854DF6" w:rsidRPr="00854DF6" w:rsidRDefault="00854DF6" w:rsidP="00D32EB8">
      <w:pPr>
        <w:pStyle w:val="ListParagraph"/>
        <w:numPr>
          <w:ilvl w:val="0"/>
          <w:numId w:val="1"/>
        </w:numPr>
        <w:autoSpaceDE w:val="0"/>
        <w:autoSpaceDN w:val="0"/>
        <w:adjustRightInd w:val="0"/>
        <w:spacing w:before="100" w:beforeAutospacing="1" w:after="0" w:afterAutospacing="1" w:line="240" w:lineRule="auto"/>
        <w:outlineLvl w:val="3"/>
        <w:rPr>
          <w:lang w:val="en-GB"/>
        </w:rPr>
      </w:pPr>
      <w:r w:rsidRPr="00854DF6">
        <w:rPr>
          <w:lang w:val="en-GB"/>
        </w:rPr>
        <w:t xml:space="preserve">Jorgensen L, Gøtzsche PC, Jefferson T. The Cochrane HPV vaccine review was incomplete and ignored important evidence of bias. </w:t>
      </w:r>
      <w:r w:rsidRPr="00854DF6">
        <w:rPr>
          <w:rStyle w:val="Emphasis"/>
          <w:lang w:val="en-GB"/>
        </w:rPr>
        <w:t>BMJ Evidence-Based Medicine.</w:t>
      </w:r>
      <w:r w:rsidRPr="00854DF6">
        <w:rPr>
          <w:lang w:val="en-GB"/>
        </w:rPr>
        <w:t xml:space="preserve"> 2018 July 27 [cited 2018 Oct 13]. </w:t>
      </w:r>
      <w:hyperlink r:id="rId11" w:tgtFrame="_blank" w:history="1">
        <w:r w:rsidRPr="00854DF6">
          <w:rPr>
            <w:rStyle w:val="Hyperlink"/>
            <w:lang w:val="en-GB"/>
          </w:rPr>
          <w:t>https://doi.org/10.1136/bmjebm-2018-111012</w:t>
        </w:r>
      </w:hyperlink>
    </w:p>
    <w:p w14:paraId="6124B984" w14:textId="77777777" w:rsidR="00854DF6" w:rsidRPr="00854DF6" w:rsidRDefault="00854DF6" w:rsidP="00854DF6">
      <w:pPr>
        <w:pStyle w:val="ListParagraph"/>
        <w:numPr>
          <w:ilvl w:val="0"/>
          <w:numId w:val="1"/>
        </w:numPr>
        <w:autoSpaceDE w:val="0"/>
        <w:autoSpaceDN w:val="0"/>
        <w:adjustRightInd w:val="0"/>
        <w:spacing w:before="100" w:beforeAutospacing="1" w:after="0" w:afterAutospacing="1" w:line="240" w:lineRule="auto"/>
        <w:outlineLvl w:val="3"/>
        <w:rPr>
          <w:lang w:val="en-GB"/>
        </w:rPr>
      </w:pPr>
      <w:r w:rsidRPr="00854DF6">
        <w:rPr>
          <w:lang w:val="en-GB"/>
        </w:rPr>
        <w:t xml:space="preserve">Doshi P, Jones M, Jefferson T. </w:t>
      </w:r>
      <w:hyperlink r:id="rId12" w:history="1">
        <w:r w:rsidRPr="00854DF6">
          <w:rPr>
            <w:lang w:val="en-GB"/>
          </w:rPr>
          <w:t>Concerns about accuracy of mortality meta-analysis</w:t>
        </w:r>
      </w:hyperlink>
      <w:r w:rsidRPr="00854DF6">
        <w:rPr>
          <w:lang w:val="en-GB"/>
        </w:rPr>
        <w:t>.</w:t>
      </w:r>
      <w:r>
        <w:rPr>
          <w:lang w:val="en-GB"/>
        </w:rPr>
        <w:t xml:space="preserve"> </w:t>
      </w:r>
      <w:r w:rsidRPr="00854DF6">
        <w:rPr>
          <w:lang w:val="en-GB"/>
        </w:rPr>
        <w:t>https://www.cochranelibrary.com/cdsr/doi/10.1002/14651858.CD009069.pub3/detailed-comment/en?messageId=157077507</w:t>
      </w:r>
    </w:p>
    <w:p w14:paraId="58EDDD76" w14:textId="77777777" w:rsidR="00D32EB8" w:rsidRPr="00854DF6" w:rsidRDefault="00D32EB8" w:rsidP="00D32EB8">
      <w:pPr>
        <w:spacing w:before="100" w:beforeAutospacing="1" w:after="100" w:afterAutospacing="1" w:line="240" w:lineRule="auto"/>
        <w:ind w:left="360"/>
        <w:outlineLvl w:val="3"/>
        <w:rPr>
          <w:rFonts w:ascii="Arial" w:eastAsia="Times New Roman" w:hAnsi="Arial" w:cs="Arial"/>
          <w:bCs/>
          <w:sz w:val="20"/>
          <w:szCs w:val="20"/>
          <w:lang w:val="en-GB" w:eastAsia="it-IT"/>
        </w:rPr>
      </w:pPr>
    </w:p>
    <w:p w14:paraId="3855CFE9" w14:textId="77777777" w:rsidR="00EA784B" w:rsidRPr="00795DFE" w:rsidRDefault="00EA784B"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795DFE">
        <w:rPr>
          <w:rFonts w:ascii="Arial" w:eastAsia="Times New Roman" w:hAnsi="Arial" w:cs="Arial"/>
          <w:bCs/>
          <w:sz w:val="20"/>
          <w:szCs w:val="20"/>
          <w:lang w:val="en-GB" w:eastAsia="it-IT"/>
        </w:rPr>
        <w:t>.</w:t>
      </w:r>
    </w:p>
    <w:p w14:paraId="4F15E187" w14:textId="77777777" w:rsidR="00EA784B" w:rsidRDefault="00854DF6" w:rsidP="00EA784B">
      <w:pPr>
        <w:spacing w:before="100" w:beforeAutospacing="1" w:after="100" w:afterAutospacing="1" w:line="240" w:lineRule="auto"/>
        <w:outlineLvl w:val="3"/>
        <w:rPr>
          <w:rFonts w:ascii="Arial" w:eastAsia="Times New Roman" w:hAnsi="Arial" w:cs="Arial"/>
          <w:bCs/>
          <w:sz w:val="20"/>
          <w:szCs w:val="20"/>
          <w:lang w:val="en-GB" w:eastAsia="it-IT"/>
        </w:rPr>
      </w:pPr>
      <w:r>
        <w:rPr>
          <w:rFonts w:ascii="Arial" w:eastAsia="Times New Roman" w:hAnsi="Arial" w:cs="Arial"/>
          <w:bCs/>
          <w:sz w:val="20"/>
          <w:szCs w:val="20"/>
          <w:lang w:val="en-GB" w:eastAsia="it-IT"/>
        </w:rPr>
        <w:t>Disclosure</w:t>
      </w:r>
    </w:p>
    <w:p w14:paraId="1579E79D" w14:textId="77777777" w:rsidR="00854DF6" w:rsidRPr="00854DF6" w:rsidRDefault="00854DF6"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854DF6">
        <w:rPr>
          <w:lang w:val="en-GB"/>
        </w:rPr>
        <w:t xml:space="preserve">TJ was a recipient of a UK National Institute for Health Research grant for a Cochrane review of neuraminidase inhibitors for influenza. In addition, TJ receives royalties from his books published by Il </w:t>
      </w:r>
      <w:proofErr w:type="spellStart"/>
      <w:r w:rsidRPr="00854DF6">
        <w:rPr>
          <w:lang w:val="en-GB"/>
        </w:rPr>
        <w:t>Pensiero</w:t>
      </w:r>
      <w:proofErr w:type="spellEnd"/>
      <w:r w:rsidRPr="00854DF6">
        <w:rPr>
          <w:lang w:val="en-GB"/>
        </w:rPr>
        <w:t xml:space="preserve"> </w:t>
      </w:r>
      <w:proofErr w:type="spellStart"/>
      <w:r w:rsidRPr="00854DF6">
        <w:rPr>
          <w:lang w:val="en-GB"/>
        </w:rPr>
        <w:t>Scientifico</w:t>
      </w:r>
      <w:proofErr w:type="spellEnd"/>
      <w:r w:rsidRPr="00854DF6">
        <w:rPr>
          <w:lang w:val="en-GB"/>
        </w:rPr>
        <w:t xml:space="preserve"> </w:t>
      </w:r>
      <w:proofErr w:type="spellStart"/>
      <w:r w:rsidRPr="00854DF6">
        <w:rPr>
          <w:lang w:val="en-GB"/>
        </w:rPr>
        <w:t>Editore</w:t>
      </w:r>
      <w:proofErr w:type="spellEnd"/>
      <w:r w:rsidRPr="00854DF6">
        <w:rPr>
          <w:lang w:val="en-GB"/>
        </w:rPr>
        <w:t xml:space="preserve">, Rome and </w:t>
      </w:r>
      <w:proofErr w:type="spellStart"/>
      <w:r w:rsidRPr="00854DF6">
        <w:rPr>
          <w:lang w:val="en-GB"/>
        </w:rPr>
        <w:t>Blackwells</w:t>
      </w:r>
      <w:proofErr w:type="spellEnd"/>
      <w:r w:rsidRPr="00854DF6">
        <w:rPr>
          <w:lang w:val="en-GB"/>
        </w:rPr>
        <w:t>. TJ is occasionally interviewed by market research companies about phase I or II pharmaceutical products. In 2011-13, TJ acted as an expert witness in litigation related to the antiviral oseltamivir, in two litigation cases on potential vaccine-related damage (including the vaccine Pandemrix (2015-2017) and in a labour case on influenza vaccines in healthcare workers in Canada. He has acted as a consultant for Roche (1997-99), GSK (2001-2), Sanofi-</w:t>
      </w:r>
      <w:proofErr w:type="spellStart"/>
      <w:r w:rsidRPr="00854DF6">
        <w:rPr>
          <w:lang w:val="en-GB"/>
        </w:rPr>
        <w:t>Synthelabo</w:t>
      </w:r>
      <w:proofErr w:type="spellEnd"/>
      <w:r w:rsidRPr="00854DF6">
        <w:rPr>
          <w:lang w:val="en-GB"/>
        </w:rPr>
        <w:t xml:space="preserve"> (2003), and IMS Health (2013). In 2014 he was retained as a scientific adviser to a legal team acting on oseltamivir. TJ has a potential financial conflict of interest in the drug oseltamivir. In 2014-16, TJ was a member of three advisory boards for </w:t>
      </w:r>
      <w:proofErr w:type="spellStart"/>
      <w:r w:rsidRPr="00854DF6">
        <w:rPr>
          <w:lang w:val="en-GB"/>
        </w:rPr>
        <w:t>Boerhinger</w:t>
      </w:r>
      <w:proofErr w:type="spellEnd"/>
      <w:r w:rsidRPr="00854DF6">
        <w:rPr>
          <w:lang w:val="en-GB"/>
        </w:rPr>
        <w:t xml:space="preserve"> Ingelheim. TJ was holder of a Cochrane Methods Innovations Fund grant to develop guidance on the use of regulatory data in Cochrane reviews. TJ was a member of an independent data monitoring committee for a Sanofi Pasteur clinical trial on an influenza vaccine. Between 1994 and 2013, TJ was the coordinator of the Cochrane Vaccines Field. TJ was a co-signatory of the Nordic Cochrane Centre Complaint to the European Medicines Agency (EMA) over maladministration at the EMA in relation to the investigation of alleged harms of HPV vaccines and consequent complaints to the European Ombudsman. TJ is co-holder of a John and Laura Arnold Foundation grant for development of a RIAT support centre (2017-2020) and Jean Monnet Network Grant, 2017-2020 for The Jean Monnet Health Law and Policy Network. TJ is an unpaid collaborator to the project Beyond Transparency in Pharmaceutical Research and Regulation led by Dalhousie University and funded by the Canadian Institutes of Health Research (2018-2022). The Laura and John Arnold Foundation funds the RIAT Support Center which supports the salaries of Dr. Doshi, Dr. Jones, and Dr. Jefferson.</w:t>
      </w:r>
    </w:p>
    <w:p w14:paraId="00B73746" w14:textId="77777777" w:rsidR="00EA784B" w:rsidRPr="00795DFE" w:rsidRDefault="00EA784B" w:rsidP="00EA784B">
      <w:pPr>
        <w:spacing w:before="100" w:beforeAutospacing="1" w:after="100" w:afterAutospacing="1" w:line="240" w:lineRule="auto"/>
        <w:outlineLvl w:val="3"/>
        <w:rPr>
          <w:rFonts w:ascii="Arial" w:eastAsia="Times New Roman" w:hAnsi="Arial" w:cs="Arial"/>
          <w:bCs/>
          <w:sz w:val="20"/>
          <w:szCs w:val="20"/>
          <w:lang w:val="en-GB" w:eastAsia="it-IT"/>
        </w:rPr>
      </w:pPr>
      <w:r w:rsidRPr="00795DFE">
        <w:rPr>
          <w:rFonts w:ascii="Arial" w:eastAsia="Times New Roman" w:hAnsi="Arial" w:cs="Arial"/>
          <w:bCs/>
          <w:sz w:val="20"/>
          <w:szCs w:val="20"/>
          <w:lang w:val="en-GB" w:eastAsia="it-IT"/>
        </w:rPr>
        <w:t xml:space="preserve">  </w:t>
      </w:r>
    </w:p>
    <w:p w14:paraId="0FD0259D" w14:textId="77777777" w:rsidR="009C520A" w:rsidRPr="00795DFE" w:rsidRDefault="009C520A">
      <w:pPr>
        <w:rPr>
          <w:rFonts w:ascii="Arial" w:hAnsi="Arial" w:cs="Arial"/>
          <w:sz w:val="20"/>
          <w:szCs w:val="20"/>
          <w:lang w:val="en-GB"/>
        </w:rPr>
      </w:pPr>
    </w:p>
    <w:sectPr w:rsidR="009C520A" w:rsidRPr="00795DF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32EE5"/>
    <w:multiLevelType w:val="hybridMultilevel"/>
    <w:tmpl w:val="9DFA1B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C1C39A5"/>
    <w:multiLevelType w:val="hybridMultilevel"/>
    <w:tmpl w:val="9DFA1B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B0635A7"/>
    <w:multiLevelType w:val="multilevel"/>
    <w:tmpl w:val="2B5A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4B"/>
    <w:rsid w:val="001B4826"/>
    <w:rsid w:val="002C70E1"/>
    <w:rsid w:val="0036145E"/>
    <w:rsid w:val="003E7973"/>
    <w:rsid w:val="004E7C90"/>
    <w:rsid w:val="006062D8"/>
    <w:rsid w:val="006D2C65"/>
    <w:rsid w:val="00795DFE"/>
    <w:rsid w:val="00854DF6"/>
    <w:rsid w:val="009011FD"/>
    <w:rsid w:val="009969CB"/>
    <w:rsid w:val="009C520A"/>
    <w:rsid w:val="00AE3E21"/>
    <w:rsid w:val="00D32EB8"/>
    <w:rsid w:val="00EA78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C242"/>
  <w15:docId w15:val="{AB52AA0D-5C09-418A-81AA-6B3D0DC3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A784B"/>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A784B"/>
    <w:rPr>
      <w:rFonts w:ascii="Times New Roman" w:eastAsia="Times New Roman" w:hAnsi="Times New Roman" w:cs="Times New Roman"/>
      <w:b/>
      <w:bCs/>
      <w:sz w:val="24"/>
      <w:szCs w:val="24"/>
      <w:lang w:eastAsia="it-IT"/>
    </w:rPr>
  </w:style>
  <w:style w:type="paragraph" w:styleId="BalloonText">
    <w:name w:val="Balloon Text"/>
    <w:basedOn w:val="Normal"/>
    <w:link w:val="BalloonTextChar"/>
    <w:uiPriority w:val="99"/>
    <w:semiHidden/>
    <w:unhideWhenUsed/>
    <w:rsid w:val="006D2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65"/>
    <w:rPr>
      <w:rFonts w:ascii="Tahoma" w:hAnsi="Tahoma" w:cs="Tahoma"/>
      <w:sz w:val="16"/>
      <w:szCs w:val="16"/>
    </w:rPr>
  </w:style>
  <w:style w:type="character" w:styleId="Hyperlink">
    <w:name w:val="Hyperlink"/>
    <w:basedOn w:val="DefaultParagraphFont"/>
    <w:uiPriority w:val="99"/>
    <w:unhideWhenUsed/>
    <w:rsid w:val="006D2C65"/>
    <w:rPr>
      <w:color w:val="0000FF" w:themeColor="hyperlink"/>
      <w:u w:val="single"/>
    </w:rPr>
  </w:style>
  <w:style w:type="paragraph" w:styleId="NormalWeb">
    <w:name w:val="Normal (Web)"/>
    <w:basedOn w:val="Normal"/>
    <w:uiPriority w:val="99"/>
    <w:semiHidden/>
    <w:unhideWhenUsed/>
    <w:rsid w:val="003E797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9011FD"/>
    <w:rPr>
      <w:i/>
      <w:iCs/>
    </w:rPr>
  </w:style>
  <w:style w:type="paragraph" w:styleId="ListParagraph">
    <w:name w:val="List Paragraph"/>
    <w:basedOn w:val="Normal"/>
    <w:uiPriority w:val="34"/>
    <w:qFormat/>
    <w:rsid w:val="009011FD"/>
    <w:pPr>
      <w:ind w:left="720"/>
      <w:contextualSpacing/>
    </w:pPr>
  </w:style>
  <w:style w:type="character" w:customStyle="1" w:styleId="publish-date">
    <w:name w:val="publish-date"/>
    <w:basedOn w:val="DefaultParagraphFont"/>
    <w:rsid w:val="00854DF6"/>
  </w:style>
  <w:style w:type="character" w:styleId="Strong">
    <w:name w:val="Strong"/>
    <w:basedOn w:val="DefaultParagraphFont"/>
    <w:uiPriority w:val="22"/>
    <w:qFormat/>
    <w:rsid w:val="00854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572748">
      <w:bodyDiv w:val="1"/>
      <w:marLeft w:val="0"/>
      <w:marRight w:val="0"/>
      <w:marTop w:val="0"/>
      <w:marBottom w:val="0"/>
      <w:divBdr>
        <w:top w:val="none" w:sz="0" w:space="0" w:color="auto"/>
        <w:left w:val="none" w:sz="0" w:space="0" w:color="auto"/>
        <w:bottom w:val="none" w:sz="0" w:space="0" w:color="auto"/>
        <w:right w:val="none" w:sz="0" w:space="0" w:color="auto"/>
      </w:divBdr>
    </w:div>
    <w:div w:id="647977448">
      <w:bodyDiv w:val="1"/>
      <w:marLeft w:val="0"/>
      <w:marRight w:val="0"/>
      <w:marTop w:val="0"/>
      <w:marBottom w:val="0"/>
      <w:divBdr>
        <w:top w:val="none" w:sz="0" w:space="0" w:color="auto"/>
        <w:left w:val="none" w:sz="0" w:space="0" w:color="auto"/>
        <w:bottom w:val="none" w:sz="0" w:space="0" w:color="auto"/>
        <w:right w:val="none" w:sz="0" w:space="0" w:color="auto"/>
      </w:divBdr>
    </w:div>
    <w:div w:id="679281503">
      <w:bodyDiv w:val="1"/>
      <w:marLeft w:val="0"/>
      <w:marRight w:val="0"/>
      <w:marTop w:val="0"/>
      <w:marBottom w:val="0"/>
      <w:divBdr>
        <w:top w:val="none" w:sz="0" w:space="0" w:color="auto"/>
        <w:left w:val="none" w:sz="0" w:space="0" w:color="auto"/>
        <w:bottom w:val="none" w:sz="0" w:space="0" w:color="auto"/>
        <w:right w:val="none" w:sz="0" w:space="0" w:color="auto"/>
      </w:divBdr>
      <w:divsChild>
        <w:div w:id="36248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gracias.eu/2018/10/08/regenerate-cochrane-to-strengthen-the-production-of-trusted-evidence-for-the-common-good-of-public-health-by-david-hammerste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gracias.eu/2018/10/06/the-cochrane-iberoamerican-network-asks-to-improve-the-governance-of-the-organisation-as-well-as-transparency-participation-and-an-independent-review-of-the-peter-gotzsches-process/" TargetMode="External"/><Relationship Id="rId12" Type="http://schemas.openxmlformats.org/officeDocument/2006/relationships/hyperlink" Target="https://www.cochranelibrary.com/cdsr/doi/10.1002/14651858.CD009069.pub3/detailed-comment/en?messageId=1570775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cochrane.org/news/governing-board-webinars-october-2018" TargetMode="External"/><Relationship Id="rId11" Type="http://schemas.openxmlformats.org/officeDocument/2006/relationships/hyperlink" Target="https://ebm.bmj.com/content/23/5/165" TargetMode="External"/><Relationship Id="rId5" Type="http://schemas.openxmlformats.org/officeDocument/2006/relationships/image" Target="media/image1.emf"/><Relationship Id="rId10" Type="http://schemas.openxmlformats.org/officeDocument/2006/relationships/hyperlink" Target="https://ebm.bmj.com/content/23/2/46" TargetMode="External"/><Relationship Id="rId4" Type="http://schemas.openxmlformats.org/officeDocument/2006/relationships/webSettings" Target="webSettings.xml"/><Relationship Id="rId9" Type="http://schemas.openxmlformats.org/officeDocument/2006/relationships/hyperlink" Target="https://systematicreviewsjournal.biomedcentral.com/articles/10.1186/s13643-018-0675-z"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1339</Words>
  <Characters>7637</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Admin</cp:lastModifiedBy>
  <cp:revision>2</cp:revision>
  <dcterms:created xsi:type="dcterms:W3CDTF">2018-10-26T05:49:00Z</dcterms:created>
  <dcterms:modified xsi:type="dcterms:W3CDTF">2018-10-26T05:49:00Z</dcterms:modified>
</cp:coreProperties>
</file>