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76EC3" w14:textId="77777777" w:rsidR="00681690" w:rsidRPr="00681690" w:rsidRDefault="00681690" w:rsidP="00681690">
      <w:pPr>
        <w:spacing w:line="360" w:lineRule="auto"/>
        <w:rPr>
          <w:rFonts w:ascii="Times New Roman" w:hAnsi="Times New Roman" w:cs="Times New Roman"/>
          <w:b/>
          <w:i/>
          <w:sz w:val="24"/>
          <w:szCs w:val="24"/>
        </w:rPr>
      </w:pPr>
      <w:bookmarkStart w:id="0" w:name="_GoBack"/>
      <w:bookmarkEnd w:id="0"/>
      <w:proofErr w:type="spellStart"/>
      <w:r w:rsidRPr="00681690">
        <w:rPr>
          <w:rFonts w:ascii="Times New Roman" w:hAnsi="Times New Roman" w:cs="Times New Roman"/>
          <w:b/>
          <w:i/>
          <w:sz w:val="24"/>
          <w:szCs w:val="24"/>
        </w:rPr>
        <w:t>Chinu</w:t>
      </w:r>
      <w:proofErr w:type="spellEnd"/>
      <w:r w:rsidRPr="00681690">
        <w:rPr>
          <w:rFonts w:ascii="Times New Roman" w:hAnsi="Times New Roman" w:cs="Times New Roman"/>
          <w:b/>
          <w:i/>
          <w:sz w:val="24"/>
          <w:szCs w:val="24"/>
        </w:rPr>
        <w:t xml:space="preserve">, Final Draft, Jan  4,  2019, 3 pm </w:t>
      </w:r>
    </w:p>
    <w:p w14:paraId="7400FCEA" w14:textId="77777777" w:rsidR="00681690" w:rsidRPr="00681690" w:rsidRDefault="00681690" w:rsidP="00681690">
      <w:pPr>
        <w:spacing w:line="360" w:lineRule="auto"/>
        <w:jc w:val="center"/>
        <w:rPr>
          <w:rFonts w:ascii="Times New Roman" w:hAnsi="Times New Roman" w:cs="Times New Roman"/>
          <w:b/>
          <w:sz w:val="28"/>
          <w:szCs w:val="24"/>
        </w:rPr>
      </w:pPr>
      <w:commentRangeStart w:id="1"/>
      <w:r w:rsidRPr="00681690">
        <w:rPr>
          <w:rFonts w:ascii="Times New Roman" w:hAnsi="Times New Roman" w:cs="Times New Roman"/>
          <w:b/>
          <w:sz w:val="28"/>
          <w:szCs w:val="24"/>
        </w:rPr>
        <w:t>Oxytocin Ban: the Judgment and Legal Issues</w:t>
      </w:r>
      <w:commentRangeEnd w:id="1"/>
      <w:r w:rsidRPr="00681690">
        <w:rPr>
          <w:rStyle w:val="CommentReference"/>
          <w:rFonts w:ascii="Times New Roman" w:hAnsi="Times New Roman" w:cs="Times New Roman"/>
        </w:rPr>
        <w:commentReference w:id="1"/>
      </w:r>
    </w:p>
    <w:p w14:paraId="64F3812F" w14:textId="77777777" w:rsidR="00681690" w:rsidRPr="00681690" w:rsidRDefault="00681690" w:rsidP="00681690">
      <w:pPr>
        <w:spacing w:line="360" w:lineRule="auto"/>
        <w:jc w:val="right"/>
        <w:rPr>
          <w:rFonts w:ascii="Times New Roman" w:hAnsi="Times New Roman" w:cs="Times New Roman"/>
          <w:b/>
          <w:i/>
          <w:sz w:val="24"/>
          <w:szCs w:val="24"/>
        </w:rPr>
      </w:pPr>
      <w:r w:rsidRPr="00681690">
        <w:rPr>
          <w:rFonts w:ascii="Times New Roman" w:hAnsi="Times New Roman" w:cs="Times New Roman"/>
          <w:b/>
          <w:i/>
          <w:sz w:val="24"/>
          <w:szCs w:val="24"/>
        </w:rPr>
        <w:t>-</w:t>
      </w:r>
      <w:proofErr w:type="spellStart"/>
      <w:r w:rsidRPr="00681690">
        <w:rPr>
          <w:rFonts w:ascii="Times New Roman" w:hAnsi="Times New Roman" w:cs="Times New Roman"/>
          <w:b/>
          <w:i/>
          <w:sz w:val="24"/>
          <w:szCs w:val="24"/>
        </w:rPr>
        <w:t>S.Srinivasan</w:t>
      </w:r>
      <w:proofErr w:type="spellEnd"/>
      <w:r w:rsidRPr="00681690">
        <w:rPr>
          <w:rStyle w:val="FootnoteReference"/>
          <w:rFonts w:ascii="Times New Roman" w:hAnsi="Times New Roman" w:cs="Times New Roman"/>
          <w:b/>
          <w:i/>
          <w:sz w:val="24"/>
          <w:szCs w:val="24"/>
        </w:rPr>
        <w:footnoteReference w:id="1"/>
      </w:r>
    </w:p>
    <w:p w14:paraId="6CAFE2BB" w14:textId="77777777" w:rsidR="00681690" w:rsidRPr="00681690" w:rsidRDefault="00681690" w:rsidP="00681690">
      <w:pPr>
        <w:spacing w:line="360" w:lineRule="auto"/>
        <w:jc w:val="center"/>
        <w:rPr>
          <w:rFonts w:ascii="Times New Roman" w:hAnsi="Times New Roman" w:cs="Times New Roman"/>
          <w:b/>
          <w:sz w:val="24"/>
          <w:szCs w:val="24"/>
        </w:rPr>
      </w:pPr>
    </w:p>
    <w:p w14:paraId="329A0709" w14:textId="77777777" w:rsidR="00681690" w:rsidRPr="00681690" w:rsidRDefault="00681690" w:rsidP="00681690">
      <w:pPr>
        <w:spacing w:line="360" w:lineRule="auto"/>
        <w:jc w:val="both"/>
        <w:rPr>
          <w:rFonts w:ascii="Times New Roman" w:hAnsi="Times New Roman" w:cs="Times New Roman"/>
          <w:i/>
          <w:sz w:val="20"/>
          <w:szCs w:val="24"/>
        </w:rPr>
      </w:pPr>
      <w:r w:rsidRPr="00681690">
        <w:rPr>
          <w:rFonts w:ascii="Times New Roman" w:hAnsi="Times New Roman" w:cs="Times New Roman"/>
          <w:i/>
          <w:sz w:val="20"/>
          <w:szCs w:val="24"/>
        </w:rPr>
        <w:t xml:space="preserve">Abstract: This paper discusses primarily the judgment of the Delhi High Court on the ban by the Government on Oxytocin. Part 1 recapitulates the events leading up to the ban and Part 2 discusses the legal issues considered by the Court before pronouncing its judgment. </w:t>
      </w:r>
      <w:r w:rsidR="00D45EAD">
        <w:rPr>
          <w:rFonts w:ascii="Times New Roman" w:hAnsi="Times New Roman" w:cs="Times New Roman"/>
          <w:i/>
          <w:sz w:val="20"/>
          <w:szCs w:val="24"/>
        </w:rPr>
        <w:t xml:space="preserve"> </w:t>
      </w:r>
      <w:r w:rsidRPr="00681690">
        <w:rPr>
          <w:rFonts w:ascii="Times New Roman" w:hAnsi="Times New Roman" w:cs="Times New Roman"/>
          <w:i/>
          <w:sz w:val="20"/>
          <w:szCs w:val="24"/>
        </w:rPr>
        <w:t>The paper outlines how life and death issues caused by a drug’s ban are finally settled by legal considerations, apparently arcane to the non-specialist, but necessary to be understood by health policy makers. Issues of medical ethics are mentioned briefly.</w:t>
      </w:r>
    </w:p>
    <w:p w14:paraId="5A0CBBB6" w14:textId="77777777" w:rsidR="00681690" w:rsidRPr="00681690" w:rsidRDefault="00681690" w:rsidP="00681690">
      <w:pPr>
        <w:spacing w:line="360" w:lineRule="auto"/>
        <w:jc w:val="center"/>
        <w:rPr>
          <w:rFonts w:ascii="Times New Roman" w:hAnsi="Times New Roman" w:cs="Times New Roman"/>
          <w:b/>
          <w:sz w:val="24"/>
          <w:szCs w:val="24"/>
        </w:rPr>
      </w:pPr>
      <w:r w:rsidRPr="00681690">
        <w:rPr>
          <w:rFonts w:ascii="Times New Roman" w:hAnsi="Times New Roman" w:cs="Times New Roman"/>
          <w:b/>
          <w:sz w:val="24"/>
          <w:szCs w:val="24"/>
        </w:rPr>
        <w:t>1. Oxytocin: A Brief History and Background to the Ban</w:t>
      </w:r>
    </w:p>
    <w:p w14:paraId="358A0DFC" w14:textId="77777777" w:rsidR="00681690" w:rsidRPr="00681690" w:rsidRDefault="00681690" w:rsidP="00681690">
      <w:pPr>
        <w:spacing w:line="360" w:lineRule="auto"/>
        <w:jc w:val="both"/>
        <w:rPr>
          <w:rFonts w:ascii="Times New Roman" w:hAnsi="Times New Roman" w:cs="Times New Roman"/>
          <w:b/>
          <w:sz w:val="24"/>
          <w:szCs w:val="24"/>
        </w:rPr>
      </w:pPr>
      <w:commentRangeStart w:id="2"/>
      <w:commentRangeStart w:id="3"/>
      <w:r w:rsidRPr="00681690">
        <w:rPr>
          <w:rFonts w:ascii="Times New Roman" w:hAnsi="Times New Roman" w:cs="Times New Roman"/>
          <w:b/>
          <w:sz w:val="24"/>
          <w:szCs w:val="24"/>
        </w:rPr>
        <w:t>The Issue</w:t>
      </w:r>
      <w:commentRangeEnd w:id="2"/>
      <w:r w:rsidRPr="00681690">
        <w:rPr>
          <w:rStyle w:val="CommentReference"/>
          <w:rFonts w:ascii="Times New Roman" w:hAnsi="Times New Roman" w:cs="Times New Roman"/>
        </w:rPr>
        <w:commentReference w:id="2"/>
      </w:r>
      <w:commentRangeEnd w:id="3"/>
      <w:r w:rsidRPr="00681690">
        <w:rPr>
          <w:rStyle w:val="CommentReference"/>
          <w:rFonts w:ascii="Times New Roman" w:hAnsi="Times New Roman" w:cs="Times New Roman"/>
        </w:rPr>
        <w:commentReference w:id="3"/>
      </w:r>
    </w:p>
    <w:p w14:paraId="0C47405C" w14:textId="77777777" w:rsidR="00681690" w:rsidRPr="00681690" w:rsidRDefault="00681690" w:rsidP="00681690">
      <w:pPr>
        <w:spacing w:line="360" w:lineRule="auto"/>
        <w:jc w:val="both"/>
        <w:rPr>
          <w:rFonts w:ascii="Times New Roman" w:eastAsia="Batang" w:hAnsi="Times New Roman" w:cs="Times New Roman"/>
          <w:sz w:val="24"/>
          <w:szCs w:val="24"/>
        </w:rPr>
      </w:pPr>
      <w:r w:rsidRPr="00681690">
        <w:rPr>
          <w:rFonts w:ascii="Times New Roman" w:hAnsi="Times New Roman" w:cs="Times New Roman"/>
          <w:sz w:val="24"/>
          <w:szCs w:val="24"/>
        </w:rPr>
        <w:t>The Delhi High Court bench of Justices Ravindra S. Bhat and A.K. Chawla pronounced on December 14, 2018 its final order</w:t>
      </w:r>
      <w:r w:rsidRPr="00681690">
        <w:rPr>
          <w:rStyle w:val="EndnoteReference"/>
          <w:rFonts w:ascii="Times New Roman" w:hAnsi="Times New Roman" w:cs="Times New Roman"/>
          <w:sz w:val="24"/>
          <w:szCs w:val="24"/>
        </w:rPr>
        <w:endnoteReference w:id="1"/>
      </w:r>
      <w:r w:rsidRPr="00681690">
        <w:rPr>
          <w:rFonts w:ascii="Times New Roman" w:hAnsi="Times New Roman" w:cs="Times New Roman"/>
          <w:sz w:val="24"/>
          <w:szCs w:val="24"/>
        </w:rPr>
        <w:t xml:space="preserve"> on Oxytocin quashing the notification (hereafter the impugned notification)</w:t>
      </w:r>
      <w:r w:rsidRPr="00681690">
        <w:rPr>
          <w:rStyle w:val="EndnoteReference"/>
          <w:rFonts w:ascii="Times New Roman" w:hAnsi="Times New Roman" w:cs="Times New Roman"/>
          <w:sz w:val="24"/>
          <w:szCs w:val="24"/>
        </w:rPr>
        <w:endnoteReference w:id="2"/>
      </w:r>
      <w:r w:rsidRPr="00681690">
        <w:rPr>
          <w:rFonts w:ascii="Times New Roman" w:hAnsi="Times New Roman" w:cs="Times New Roman"/>
          <w:sz w:val="24"/>
          <w:szCs w:val="24"/>
        </w:rPr>
        <w:t xml:space="preserve"> that had banned the manufacture and sale by private manufacturers of Oxytocin ampoules for domestic use; </w:t>
      </w:r>
      <w:r w:rsidRPr="00681690">
        <w:rPr>
          <w:rFonts w:ascii="Times New Roman" w:eastAsia="Batang" w:hAnsi="Times New Roman" w:cs="Times New Roman"/>
          <w:sz w:val="24"/>
          <w:szCs w:val="24"/>
        </w:rPr>
        <w:t>and restricted manufacture to only the public sector undertaking (PSU)</w:t>
      </w:r>
      <w:r w:rsidRPr="00681690">
        <w:rPr>
          <w:rFonts w:ascii="Times New Roman" w:hAnsi="Times New Roman" w:cs="Times New Roman"/>
          <w:sz w:val="24"/>
          <w:szCs w:val="24"/>
        </w:rPr>
        <w:t xml:space="preserve">, </w:t>
      </w:r>
      <w:r w:rsidRPr="00681690">
        <w:rPr>
          <w:rFonts w:ascii="Times New Roman" w:eastAsia="Batang" w:hAnsi="Times New Roman" w:cs="Times New Roman"/>
          <w:sz w:val="24"/>
          <w:szCs w:val="24"/>
        </w:rPr>
        <w:t>Karnataka Antibiotics and Pharmaceuticals Ltd. (KAPL).  KAPL had no previous experience of producing Oxytocin. In fact it was granted manufacturing license for Oxytocin ampoules as late as April 2018.   KAPL would directly supply, it was envisaged, by a countrywide cold chain, to only registered hospitals and clinics in the public and private sectors.  The related measures proposed by the Government included not allowing retail or wholesale chemists to stock Oxytocin in their shops in any form or name.</w:t>
      </w:r>
    </w:p>
    <w:p w14:paraId="247CCBA9" w14:textId="77777777" w:rsidR="00681690" w:rsidRPr="00681690" w:rsidRDefault="00681690" w:rsidP="00681690">
      <w:pPr>
        <w:spacing w:line="360" w:lineRule="auto"/>
        <w:jc w:val="both"/>
        <w:rPr>
          <w:rFonts w:ascii="Times New Roman" w:eastAsia="Batang" w:hAnsi="Times New Roman" w:cs="Times New Roman"/>
          <w:bCs/>
          <w:sz w:val="24"/>
          <w:szCs w:val="24"/>
        </w:rPr>
      </w:pPr>
      <w:r w:rsidRPr="00681690">
        <w:rPr>
          <w:rFonts w:ascii="Times New Roman" w:eastAsia="Batang" w:hAnsi="Times New Roman" w:cs="Times New Roman"/>
          <w:sz w:val="24"/>
          <w:szCs w:val="24"/>
        </w:rPr>
        <w:t xml:space="preserve">Oxytocin is an essential and </w:t>
      </w:r>
      <w:proofErr w:type="spellStart"/>
      <w:r w:rsidRPr="00681690">
        <w:rPr>
          <w:rFonts w:ascii="Times New Roman" w:eastAsia="Batang" w:hAnsi="Times New Roman" w:cs="Times New Roman"/>
          <w:sz w:val="24"/>
          <w:szCs w:val="24"/>
        </w:rPr>
        <w:t>life saving</w:t>
      </w:r>
      <w:proofErr w:type="spellEnd"/>
      <w:r w:rsidRPr="00681690">
        <w:rPr>
          <w:rFonts w:ascii="Times New Roman" w:eastAsia="Batang" w:hAnsi="Times New Roman" w:cs="Times New Roman"/>
          <w:sz w:val="24"/>
          <w:szCs w:val="24"/>
        </w:rPr>
        <w:t xml:space="preserve"> drug frequently used for women during delivery, for induction and augmentation of labour, to make childbirth safe and prevent death from postpartum </w:t>
      </w:r>
      <w:proofErr w:type="spellStart"/>
      <w:r w:rsidRPr="00681690">
        <w:rPr>
          <w:rFonts w:ascii="Times New Roman" w:eastAsia="Batang" w:hAnsi="Times New Roman" w:cs="Times New Roman"/>
          <w:sz w:val="24"/>
          <w:szCs w:val="24"/>
        </w:rPr>
        <w:t>haemorrhage</w:t>
      </w:r>
      <w:proofErr w:type="spellEnd"/>
      <w:r w:rsidRPr="00681690">
        <w:rPr>
          <w:rFonts w:ascii="Times New Roman" w:eastAsia="Batang" w:hAnsi="Times New Roman" w:cs="Times New Roman"/>
          <w:sz w:val="24"/>
          <w:szCs w:val="24"/>
        </w:rPr>
        <w:t xml:space="preserve"> (PPH). In India PPH contributes to 38%, approximately a total of 32,000 maternal deaths, of all maternal deaths</w:t>
      </w:r>
      <w:r w:rsidRPr="00681690">
        <w:rPr>
          <w:rStyle w:val="EndnoteReference"/>
          <w:rFonts w:ascii="Times New Roman" w:eastAsia="Batang" w:hAnsi="Times New Roman" w:cs="Times New Roman"/>
          <w:sz w:val="24"/>
          <w:szCs w:val="24"/>
        </w:rPr>
        <w:endnoteReference w:id="3"/>
      </w:r>
      <w:r w:rsidRPr="00681690">
        <w:rPr>
          <w:rFonts w:ascii="Times New Roman" w:eastAsia="Batang" w:hAnsi="Times New Roman" w:cs="Times New Roman"/>
          <w:sz w:val="24"/>
          <w:szCs w:val="24"/>
        </w:rPr>
        <w:t xml:space="preserve"> occurring every year in India.  </w:t>
      </w:r>
      <w:r w:rsidRPr="00681690">
        <w:rPr>
          <w:rFonts w:ascii="Times New Roman" w:eastAsia="Batang" w:hAnsi="Times New Roman" w:cs="Times New Roman"/>
          <w:sz w:val="24"/>
          <w:szCs w:val="24"/>
          <w:lang w:val="en-GB"/>
        </w:rPr>
        <w:t xml:space="preserve">A </w:t>
      </w:r>
      <w:r w:rsidRPr="00681690">
        <w:rPr>
          <w:rFonts w:ascii="Times New Roman" w:eastAsia="Batang" w:hAnsi="Times New Roman" w:cs="Times New Roman"/>
          <w:sz w:val="24"/>
          <w:szCs w:val="24"/>
        </w:rPr>
        <w:t xml:space="preserve">recent report from the Registrar General of India (RGI) showed nearly 4 women die every hour in India from </w:t>
      </w:r>
      <w:r w:rsidRPr="00681690">
        <w:rPr>
          <w:rFonts w:ascii="Times New Roman" w:eastAsia="Batang" w:hAnsi="Times New Roman" w:cs="Times New Roman"/>
          <w:sz w:val="24"/>
          <w:szCs w:val="24"/>
        </w:rPr>
        <w:lastRenderedPageBreak/>
        <w:t xml:space="preserve">complications developed during childbirth, with heavy blood loss caused by </w:t>
      </w:r>
      <w:proofErr w:type="spellStart"/>
      <w:r w:rsidRPr="00681690">
        <w:rPr>
          <w:rFonts w:ascii="Times New Roman" w:eastAsia="Batang" w:hAnsi="Times New Roman" w:cs="Times New Roman"/>
          <w:sz w:val="24"/>
          <w:szCs w:val="24"/>
        </w:rPr>
        <w:t>haemorrhage</w:t>
      </w:r>
      <w:proofErr w:type="spellEnd"/>
      <w:r w:rsidRPr="00681690">
        <w:rPr>
          <w:rFonts w:ascii="Times New Roman" w:eastAsia="Batang" w:hAnsi="Times New Roman" w:cs="Times New Roman"/>
          <w:sz w:val="24"/>
          <w:szCs w:val="24"/>
        </w:rPr>
        <w:t xml:space="preserve"> being a major factor.</w:t>
      </w:r>
      <w:r w:rsidRPr="00681690">
        <w:rPr>
          <w:rStyle w:val="EndnoteReference"/>
          <w:rFonts w:ascii="Times New Roman" w:eastAsia="Batang" w:hAnsi="Times New Roman" w:cs="Times New Roman"/>
          <w:sz w:val="24"/>
          <w:szCs w:val="24"/>
        </w:rPr>
        <w:endnoteReference w:id="4"/>
      </w:r>
      <w:r w:rsidRPr="00681690">
        <w:rPr>
          <w:rFonts w:ascii="Times New Roman" w:eastAsia="Batang" w:hAnsi="Times New Roman" w:cs="Times New Roman"/>
          <w:sz w:val="24"/>
          <w:szCs w:val="24"/>
        </w:rPr>
        <w:t xml:space="preserve">  Oxytocin is also important in a practice called Active Management of Third Stage Labour (AMTSL).</w:t>
      </w:r>
      <w:r w:rsidRPr="00681690">
        <w:rPr>
          <w:rFonts w:ascii="Times New Roman" w:eastAsia="Batang" w:hAnsi="Times New Roman" w:cs="Times New Roman"/>
          <w:bCs/>
          <w:sz w:val="24"/>
          <w:szCs w:val="24"/>
        </w:rPr>
        <w:t xml:space="preserve"> Since it cannot be predicted with certainty beforehand which woman is going to develop PPH after delivery, all standard guidelines, both internationally (WHO) and in India (GOI) recommend that the practice of AMTSL should be performed universally in all women, i.e., </w:t>
      </w:r>
      <w:r w:rsidRPr="00681690">
        <w:rPr>
          <w:rFonts w:ascii="Times New Roman" w:eastAsia="Batang" w:hAnsi="Times New Roman" w:cs="Times New Roman"/>
          <w:sz w:val="24"/>
          <w:szCs w:val="24"/>
        </w:rPr>
        <w:t>e</w:t>
      </w:r>
      <w:r w:rsidRPr="00681690">
        <w:rPr>
          <w:rFonts w:ascii="Times New Roman" w:eastAsia="Batang" w:hAnsi="Times New Roman" w:cs="Times New Roman"/>
          <w:bCs/>
          <w:sz w:val="24"/>
          <w:szCs w:val="24"/>
        </w:rPr>
        <w:t>very woman should get a shot of Oxytocin immediately after the birth of the baby in order to prevent PPH.</w:t>
      </w:r>
      <w:r w:rsidRPr="00681690">
        <w:rPr>
          <w:rStyle w:val="EndnoteReference"/>
          <w:rFonts w:ascii="Times New Roman" w:eastAsia="Batang" w:hAnsi="Times New Roman" w:cs="Times New Roman"/>
          <w:bCs/>
          <w:sz w:val="24"/>
          <w:szCs w:val="24"/>
        </w:rPr>
        <w:endnoteReference w:id="5"/>
      </w:r>
      <w:r w:rsidRPr="00681690">
        <w:rPr>
          <w:rFonts w:ascii="Times New Roman" w:eastAsia="Batang" w:hAnsi="Times New Roman" w:cs="Times New Roman"/>
          <w:bCs/>
          <w:sz w:val="24"/>
          <w:szCs w:val="24"/>
        </w:rPr>
        <w:t xml:space="preserve"> The guidance note of the Maternal Health Division, Ministry of Health and Family Welfare on prevention and management of Postpartum </w:t>
      </w:r>
      <w:proofErr w:type="spellStart"/>
      <w:r w:rsidRPr="00681690">
        <w:rPr>
          <w:rFonts w:ascii="Times New Roman" w:eastAsia="Batang" w:hAnsi="Times New Roman" w:cs="Times New Roman"/>
          <w:bCs/>
          <w:sz w:val="24"/>
          <w:szCs w:val="24"/>
        </w:rPr>
        <w:t>Haemorrhage</w:t>
      </w:r>
      <w:proofErr w:type="spellEnd"/>
      <w:r w:rsidRPr="00681690">
        <w:rPr>
          <w:rFonts w:ascii="Times New Roman" w:eastAsia="Batang" w:hAnsi="Times New Roman" w:cs="Times New Roman"/>
          <w:bCs/>
          <w:sz w:val="24"/>
          <w:szCs w:val="24"/>
        </w:rPr>
        <w:t xml:space="preserve"> recommends AMTSL for prevention and PPH and states that: “Oxytocin remains the uterotonic of choice for AMTSL. Oxytocin (10 IU, IM) is the preferred uterotonic based on studies on the safety and effectiveness of uterotonics. It also is the recommended uterotonic drug for PPH prevention during caesarean sections.” </w:t>
      </w:r>
    </w:p>
    <w:p w14:paraId="629DDBBF" w14:textId="77777777" w:rsidR="00681690" w:rsidRPr="00681690" w:rsidRDefault="00681690" w:rsidP="00681690">
      <w:pPr>
        <w:spacing w:line="360" w:lineRule="auto"/>
        <w:jc w:val="both"/>
        <w:rPr>
          <w:rFonts w:ascii="Times New Roman" w:eastAsia="Batang" w:hAnsi="Times New Roman" w:cs="Times New Roman"/>
          <w:bCs/>
          <w:sz w:val="24"/>
          <w:szCs w:val="24"/>
        </w:rPr>
      </w:pPr>
      <w:r w:rsidRPr="00681690">
        <w:rPr>
          <w:rFonts w:ascii="Times New Roman" w:eastAsia="Batang" w:hAnsi="Times New Roman" w:cs="Times New Roman"/>
          <w:bCs/>
          <w:sz w:val="24"/>
          <w:szCs w:val="24"/>
        </w:rPr>
        <w:t>(A uterotonic, is an agent used to induce contraction or greater tonicity of the uterus.)</w:t>
      </w:r>
    </w:p>
    <w:p w14:paraId="5D0427EB" w14:textId="77777777" w:rsidR="00681690" w:rsidRPr="00681690" w:rsidRDefault="00681690" w:rsidP="00681690">
      <w:pPr>
        <w:spacing w:line="360" w:lineRule="auto"/>
        <w:jc w:val="both"/>
        <w:rPr>
          <w:rFonts w:ascii="Times New Roman" w:eastAsia="Batang" w:hAnsi="Times New Roman" w:cs="Times New Roman"/>
          <w:sz w:val="24"/>
          <w:szCs w:val="24"/>
        </w:rPr>
      </w:pPr>
      <w:r w:rsidRPr="00681690">
        <w:rPr>
          <w:rFonts w:ascii="Times New Roman" w:eastAsia="Batang" w:hAnsi="Times New Roman" w:cs="Times New Roman"/>
          <w:sz w:val="24"/>
          <w:szCs w:val="24"/>
        </w:rPr>
        <w:t xml:space="preserve">The immediate trigger for the series of orders leading up to the impugned notification was its purported misuse and dangers to the health and well-being of </w:t>
      </w:r>
      <w:proofErr w:type="spellStart"/>
      <w:r w:rsidRPr="00681690">
        <w:rPr>
          <w:rFonts w:ascii="Times New Roman" w:eastAsia="Batang" w:hAnsi="Times New Roman" w:cs="Times New Roman"/>
          <w:sz w:val="24"/>
          <w:szCs w:val="24"/>
        </w:rPr>
        <w:t>milch</w:t>
      </w:r>
      <w:proofErr w:type="spellEnd"/>
      <w:r w:rsidRPr="00681690">
        <w:rPr>
          <w:rFonts w:ascii="Times New Roman" w:eastAsia="Batang" w:hAnsi="Times New Roman" w:cs="Times New Roman"/>
          <w:sz w:val="24"/>
          <w:szCs w:val="24"/>
        </w:rPr>
        <w:t xml:space="preserve"> cattle. Cattle injected with Oxytocin was feared to have Oxytocin residues in the milk produced which was therefore feared to be  harmful to human health. </w:t>
      </w:r>
    </w:p>
    <w:p w14:paraId="037C540B" w14:textId="77777777" w:rsidR="00681690" w:rsidRPr="00681690" w:rsidRDefault="00681690" w:rsidP="00681690">
      <w:pPr>
        <w:pStyle w:val="Default"/>
        <w:spacing w:line="360" w:lineRule="auto"/>
        <w:jc w:val="both"/>
        <w:rPr>
          <w:rFonts w:eastAsia="Batang"/>
          <w:bCs/>
          <w:iCs/>
        </w:rPr>
      </w:pPr>
      <w:r w:rsidRPr="00681690">
        <w:rPr>
          <w:rFonts w:eastAsia="Batang"/>
        </w:rPr>
        <w:t>Petitioner AIDAN cited studies by scientists from the Indian Council of Agricultural Research (ICAR) and National Dairy Research Institute (NDRI), that showed that there was no evidence for this apprehension.</w:t>
      </w:r>
      <w:r w:rsidRPr="00681690">
        <w:rPr>
          <w:rStyle w:val="EndnoteReference"/>
          <w:rFonts w:eastAsia="Batang"/>
          <w:bCs/>
          <w:iCs/>
        </w:rPr>
        <w:endnoteReference w:id="6"/>
      </w:r>
      <w:r w:rsidRPr="00681690">
        <w:rPr>
          <w:rFonts w:eastAsia="Batang"/>
          <w:bCs/>
          <w:iCs/>
        </w:rPr>
        <w:t xml:space="preserve"> </w:t>
      </w:r>
    </w:p>
    <w:p w14:paraId="53B0CC2A" w14:textId="77777777" w:rsidR="00681690" w:rsidRPr="00681690" w:rsidRDefault="00681690" w:rsidP="00681690">
      <w:pPr>
        <w:pStyle w:val="Default"/>
        <w:spacing w:line="360" w:lineRule="auto"/>
        <w:jc w:val="both"/>
        <w:rPr>
          <w:rFonts w:eastAsia="Batang"/>
        </w:rPr>
      </w:pPr>
    </w:p>
    <w:p w14:paraId="40953A81" w14:textId="77777777" w:rsidR="00681690" w:rsidRPr="00681690" w:rsidRDefault="00681690" w:rsidP="00681690">
      <w:pPr>
        <w:spacing w:line="360" w:lineRule="auto"/>
        <w:jc w:val="both"/>
        <w:rPr>
          <w:rFonts w:ascii="Times New Roman" w:eastAsia="Batang" w:hAnsi="Times New Roman" w:cs="Times New Roman"/>
          <w:sz w:val="24"/>
          <w:szCs w:val="24"/>
        </w:rPr>
      </w:pPr>
      <w:r w:rsidRPr="00681690">
        <w:rPr>
          <w:rFonts w:ascii="Times New Roman" w:eastAsia="Batang" w:hAnsi="Times New Roman" w:cs="Times New Roman"/>
          <w:sz w:val="24"/>
          <w:szCs w:val="24"/>
        </w:rPr>
        <w:t xml:space="preserve">The AIDAN petition also argued that Oxytocin, an essential and life-saving medicine, needed for preventing deaths of mothers, during and immediately after delivery, and that was relatively easily available, would become scarce. </w:t>
      </w:r>
      <w:r w:rsidRPr="00681690">
        <w:rPr>
          <w:rFonts w:ascii="Times New Roman" w:eastAsia="Batang" w:hAnsi="Times New Roman" w:cs="Times New Roman"/>
          <w:bCs/>
          <w:sz w:val="24"/>
          <w:szCs w:val="24"/>
        </w:rPr>
        <w:t xml:space="preserve">In a country where more than half of all pregnant women are </w:t>
      </w:r>
      <w:proofErr w:type="spellStart"/>
      <w:r w:rsidRPr="00681690">
        <w:rPr>
          <w:rFonts w:ascii="Times New Roman" w:eastAsia="Batang" w:hAnsi="Times New Roman" w:cs="Times New Roman"/>
          <w:bCs/>
          <w:sz w:val="24"/>
          <w:szCs w:val="24"/>
        </w:rPr>
        <w:t>anaemic</w:t>
      </w:r>
      <w:proofErr w:type="spellEnd"/>
      <w:r w:rsidRPr="00681690">
        <w:rPr>
          <w:rFonts w:ascii="Times New Roman" w:eastAsia="Batang" w:hAnsi="Times New Roman" w:cs="Times New Roman"/>
          <w:bCs/>
          <w:sz w:val="24"/>
          <w:szCs w:val="24"/>
        </w:rPr>
        <w:t xml:space="preserve"> and with several states still unable to assure blood availability at all major delivery points, this would make women even more vulnerable and would lead to many more maternal deaths. </w:t>
      </w:r>
      <w:r w:rsidRPr="00681690">
        <w:rPr>
          <w:rFonts w:ascii="Times New Roman" w:eastAsia="Batang" w:hAnsi="Times New Roman" w:cs="Times New Roman"/>
          <w:sz w:val="24"/>
          <w:szCs w:val="24"/>
        </w:rPr>
        <w:t xml:space="preserve">The order was therefore entirely out of proportion to the alleged harms. Never before any essential drug included in WHO Essential Drug List and in National List of Essential Medicine (NLEM) has been meted such biased, adverse treatment and with such insouciance. </w:t>
      </w:r>
    </w:p>
    <w:p w14:paraId="37F23923" w14:textId="77777777" w:rsidR="00681690" w:rsidRPr="00681690" w:rsidRDefault="00681690" w:rsidP="00681690">
      <w:pPr>
        <w:spacing w:line="360" w:lineRule="auto"/>
        <w:jc w:val="both"/>
        <w:rPr>
          <w:rFonts w:ascii="Times New Roman" w:eastAsia="Batang" w:hAnsi="Times New Roman" w:cs="Times New Roman"/>
          <w:sz w:val="24"/>
          <w:szCs w:val="24"/>
        </w:rPr>
      </w:pPr>
      <w:r w:rsidRPr="00681690">
        <w:rPr>
          <w:rFonts w:ascii="Times New Roman" w:eastAsia="Batang" w:hAnsi="Times New Roman" w:cs="Times New Roman"/>
          <w:sz w:val="24"/>
          <w:szCs w:val="24"/>
        </w:rPr>
        <w:t xml:space="preserve">It is to be noted that the interests of the sole bulk drug producer of Oxytocin in India, </w:t>
      </w:r>
      <w:proofErr w:type="spellStart"/>
      <w:r w:rsidRPr="00681690">
        <w:rPr>
          <w:rFonts w:ascii="Times New Roman" w:eastAsia="Batang" w:hAnsi="Times New Roman" w:cs="Times New Roman"/>
          <w:sz w:val="24"/>
          <w:szCs w:val="24"/>
        </w:rPr>
        <w:t>Hemmo</w:t>
      </w:r>
      <w:proofErr w:type="spellEnd"/>
      <w:r w:rsidRPr="00681690">
        <w:rPr>
          <w:rFonts w:ascii="Times New Roman" w:eastAsia="Batang" w:hAnsi="Times New Roman" w:cs="Times New Roman"/>
          <w:sz w:val="24"/>
          <w:szCs w:val="24"/>
        </w:rPr>
        <w:t xml:space="preserve"> Pharma, were not disturbed who could, even if the impugned notification had gone through, still manufacture for export as could the licensed formulation manufacturers. </w:t>
      </w:r>
      <w:proofErr w:type="spellStart"/>
      <w:r w:rsidRPr="00681690">
        <w:rPr>
          <w:rFonts w:ascii="Times New Roman" w:eastAsia="Batang" w:hAnsi="Times New Roman" w:cs="Times New Roman"/>
          <w:sz w:val="24"/>
          <w:szCs w:val="24"/>
        </w:rPr>
        <w:t>Hemmo</w:t>
      </w:r>
      <w:proofErr w:type="spellEnd"/>
      <w:r w:rsidRPr="00681690">
        <w:rPr>
          <w:rFonts w:ascii="Times New Roman" w:eastAsia="Batang" w:hAnsi="Times New Roman" w:cs="Times New Roman"/>
          <w:sz w:val="24"/>
          <w:szCs w:val="24"/>
        </w:rPr>
        <w:t xml:space="preserve"> Pharma </w:t>
      </w:r>
      <w:r w:rsidRPr="00681690">
        <w:rPr>
          <w:rFonts w:ascii="Times New Roman" w:eastAsia="Batang" w:hAnsi="Times New Roman" w:cs="Times New Roman"/>
          <w:sz w:val="24"/>
          <w:szCs w:val="24"/>
        </w:rPr>
        <w:lastRenderedPageBreak/>
        <w:t>produced annually 22 kg out of which only 2 kg was used for annual domestic production of 6 crore ampoules while the rest 20 kg (equal to 66 crore ampoules) was exported. Therefore as the Hon’ble Court opined, “The arbitrary nature of the impugned prohibition is starkly apparent.” (Para 130 of the final order)</w:t>
      </w:r>
    </w:p>
    <w:p w14:paraId="6286B81F" w14:textId="77777777" w:rsidR="00681690" w:rsidRPr="00681690" w:rsidRDefault="00681690" w:rsidP="00681690">
      <w:pPr>
        <w:spacing w:line="360" w:lineRule="auto"/>
        <w:jc w:val="both"/>
        <w:rPr>
          <w:rFonts w:ascii="Times New Roman" w:eastAsia="Batang" w:hAnsi="Times New Roman" w:cs="Times New Roman"/>
          <w:bCs/>
          <w:sz w:val="24"/>
          <w:szCs w:val="24"/>
          <w:u w:val="single"/>
        </w:rPr>
      </w:pPr>
      <w:r w:rsidRPr="00681690">
        <w:rPr>
          <w:rFonts w:ascii="Times New Roman" w:eastAsia="Batang" w:hAnsi="Times New Roman" w:cs="Times New Roman"/>
          <w:bCs/>
          <w:sz w:val="24"/>
          <w:szCs w:val="24"/>
        </w:rPr>
        <w:t xml:space="preserve">The other petitioners who were manufacturers – BGP Products Operations GMBH (a subsidiary of Mylan) and others – invoked Article 14 (right of equality before law) and Art 19 (1) (g) (right </w:t>
      </w:r>
      <w:r w:rsidRPr="00681690">
        <w:rPr>
          <w:rFonts w:ascii="Times New Roman" w:hAnsi="Times New Roman" w:cs="Times New Roman"/>
          <w:sz w:val="24"/>
          <w:szCs w:val="24"/>
        </w:rPr>
        <w:t xml:space="preserve">to </w:t>
      </w:r>
      <w:proofErr w:type="spellStart"/>
      <w:r w:rsidRPr="00681690">
        <w:rPr>
          <w:rFonts w:ascii="Times New Roman" w:hAnsi="Times New Roman" w:cs="Times New Roman"/>
          <w:sz w:val="24"/>
          <w:szCs w:val="24"/>
        </w:rPr>
        <w:t>practise</w:t>
      </w:r>
      <w:proofErr w:type="spellEnd"/>
      <w:r w:rsidRPr="00681690">
        <w:rPr>
          <w:rFonts w:ascii="Times New Roman" w:hAnsi="Times New Roman" w:cs="Times New Roman"/>
          <w:sz w:val="24"/>
          <w:szCs w:val="24"/>
        </w:rPr>
        <w:t xml:space="preserve"> any profession, or to carry on any occupation, trade or business) </w:t>
      </w:r>
      <w:r w:rsidRPr="00681690">
        <w:rPr>
          <w:rFonts w:ascii="Times New Roman" w:eastAsia="Batang" w:hAnsi="Times New Roman" w:cs="Times New Roman"/>
          <w:bCs/>
          <w:sz w:val="24"/>
          <w:szCs w:val="24"/>
        </w:rPr>
        <w:t xml:space="preserve">of the Constitution of India and submitted the impugned notifications were violative of these provisions, arguments essentially accepted by the Hon’ble Delhi High Court as we shall see. </w:t>
      </w:r>
    </w:p>
    <w:p w14:paraId="6552773E" w14:textId="77777777" w:rsidR="00681690" w:rsidRPr="00681690" w:rsidRDefault="00681690" w:rsidP="00681690">
      <w:pPr>
        <w:spacing w:line="360" w:lineRule="auto"/>
        <w:jc w:val="both"/>
        <w:rPr>
          <w:rFonts w:ascii="Times New Roman" w:hAnsi="Times New Roman" w:cs="Times New Roman"/>
          <w:sz w:val="24"/>
          <w:szCs w:val="24"/>
        </w:rPr>
      </w:pPr>
      <w:r w:rsidRPr="00681690">
        <w:rPr>
          <w:rFonts w:ascii="Times New Roman" w:hAnsi="Times New Roman" w:cs="Times New Roman"/>
          <w:sz w:val="24"/>
          <w:szCs w:val="24"/>
        </w:rPr>
        <w:t xml:space="preserve">The Union of India preferred to fall back upon Article 19(6) of the Constitution of India to justify its reservation of Oxytocin manufacture to the public sector even as it tried to highlight the supposed dangers to cattle and vegetables, and girl children in sex trafficking.   </w:t>
      </w:r>
    </w:p>
    <w:p w14:paraId="27B57AA3" w14:textId="77777777" w:rsidR="00681690" w:rsidRPr="00681690" w:rsidRDefault="00681690" w:rsidP="00681690">
      <w:pPr>
        <w:spacing w:line="360" w:lineRule="auto"/>
        <w:jc w:val="both"/>
        <w:rPr>
          <w:rFonts w:ascii="Times New Roman" w:hAnsi="Times New Roman" w:cs="Times New Roman"/>
          <w:b/>
          <w:sz w:val="24"/>
          <w:szCs w:val="24"/>
        </w:rPr>
      </w:pPr>
      <w:commentRangeStart w:id="4"/>
      <w:commentRangeStart w:id="5"/>
      <w:commentRangeStart w:id="6"/>
      <w:r w:rsidRPr="00681690">
        <w:rPr>
          <w:rFonts w:ascii="Times New Roman" w:hAnsi="Times New Roman" w:cs="Times New Roman"/>
          <w:b/>
          <w:bCs/>
          <w:sz w:val="24"/>
          <w:szCs w:val="24"/>
        </w:rPr>
        <w:t xml:space="preserve"> Influential Animal Rights Lobby Leads to a Bad Decision</w:t>
      </w:r>
      <w:commentRangeEnd w:id="4"/>
      <w:r w:rsidRPr="00681690">
        <w:rPr>
          <w:rStyle w:val="CommentReference"/>
          <w:rFonts w:ascii="Times New Roman" w:hAnsi="Times New Roman" w:cs="Times New Roman"/>
        </w:rPr>
        <w:commentReference w:id="4"/>
      </w:r>
      <w:commentRangeEnd w:id="5"/>
      <w:r w:rsidRPr="00681690">
        <w:rPr>
          <w:rStyle w:val="CommentReference"/>
          <w:rFonts w:ascii="Times New Roman" w:hAnsi="Times New Roman" w:cs="Times New Roman"/>
        </w:rPr>
        <w:commentReference w:id="5"/>
      </w:r>
      <w:commentRangeEnd w:id="6"/>
      <w:r w:rsidRPr="00681690">
        <w:rPr>
          <w:rStyle w:val="CommentReference"/>
          <w:rFonts w:ascii="Times New Roman" w:hAnsi="Times New Roman" w:cs="Times New Roman"/>
        </w:rPr>
        <w:commentReference w:id="6"/>
      </w:r>
    </w:p>
    <w:p w14:paraId="782E9561" w14:textId="77777777" w:rsidR="00681690" w:rsidRPr="00681690" w:rsidRDefault="00681690" w:rsidP="00681690">
      <w:pPr>
        <w:spacing w:line="360" w:lineRule="auto"/>
        <w:jc w:val="both"/>
        <w:rPr>
          <w:rFonts w:ascii="Times New Roman" w:hAnsi="Times New Roman" w:cs="Times New Roman"/>
          <w:sz w:val="24"/>
          <w:szCs w:val="24"/>
        </w:rPr>
      </w:pPr>
      <w:commentRangeStart w:id="7"/>
      <w:commentRangeStart w:id="8"/>
      <w:r w:rsidRPr="00681690">
        <w:rPr>
          <w:rFonts w:ascii="Times New Roman" w:eastAsia="Batang" w:hAnsi="Times New Roman" w:cs="Times New Roman"/>
          <w:bCs/>
          <w:sz w:val="24"/>
          <w:szCs w:val="24"/>
        </w:rPr>
        <w:t xml:space="preserve">The several minutes of the Drug Technical Advisory Board (DTAB) </w:t>
      </w:r>
      <w:r>
        <w:rPr>
          <w:rFonts w:ascii="Times New Roman" w:eastAsia="Batang" w:hAnsi="Times New Roman" w:cs="Times New Roman"/>
          <w:bCs/>
          <w:sz w:val="24"/>
          <w:szCs w:val="24"/>
        </w:rPr>
        <w:t xml:space="preserve">and </w:t>
      </w:r>
      <w:r w:rsidRPr="00681690">
        <w:rPr>
          <w:rFonts w:ascii="Times New Roman" w:eastAsia="Batang" w:hAnsi="Times New Roman" w:cs="Times New Roman"/>
          <w:bCs/>
          <w:sz w:val="24"/>
          <w:szCs w:val="24"/>
        </w:rPr>
        <w:t xml:space="preserve">the Drugs Consultative Committee (DCC) (available at https://cdsco.gov.in/opencms/opencms/en/dcc-dtab-committee)  </w:t>
      </w:r>
      <w:commentRangeEnd w:id="7"/>
      <w:r w:rsidRPr="00681690">
        <w:rPr>
          <w:rStyle w:val="CommentReference"/>
          <w:rFonts w:ascii="Times New Roman" w:hAnsi="Times New Roman" w:cs="Times New Roman"/>
        </w:rPr>
        <w:commentReference w:id="7"/>
      </w:r>
      <w:commentRangeEnd w:id="8"/>
      <w:r w:rsidRPr="00681690">
        <w:rPr>
          <w:rStyle w:val="CommentReference"/>
          <w:rFonts w:ascii="Times New Roman" w:hAnsi="Times New Roman" w:cs="Times New Roman"/>
        </w:rPr>
        <w:commentReference w:id="8"/>
      </w:r>
      <w:r w:rsidRPr="00681690">
        <w:rPr>
          <w:rFonts w:ascii="Times New Roman" w:eastAsia="Batang" w:hAnsi="Times New Roman" w:cs="Times New Roman"/>
          <w:bCs/>
          <w:sz w:val="24"/>
          <w:szCs w:val="24"/>
        </w:rPr>
        <w:t xml:space="preserve">nowhere recommend the ban of private manufacture and sale of Oxytocin nor suggest confining it to PSUs or for that matter a single PSU. Neither could the Union of India produce satisfactory evidence of ‘widespread misuse’ of Oxytocin.  </w:t>
      </w:r>
      <w:r w:rsidRPr="00681690">
        <w:rPr>
          <w:rFonts w:ascii="Times New Roman" w:hAnsi="Times New Roman" w:cs="Times New Roman"/>
          <w:sz w:val="24"/>
          <w:szCs w:val="24"/>
        </w:rPr>
        <w:t>All the statutory body meetings “recommended against the ban of sale of Oxytocin having regard to its beneficial medical effects….”  The 67</w:t>
      </w:r>
      <w:r w:rsidRPr="00681690">
        <w:rPr>
          <w:rFonts w:ascii="Times New Roman" w:hAnsi="Times New Roman" w:cs="Times New Roman"/>
          <w:sz w:val="24"/>
          <w:szCs w:val="24"/>
          <w:vertAlign w:val="superscript"/>
        </w:rPr>
        <w:t>th</w:t>
      </w:r>
      <w:r w:rsidRPr="00681690">
        <w:rPr>
          <w:rFonts w:ascii="Times New Roman" w:hAnsi="Times New Roman" w:cs="Times New Roman"/>
          <w:sz w:val="24"/>
          <w:szCs w:val="24"/>
        </w:rPr>
        <w:t xml:space="preserve"> and 70</w:t>
      </w:r>
      <w:r w:rsidRPr="00681690">
        <w:rPr>
          <w:rFonts w:ascii="Times New Roman" w:hAnsi="Times New Roman" w:cs="Times New Roman"/>
          <w:sz w:val="24"/>
          <w:szCs w:val="24"/>
          <w:vertAlign w:val="superscript"/>
        </w:rPr>
        <w:t>th</w:t>
      </w:r>
      <w:r w:rsidRPr="00681690">
        <w:rPr>
          <w:rFonts w:ascii="Times New Roman" w:hAnsi="Times New Roman" w:cs="Times New Roman"/>
          <w:sz w:val="24"/>
          <w:szCs w:val="24"/>
        </w:rPr>
        <w:t xml:space="preserve"> meetings of the DTAB; the 49</w:t>
      </w:r>
      <w:r w:rsidRPr="00681690">
        <w:rPr>
          <w:rFonts w:ascii="Times New Roman" w:hAnsi="Times New Roman" w:cs="Times New Roman"/>
          <w:sz w:val="24"/>
          <w:szCs w:val="24"/>
          <w:vertAlign w:val="superscript"/>
        </w:rPr>
        <w:t>th</w:t>
      </w:r>
      <w:r w:rsidRPr="00681690">
        <w:rPr>
          <w:rFonts w:ascii="Times New Roman" w:hAnsi="Times New Roman" w:cs="Times New Roman"/>
          <w:sz w:val="24"/>
          <w:szCs w:val="24"/>
        </w:rPr>
        <w:t xml:space="preserve">  and 69</w:t>
      </w:r>
      <w:r w:rsidRPr="00681690">
        <w:rPr>
          <w:rFonts w:ascii="Times New Roman" w:hAnsi="Times New Roman" w:cs="Times New Roman"/>
          <w:sz w:val="24"/>
          <w:szCs w:val="24"/>
          <w:vertAlign w:val="superscript"/>
        </w:rPr>
        <w:t>th</w:t>
      </w:r>
      <w:r w:rsidRPr="00681690">
        <w:rPr>
          <w:rFonts w:ascii="Times New Roman" w:hAnsi="Times New Roman" w:cs="Times New Roman"/>
          <w:sz w:val="24"/>
          <w:szCs w:val="24"/>
        </w:rPr>
        <w:t xml:space="preserve"> meetings “consistently and clearly stated that Oxytocin could not be banned or prohibited as it has a defined use for therapeutic purposes.” (Para 123 (iv) and (v)).</w:t>
      </w:r>
    </w:p>
    <w:p w14:paraId="2E25A619" w14:textId="77777777" w:rsidR="00681690" w:rsidRPr="00681690" w:rsidRDefault="00681690" w:rsidP="00681690">
      <w:pPr>
        <w:pStyle w:val="Default"/>
        <w:spacing w:line="360" w:lineRule="auto"/>
        <w:jc w:val="both"/>
      </w:pPr>
      <w:r w:rsidRPr="00681690">
        <w:t xml:space="preserve">The decision to ask KAPL to be the sole manufacturer of Oxytocin in India was despite  several </w:t>
      </w:r>
      <w:proofErr w:type="spellStart"/>
      <w:r w:rsidRPr="00681690">
        <w:t>notings</w:t>
      </w:r>
      <w:proofErr w:type="spellEnd"/>
      <w:r w:rsidRPr="00681690">
        <w:t xml:space="preserve"> in the Government files requisitioned  by the Delhi High Court to be produced – these </w:t>
      </w:r>
      <w:proofErr w:type="spellStart"/>
      <w:r w:rsidRPr="00681690">
        <w:t>notings</w:t>
      </w:r>
      <w:proofErr w:type="spellEnd"/>
      <w:r w:rsidRPr="00681690">
        <w:t xml:space="preserve"> doubted the capability and viability of KAPL to execute the role of the sole manufacturer of oxytocin formulations.   </w:t>
      </w:r>
    </w:p>
    <w:p w14:paraId="7561CA4C" w14:textId="77777777" w:rsidR="00681690" w:rsidRPr="00681690" w:rsidRDefault="00681690" w:rsidP="00681690">
      <w:pPr>
        <w:pStyle w:val="Default"/>
        <w:spacing w:line="360" w:lineRule="auto"/>
        <w:jc w:val="both"/>
      </w:pPr>
    </w:p>
    <w:p w14:paraId="439AAECF" w14:textId="77777777" w:rsidR="00D45EAD" w:rsidRDefault="00681690" w:rsidP="00D45EAD">
      <w:pPr>
        <w:pStyle w:val="Default"/>
        <w:spacing w:line="360" w:lineRule="auto"/>
        <w:jc w:val="both"/>
      </w:pPr>
      <w:r w:rsidRPr="00681690">
        <w:t xml:space="preserve">Smt. Maneka Gandhi, the Minister for Women and Child Development Ministry of the NDA Government, </w:t>
      </w:r>
      <w:commentRangeStart w:id="9"/>
      <w:commentRangeStart w:id="10"/>
      <w:r w:rsidRPr="00681690">
        <w:t xml:space="preserve">used her political clout in the matter </w:t>
      </w:r>
      <w:commentRangeEnd w:id="9"/>
      <w:r w:rsidRPr="00681690">
        <w:rPr>
          <w:rStyle w:val="CommentReference"/>
          <w:color w:val="auto"/>
        </w:rPr>
        <w:commentReference w:id="9"/>
      </w:r>
      <w:commentRangeEnd w:id="10"/>
      <w:r w:rsidRPr="00681690">
        <w:rPr>
          <w:rStyle w:val="CommentReference"/>
          <w:color w:val="auto"/>
        </w:rPr>
        <w:commentReference w:id="10"/>
      </w:r>
      <w:r w:rsidRPr="00681690">
        <w:t xml:space="preserve">to influence various levels of decision making. On 16.10.2015, the 49th meeting of the DCC was addressed by Smt. Maneka Gandhi highlighting the negative consequences of misuse of oxytocin for </w:t>
      </w:r>
      <w:proofErr w:type="spellStart"/>
      <w:r w:rsidRPr="00681690">
        <w:t>milch</w:t>
      </w:r>
      <w:proofErr w:type="spellEnd"/>
      <w:r w:rsidRPr="00681690">
        <w:t xml:space="preserve"> cattle</w:t>
      </w:r>
      <w:r w:rsidR="00D45EAD">
        <w:t>.</w:t>
      </w:r>
    </w:p>
    <w:p w14:paraId="203115F1" w14:textId="77777777" w:rsidR="00D45EAD" w:rsidRDefault="00D45EAD" w:rsidP="00D45EAD">
      <w:pPr>
        <w:pStyle w:val="Default"/>
        <w:spacing w:line="360" w:lineRule="auto"/>
        <w:jc w:val="both"/>
      </w:pPr>
    </w:p>
    <w:p w14:paraId="162370C1" w14:textId="77777777" w:rsidR="00681690" w:rsidRPr="00681690" w:rsidRDefault="00681690" w:rsidP="00D45EAD">
      <w:pPr>
        <w:pStyle w:val="Default"/>
        <w:spacing w:line="360" w:lineRule="auto"/>
        <w:jc w:val="both"/>
      </w:pPr>
      <w:r w:rsidRPr="00681690">
        <w:t xml:space="preserve">The minutes of the 78th meeting of the DTAB held on February 12, 2018 recommended sale of Oxytocin to hospitals in the public and private sector but not total ban on private manufacture.  By February 28, 2018 the decision to ban was taken and a public notice of the Government’s intentions was issued. (In fact a High Level Group meeting of 8th February 2018 had already taken the decision to ban private manufacture of Oxytocin once production of Oxytocin ampoules by KAPL was in full swing. (Para 123 (xxiii)) </w:t>
      </w:r>
    </w:p>
    <w:p w14:paraId="68A96A69" w14:textId="77777777" w:rsidR="00681690" w:rsidRPr="00681690" w:rsidRDefault="00681690" w:rsidP="00681690">
      <w:pPr>
        <w:pStyle w:val="Default"/>
        <w:spacing w:line="360" w:lineRule="auto"/>
        <w:jc w:val="both"/>
      </w:pPr>
    </w:p>
    <w:p w14:paraId="4664373B" w14:textId="77777777" w:rsidR="00681690" w:rsidRPr="00681690" w:rsidRDefault="00681690" w:rsidP="00681690">
      <w:pPr>
        <w:pStyle w:val="Default"/>
        <w:spacing w:line="360" w:lineRule="auto"/>
        <w:jc w:val="both"/>
      </w:pPr>
      <w:r w:rsidRPr="00681690">
        <w:t xml:space="preserve">This shows if anything the decision to ban was taken in spite of research evidence and expert opinion to the contrary. Also, it is ironical that in the run up to the ban, the Minister whose primary remit was, and is, Women and Child Development, did not show as much concern for deaths of women in childbirth as it did for cattle and vegetables.  A sense of balance   in a Union Minister would have been desirable.   </w:t>
      </w:r>
    </w:p>
    <w:p w14:paraId="0DA79A4B" w14:textId="77777777" w:rsidR="00681690" w:rsidRPr="00681690" w:rsidRDefault="00681690" w:rsidP="00681690">
      <w:pPr>
        <w:spacing w:line="360" w:lineRule="auto"/>
        <w:jc w:val="both"/>
        <w:rPr>
          <w:rFonts w:ascii="Times New Roman" w:hAnsi="Times New Roman" w:cs="Times New Roman"/>
          <w:sz w:val="24"/>
          <w:szCs w:val="24"/>
        </w:rPr>
      </w:pPr>
      <w:r w:rsidRPr="00681690">
        <w:rPr>
          <w:rFonts w:ascii="Times New Roman" w:hAnsi="Times New Roman" w:cs="Times New Roman"/>
          <w:sz w:val="24"/>
          <w:szCs w:val="24"/>
        </w:rPr>
        <w:t xml:space="preserve"> </w:t>
      </w:r>
    </w:p>
    <w:p w14:paraId="71D6EA23" w14:textId="77777777" w:rsidR="00681690" w:rsidRPr="00681690" w:rsidRDefault="00681690" w:rsidP="00681690">
      <w:pPr>
        <w:spacing w:line="360" w:lineRule="auto"/>
        <w:jc w:val="both"/>
        <w:rPr>
          <w:rFonts w:ascii="Times New Roman" w:hAnsi="Times New Roman" w:cs="Times New Roman"/>
          <w:b/>
          <w:iCs/>
          <w:sz w:val="24"/>
          <w:szCs w:val="24"/>
        </w:rPr>
      </w:pPr>
      <w:commentRangeStart w:id="11"/>
      <w:commentRangeStart w:id="12"/>
      <w:r w:rsidRPr="00681690">
        <w:rPr>
          <w:rFonts w:ascii="Times New Roman" w:hAnsi="Times New Roman" w:cs="Times New Roman"/>
          <w:b/>
          <w:iCs/>
          <w:sz w:val="24"/>
          <w:szCs w:val="24"/>
        </w:rPr>
        <w:t>Himacha</w:t>
      </w:r>
      <w:r w:rsidR="00D45EAD">
        <w:rPr>
          <w:rFonts w:ascii="Times New Roman" w:hAnsi="Times New Roman" w:cs="Times New Roman"/>
          <w:b/>
          <w:iCs/>
          <w:sz w:val="24"/>
          <w:szCs w:val="24"/>
        </w:rPr>
        <w:t xml:space="preserve">l </w:t>
      </w:r>
      <w:r w:rsidRPr="00681690">
        <w:rPr>
          <w:rFonts w:ascii="Times New Roman" w:hAnsi="Times New Roman" w:cs="Times New Roman"/>
          <w:b/>
          <w:iCs/>
          <w:sz w:val="24"/>
          <w:szCs w:val="24"/>
        </w:rPr>
        <w:t xml:space="preserve">Pradesh (HP)  </w:t>
      </w:r>
      <w:commentRangeEnd w:id="11"/>
      <w:r w:rsidRPr="00681690">
        <w:rPr>
          <w:rStyle w:val="CommentReference"/>
          <w:rFonts w:ascii="Times New Roman" w:hAnsi="Times New Roman" w:cs="Times New Roman"/>
        </w:rPr>
        <w:commentReference w:id="11"/>
      </w:r>
      <w:r w:rsidRPr="00681690">
        <w:rPr>
          <w:rFonts w:ascii="Times New Roman" w:hAnsi="Times New Roman" w:cs="Times New Roman"/>
          <w:b/>
          <w:iCs/>
          <w:sz w:val="24"/>
          <w:szCs w:val="24"/>
        </w:rPr>
        <w:t>High Court Judgment: The “Tipping Point”</w:t>
      </w:r>
      <w:commentRangeEnd w:id="12"/>
      <w:r w:rsidRPr="00681690">
        <w:rPr>
          <w:rStyle w:val="CommentReference"/>
          <w:rFonts w:ascii="Times New Roman" w:hAnsi="Times New Roman" w:cs="Times New Roman"/>
        </w:rPr>
        <w:commentReference w:id="12"/>
      </w:r>
    </w:p>
    <w:p w14:paraId="5CE13813" w14:textId="77777777" w:rsidR="00681690" w:rsidRPr="00681690" w:rsidRDefault="00681690" w:rsidP="00681690">
      <w:pPr>
        <w:spacing w:line="360" w:lineRule="auto"/>
        <w:jc w:val="both"/>
        <w:rPr>
          <w:rFonts w:ascii="Times New Roman" w:hAnsi="Times New Roman" w:cs="Times New Roman"/>
          <w:iCs/>
          <w:sz w:val="24"/>
          <w:szCs w:val="24"/>
        </w:rPr>
      </w:pPr>
      <w:r w:rsidRPr="00681690">
        <w:rPr>
          <w:rFonts w:ascii="Times New Roman" w:hAnsi="Times New Roman" w:cs="Times New Roman"/>
          <w:iCs/>
          <w:sz w:val="24"/>
          <w:szCs w:val="24"/>
        </w:rPr>
        <w:t>The judgment of the HP High Court dated 15.03.2016 [CWP (PWL), No 16 of 2014] – Court on its own motion v. State of Himachal Pradesh] proved to be “</w:t>
      </w:r>
      <w:r w:rsidRPr="00681690">
        <w:rPr>
          <w:rFonts w:ascii="Times New Roman" w:hAnsi="Times New Roman" w:cs="Times New Roman"/>
          <w:i/>
          <w:iCs/>
          <w:sz w:val="24"/>
          <w:szCs w:val="24"/>
        </w:rPr>
        <w:t>the tipping point</w:t>
      </w:r>
      <w:r w:rsidR="00D45EAD">
        <w:rPr>
          <w:rFonts w:ascii="Times New Roman" w:hAnsi="Times New Roman" w:cs="Times New Roman"/>
          <w:i/>
          <w:iCs/>
          <w:sz w:val="24"/>
          <w:szCs w:val="24"/>
        </w:rPr>
        <w:t xml:space="preserve">.” </w:t>
      </w:r>
      <w:r w:rsidRPr="00681690">
        <w:rPr>
          <w:rFonts w:ascii="Times New Roman" w:hAnsi="Times New Roman" w:cs="Times New Roman"/>
          <w:iCs/>
          <w:sz w:val="24"/>
          <w:szCs w:val="24"/>
        </w:rPr>
        <w:t xml:space="preserve">(Para 109, </w:t>
      </w:r>
      <w:proofErr w:type="spellStart"/>
      <w:r w:rsidRPr="00681690">
        <w:rPr>
          <w:rFonts w:ascii="Times New Roman" w:hAnsi="Times New Roman" w:cs="Times New Roman"/>
          <w:iCs/>
          <w:sz w:val="24"/>
          <w:szCs w:val="24"/>
        </w:rPr>
        <w:t>itals</w:t>
      </w:r>
      <w:proofErr w:type="spellEnd"/>
      <w:r w:rsidRPr="00681690">
        <w:rPr>
          <w:rFonts w:ascii="Times New Roman" w:hAnsi="Times New Roman" w:cs="Times New Roman"/>
          <w:iCs/>
          <w:sz w:val="24"/>
          <w:szCs w:val="24"/>
        </w:rPr>
        <w:t xml:space="preserve"> in original) </w:t>
      </w:r>
    </w:p>
    <w:p w14:paraId="47311861" w14:textId="77777777" w:rsidR="00681690" w:rsidRPr="00681690" w:rsidRDefault="00681690" w:rsidP="00681690">
      <w:pPr>
        <w:spacing w:line="360" w:lineRule="auto"/>
        <w:jc w:val="both"/>
        <w:rPr>
          <w:rFonts w:ascii="Times New Roman" w:hAnsi="Times New Roman" w:cs="Times New Roman"/>
          <w:iCs/>
          <w:sz w:val="24"/>
          <w:szCs w:val="24"/>
        </w:rPr>
      </w:pPr>
      <w:r w:rsidRPr="00681690">
        <w:rPr>
          <w:rFonts w:ascii="Times New Roman" w:hAnsi="Times New Roman" w:cs="Times New Roman"/>
          <w:iCs/>
          <w:sz w:val="24"/>
          <w:szCs w:val="24"/>
        </w:rPr>
        <w:t xml:space="preserve">The judgment was a result of the HP High Court </w:t>
      </w:r>
      <w:commentRangeStart w:id="13"/>
      <w:commentRangeStart w:id="14"/>
      <w:r w:rsidRPr="00681690">
        <w:rPr>
          <w:rFonts w:ascii="Times New Roman" w:hAnsi="Times New Roman" w:cs="Times New Roman"/>
          <w:iCs/>
          <w:sz w:val="24"/>
          <w:szCs w:val="24"/>
        </w:rPr>
        <w:t xml:space="preserve">taking </w:t>
      </w:r>
      <w:proofErr w:type="spellStart"/>
      <w:r w:rsidRPr="00681690">
        <w:rPr>
          <w:rFonts w:ascii="Times New Roman" w:hAnsi="Times New Roman" w:cs="Times New Roman"/>
          <w:iCs/>
          <w:sz w:val="24"/>
          <w:szCs w:val="24"/>
        </w:rPr>
        <w:t>suo</w:t>
      </w:r>
      <w:proofErr w:type="spellEnd"/>
      <w:r w:rsidRPr="00681690">
        <w:rPr>
          <w:rFonts w:ascii="Times New Roman" w:hAnsi="Times New Roman" w:cs="Times New Roman"/>
          <w:iCs/>
          <w:sz w:val="24"/>
          <w:szCs w:val="24"/>
        </w:rPr>
        <w:t xml:space="preserve"> moto cognisance </w:t>
      </w:r>
      <w:commentRangeEnd w:id="13"/>
      <w:r w:rsidRPr="00681690">
        <w:rPr>
          <w:rStyle w:val="CommentReference"/>
          <w:rFonts w:ascii="Times New Roman" w:hAnsi="Times New Roman" w:cs="Times New Roman"/>
        </w:rPr>
        <w:commentReference w:id="13"/>
      </w:r>
      <w:commentRangeEnd w:id="14"/>
      <w:r w:rsidRPr="00681690">
        <w:rPr>
          <w:rStyle w:val="CommentReference"/>
          <w:rFonts w:ascii="Times New Roman" w:hAnsi="Times New Roman" w:cs="Times New Roman"/>
        </w:rPr>
        <w:commentReference w:id="14"/>
      </w:r>
      <w:r w:rsidRPr="00681690">
        <w:rPr>
          <w:rFonts w:ascii="Times New Roman" w:hAnsi="Times New Roman" w:cs="Times New Roman"/>
          <w:iCs/>
          <w:sz w:val="24"/>
          <w:szCs w:val="24"/>
        </w:rPr>
        <w:t xml:space="preserve">of a report of Oxytocin misuse in animals in the Hindi newspaper </w:t>
      </w:r>
      <w:r w:rsidRPr="00681690">
        <w:rPr>
          <w:rFonts w:ascii="Times New Roman" w:hAnsi="Times New Roman" w:cs="Times New Roman"/>
          <w:i/>
          <w:iCs/>
          <w:sz w:val="24"/>
          <w:szCs w:val="24"/>
        </w:rPr>
        <w:t xml:space="preserve">Amar </w:t>
      </w:r>
      <w:proofErr w:type="spellStart"/>
      <w:r w:rsidRPr="00681690">
        <w:rPr>
          <w:rFonts w:ascii="Times New Roman" w:hAnsi="Times New Roman" w:cs="Times New Roman"/>
          <w:i/>
          <w:iCs/>
          <w:sz w:val="24"/>
          <w:szCs w:val="24"/>
        </w:rPr>
        <w:t>Ujala</w:t>
      </w:r>
      <w:proofErr w:type="spellEnd"/>
      <w:r w:rsidRPr="00681690">
        <w:rPr>
          <w:rFonts w:ascii="Times New Roman" w:hAnsi="Times New Roman" w:cs="Times New Roman"/>
          <w:iCs/>
          <w:sz w:val="24"/>
          <w:szCs w:val="24"/>
        </w:rPr>
        <w:t xml:space="preserve"> dated Nov 9, 2014. </w:t>
      </w:r>
      <w:r w:rsidR="00D45EAD">
        <w:rPr>
          <w:rFonts w:ascii="Times New Roman" w:hAnsi="Times New Roman" w:cs="Times New Roman"/>
          <w:iCs/>
          <w:sz w:val="24"/>
          <w:szCs w:val="24"/>
        </w:rPr>
        <w:t xml:space="preserve"> </w:t>
      </w:r>
      <w:r w:rsidRPr="00681690">
        <w:rPr>
          <w:rFonts w:ascii="Times New Roman" w:hAnsi="Times New Roman" w:cs="Times New Roman"/>
          <w:iCs/>
          <w:sz w:val="24"/>
          <w:szCs w:val="24"/>
        </w:rPr>
        <w:t xml:space="preserve">The crucial part is the direction issued in Para 21 (ix) of the HP High Court judgment wherein it directed “to consider the feasibility of restricting the manufacture of Oxytocin only in public sector companies and also restricting and limiting the manufacture of Oxytocin by companies to whom licenses have already been granted,” a suggestion made by the amicus curiae and one that was conveniently interpreted as a mandate for confining Oxytocin manufacture to public sector. </w:t>
      </w:r>
    </w:p>
    <w:p w14:paraId="41811528" w14:textId="77777777" w:rsidR="00681690" w:rsidRPr="00681690" w:rsidRDefault="00681690" w:rsidP="00681690">
      <w:pPr>
        <w:spacing w:line="360" w:lineRule="auto"/>
        <w:jc w:val="both"/>
        <w:rPr>
          <w:rFonts w:ascii="Times New Roman" w:hAnsi="Times New Roman" w:cs="Times New Roman"/>
          <w:iCs/>
          <w:sz w:val="24"/>
          <w:szCs w:val="24"/>
        </w:rPr>
      </w:pPr>
      <w:r w:rsidRPr="00681690">
        <w:rPr>
          <w:rFonts w:ascii="Times New Roman" w:hAnsi="Times New Roman" w:cs="Times New Roman"/>
          <w:iCs/>
          <w:sz w:val="24"/>
          <w:szCs w:val="24"/>
        </w:rPr>
        <w:t xml:space="preserve">The HP bench in issuing directions “did not consider the therapeutic uses of Oxytocin in human beings and its critical role in pregnant women, particularly at the post- partum stage to stem </w:t>
      </w:r>
      <w:proofErr w:type="spellStart"/>
      <w:r w:rsidRPr="00681690">
        <w:rPr>
          <w:rFonts w:ascii="Times New Roman" w:hAnsi="Times New Roman" w:cs="Times New Roman"/>
          <w:iCs/>
          <w:sz w:val="24"/>
          <w:szCs w:val="24"/>
        </w:rPr>
        <w:t>haemorrhage</w:t>
      </w:r>
      <w:proofErr w:type="spellEnd"/>
      <w:r w:rsidRPr="00681690">
        <w:rPr>
          <w:rFonts w:ascii="Times New Roman" w:hAnsi="Times New Roman" w:cs="Times New Roman"/>
          <w:iCs/>
          <w:sz w:val="24"/>
          <w:szCs w:val="24"/>
        </w:rPr>
        <w:t xml:space="preserve">.” [Para 123 (xvi)] </w:t>
      </w:r>
    </w:p>
    <w:p w14:paraId="10158A28" w14:textId="77777777" w:rsidR="00681690" w:rsidRPr="00681690" w:rsidRDefault="00681690" w:rsidP="00681690">
      <w:pPr>
        <w:spacing w:line="360" w:lineRule="auto"/>
        <w:jc w:val="both"/>
        <w:rPr>
          <w:rFonts w:ascii="Times New Roman" w:hAnsi="Times New Roman" w:cs="Times New Roman"/>
          <w:iCs/>
          <w:sz w:val="24"/>
          <w:szCs w:val="24"/>
        </w:rPr>
      </w:pPr>
      <w:r w:rsidRPr="00681690">
        <w:rPr>
          <w:rFonts w:ascii="Times New Roman" w:hAnsi="Times New Roman" w:cs="Times New Roman"/>
          <w:iCs/>
          <w:sz w:val="24"/>
          <w:szCs w:val="24"/>
        </w:rPr>
        <w:t xml:space="preserve">Instead the HP High Court chose to focus on the alleged misuse and harmful impacts of Oxytocin on </w:t>
      </w:r>
      <w:proofErr w:type="spellStart"/>
      <w:r w:rsidRPr="00681690">
        <w:rPr>
          <w:rFonts w:ascii="Times New Roman" w:hAnsi="Times New Roman" w:cs="Times New Roman"/>
          <w:iCs/>
          <w:sz w:val="24"/>
          <w:szCs w:val="24"/>
        </w:rPr>
        <w:t>milch</w:t>
      </w:r>
      <w:proofErr w:type="spellEnd"/>
      <w:r w:rsidRPr="00681690">
        <w:rPr>
          <w:rFonts w:ascii="Times New Roman" w:hAnsi="Times New Roman" w:cs="Times New Roman"/>
          <w:iCs/>
          <w:sz w:val="24"/>
          <w:szCs w:val="24"/>
        </w:rPr>
        <w:t xml:space="preserve"> cattle, milk and vegetables.  </w:t>
      </w:r>
    </w:p>
    <w:p w14:paraId="2561E637" w14:textId="77777777" w:rsidR="00681690" w:rsidRPr="00681690" w:rsidRDefault="00681690" w:rsidP="00681690">
      <w:pPr>
        <w:spacing w:line="360" w:lineRule="auto"/>
        <w:jc w:val="center"/>
        <w:rPr>
          <w:rFonts w:ascii="Times New Roman" w:hAnsi="Times New Roman" w:cs="Times New Roman"/>
          <w:b/>
          <w:sz w:val="24"/>
          <w:szCs w:val="24"/>
        </w:rPr>
      </w:pPr>
      <w:r w:rsidRPr="00681690">
        <w:rPr>
          <w:rFonts w:ascii="Times New Roman" w:hAnsi="Times New Roman" w:cs="Times New Roman"/>
          <w:b/>
          <w:sz w:val="24"/>
          <w:szCs w:val="24"/>
        </w:rPr>
        <w:lastRenderedPageBreak/>
        <w:t xml:space="preserve">2. </w:t>
      </w:r>
      <w:commentRangeStart w:id="15"/>
      <w:commentRangeStart w:id="16"/>
      <w:r w:rsidRPr="00681690">
        <w:rPr>
          <w:rFonts w:ascii="Times New Roman" w:hAnsi="Times New Roman" w:cs="Times New Roman"/>
          <w:b/>
          <w:sz w:val="24"/>
          <w:szCs w:val="24"/>
        </w:rPr>
        <w:t xml:space="preserve">Legal Issues </w:t>
      </w:r>
      <w:commentRangeEnd w:id="15"/>
      <w:r w:rsidRPr="00681690">
        <w:rPr>
          <w:rStyle w:val="CommentReference"/>
          <w:rFonts w:ascii="Times New Roman" w:hAnsi="Times New Roman" w:cs="Times New Roman"/>
        </w:rPr>
        <w:commentReference w:id="15"/>
      </w:r>
      <w:commentRangeEnd w:id="16"/>
      <w:r w:rsidRPr="00681690">
        <w:rPr>
          <w:rStyle w:val="CommentReference"/>
          <w:rFonts w:ascii="Times New Roman" w:hAnsi="Times New Roman" w:cs="Times New Roman"/>
        </w:rPr>
        <w:commentReference w:id="16"/>
      </w:r>
      <w:r w:rsidRPr="00681690">
        <w:rPr>
          <w:rFonts w:ascii="Times New Roman" w:hAnsi="Times New Roman" w:cs="Times New Roman"/>
          <w:b/>
          <w:sz w:val="24"/>
          <w:szCs w:val="24"/>
        </w:rPr>
        <w:t>in the Delhi HC Final Order</w:t>
      </w:r>
    </w:p>
    <w:p w14:paraId="37C9A2F9" w14:textId="77777777" w:rsidR="00681690" w:rsidRPr="00681690" w:rsidRDefault="00681690" w:rsidP="00681690">
      <w:pPr>
        <w:spacing w:line="360" w:lineRule="auto"/>
        <w:jc w:val="both"/>
        <w:rPr>
          <w:rFonts w:ascii="Times New Roman" w:hAnsi="Times New Roman" w:cs="Times New Roman"/>
          <w:sz w:val="24"/>
          <w:szCs w:val="24"/>
        </w:rPr>
      </w:pPr>
      <w:r w:rsidRPr="00681690">
        <w:rPr>
          <w:rFonts w:ascii="Times New Roman" w:hAnsi="Times New Roman" w:cs="Times New Roman"/>
          <w:sz w:val="24"/>
          <w:szCs w:val="24"/>
        </w:rPr>
        <w:t xml:space="preserve">Considering the various issues narrated above, the bench of Justices Bhat and Chawla decided in its wisdom the following questions worthy for determination in the batch of writ petitions challenging the Oxytocin ban and related restrictions: </w:t>
      </w:r>
    </w:p>
    <w:p w14:paraId="4D7DFFE0" w14:textId="77777777" w:rsidR="00681690" w:rsidRPr="00681690" w:rsidRDefault="00681690" w:rsidP="00681690">
      <w:pPr>
        <w:spacing w:line="360" w:lineRule="auto"/>
        <w:jc w:val="both"/>
        <w:rPr>
          <w:rFonts w:ascii="Times New Roman" w:hAnsi="Times New Roman" w:cs="Times New Roman"/>
          <w:sz w:val="24"/>
          <w:szCs w:val="24"/>
        </w:rPr>
      </w:pPr>
      <w:r w:rsidRPr="00681690">
        <w:rPr>
          <w:rFonts w:ascii="Times New Roman" w:hAnsi="Times New Roman" w:cs="Times New Roman"/>
          <w:sz w:val="24"/>
          <w:szCs w:val="24"/>
        </w:rPr>
        <w:t>1. Does the impugned notification, namely, GSR 411(E) dated 27.04.2018</w:t>
      </w:r>
      <w:r w:rsidRPr="00681690">
        <w:rPr>
          <w:rStyle w:val="EndnoteReference"/>
          <w:rFonts w:ascii="Times New Roman" w:hAnsi="Times New Roman" w:cs="Times New Roman"/>
          <w:sz w:val="24"/>
          <w:szCs w:val="24"/>
        </w:rPr>
        <w:endnoteReference w:id="7"/>
      </w:r>
      <w:r w:rsidRPr="00681690">
        <w:rPr>
          <w:rFonts w:ascii="Times New Roman" w:hAnsi="Times New Roman" w:cs="Times New Roman"/>
          <w:sz w:val="24"/>
          <w:szCs w:val="24"/>
        </w:rPr>
        <w:t xml:space="preserve">, fall within the scope of Article 19(6) of the Constitution of India? </w:t>
      </w:r>
    </w:p>
    <w:p w14:paraId="75CE10E9" w14:textId="77777777" w:rsidR="00681690" w:rsidRPr="00681690" w:rsidRDefault="00681690" w:rsidP="00681690">
      <w:pPr>
        <w:spacing w:line="360" w:lineRule="auto"/>
        <w:jc w:val="both"/>
        <w:rPr>
          <w:rFonts w:ascii="Times New Roman" w:hAnsi="Times New Roman" w:cs="Times New Roman"/>
          <w:sz w:val="24"/>
          <w:szCs w:val="24"/>
        </w:rPr>
      </w:pPr>
      <w:r w:rsidRPr="00681690">
        <w:rPr>
          <w:rFonts w:ascii="Times New Roman" w:hAnsi="Times New Roman" w:cs="Times New Roman"/>
          <w:sz w:val="24"/>
          <w:szCs w:val="24"/>
        </w:rPr>
        <w:t xml:space="preserve">2. Is the impugned notification </w:t>
      </w:r>
      <w:r w:rsidRPr="00681690">
        <w:rPr>
          <w:rFonts w:ascii="Times New Roman" w:hAnsi="Times New Roman" w:cs="Times New Roman"/>
          <w:i/>
          <w:iCs/>
          <w:sz w:val="24"/>
          <w:szCs w:val="24"/>
        </w:rPr>
        <w:t xml:space="preserve">ultra vires </w:t>
      </w:r>
      <w:r w:rsidRPr="00681690">
        <w:rPr>
          <w:rFonts w:ascii="Times New Roman" w:hAnsi="Times New Roman" w:cs="Times New Roman"/>
          <w:iCs/>
          <w:sz w:val="24"/>
          <w:szCs w:val="24"/>
        </w:rPr>
        <w:t xml:space="preserve">the </w:t>
      </w:r>
      <w:r w:rsidRPr="00681690">
        <w:rPr>
          <w:rFonts w:ascii="Times New Roman" w:hAnsi="Times New Roman" w:cs="Times New Roman"/>
          <w:sz w:val="24"/>
          <w:szCs w:val="24"/>
        </w:rPr>
        <w:t xml:space="preserve">provisions of the Drugs (and Cosmetics) Act? </w:t>
      </w:r>
      <w:r w:rsidRPr="00681690">
        <w:rPr>
          <w:rFonts w:ascii="Times New Roman" w:hAnsi="Times New Roman" w:cs="Times New Roman"/>
          <w:i/>
          <w:iCs/>
          <w:sz w:val="24"/>
          <w:szCs w:val="24"/>
        </w:rPr>
        <w:t xml:space="preserve"> </w:t>
      </w:r>
    </w:p>
    <w:p w14:paraId="7D6BA0FE" w14:textId="77777777" w:rsidR="00681690" w:rsidRPr="00681690" w:rsidRDefault="00681690" w:rsidP="00681690">
      <w:pPr>
        <w:spacing w:line="360" w:lineRule="auto"/>
        <w:jc w:val="both"/>
        <w:rPr>
          <w:rFonts w:ascii="Times New Roman" w:hAnsi="Times New Roman" w:cs="Times New Roman"/>
          <w:sz w:val="24"/>
          <w:szCs w:val="24"/>
        </w:rPr>
      </w:pPr>
      <w:r w:rsidRPr="00681690">
        <w:rPr>
          <w:rFonts w:ascii="Times New Roman" w:hAnsi="Times New Roman" w:cs="Times New Roman"/>
          <w:sz w:val="24"/>
          <w:szCs w:val="24"/>
        </w:rPr>
        <w:t>3. Whether the impugned notification is arbitrary and therefore, unsustainable?</w:t>
      </w:r>
    </w:p>
    <w:p w14:paraId="250C3546" w14:textId="77777777" w:rsidR="00681690" w:rsidRPr="00681690" w:rsidRDefault="00681690" w:rsidP="00681690">
      <w:pPr>
        <w:spacing w:line="360" w:lineRule="auto"/>
        <w:jc w:val="both"/>
        <w:rPr>
          <w:rFonts w:ascii="Times New Roman" w:hAnsi="Times New Roman" w:cs="Times New Roman"/>
          <w:sz w:val="24"/>
          <w:szCs w:val="24"/>
        </w:rPr>
      </w:pPr>
      <w:r w:rsidRPr="00681690">
        <w:rPr>
          <w:rFonts w:ascii="Times New Roman" w:hAnsi="Times New Roman" w:cs="Times New Roman"/>
          <w:b/>
          <w:sz w:val="24"/>
          <w:szCs w:val="24"/>
        </w:rPr>
        <w:t>Impugned Notification and Scope of Article 19(6) of the Constitution of India</w:t>
      </w:r>
      <w:r w:rsidRPr="00681690">
        <w:rPr>
          <w:rFonts w:ascii="Times New Roman" w:hAnsi="Times New Roman" w:cs="Times New Roman"/>
          <w:sz w:val="24"/>
          <w:szCs w:val="24"/>
        </w:rPr>
        <w:t xml:space="preserve"> </w:t>
      </w:r>
    </w:p>
    <w:p w14:paraId="606481CA" w14:textId="77777777" w:rsidR="00681690" w:rsidRPr="00681690" w:rsidRDefault="00681690" w:rsidP="00681690">
      <w:pPr>
        <w:autoSpaceDE w:val="0"/>
        <w:autoSpaceDN w:val="0"/>
        <w:adjustRightInd w:val="0"/>
        <w:spacing w:after="0" w:line="360" w:lineRule="auto"/>
        <w:jc w:val="both"/>
        <w:rPr>
          <w:rFonts w:ascii="Times New Roman" w:hAnsi="Times New Roman" w:cs="Times New Roman"/>
          <w:sz w:val="24"/>
          <w:szCs w:val="24"/>
        </w:rPr>
      </w:pPr>
      <w:r w:rsidRPr="00681690">
        <w:rPr>
          <w:rFonts w:ascii="Times New Roman" w:hAnsi="Times New Roman" w:cs="Times New Roman"/>
          <w:sz w:val="24"/>
          <w:szCs w:val="24"/>
        </w:rPr>
        <w:t>Art 19 outlines six freedoms. And specifically Art 19 (1) (g)</w:t>
      </w:r>
      <w:r w:rsidRPr="00681690">
        <w:rPr>
          <w:rStyle w:val="EndnoteReference"/>
          <w:rFonts w:ascii="Times New Roman" w:hAnsi="Times New Roman" w:cs="Times New Roman"/>
          <w:sz w:val="24"/>
          <w:szCs w:val="24"/>
        </w:rPr>
        <w:endnoteReference w:id="8"/>
      </w:r>
      <w:r w:rsidRPr="00681690">
        <w:rPr>
          <w:rFonts w:ascii="Times New Roman" w:hAnsi="Times New Roman" w:cs="Times New Roman"/>
          <w:sz w:val="24"/>
          <w:szCs w:val="24"/>
        </w:rPr>
        <w:t xml:space="preserve"> asserts the right to trade/any profession/business. The proposed ban would have shut down domestic Oxytocin production and sales of all licensed private sector manufacturers.   And with it the right enshrined in Art 19 (1) (g) would have been infringed. An exception is however made through Art 19 (6) (ii) which asserts the right of the State to reserve, in public interest, certain products/business/trade for the public sector as part of ‘reasonable restrictions’ on the right to trade, etc.  Art 19 (6) (ii) basically </w:t>
      </w:r>
      <w:proofErr w:type="spellStart"/>
      <w:r w:rsidRPr="00681690">
        <w:rPr>
          <w:rFonts w:ascii="Times New Roman" w:hAnsi="Times New Roman" w:cs="Times New Roman"/>
          <w:sz w:val="24"/>
          <w:szCs w:val="24"/>
        </w:rPr>
        <w:t>legitimises</w:t>
      </w:r>
      <w:proofErr w:type="spellEnd"/>
      <w:r w:rsidRPr="00681690">
        <w:rPr>
          <w:rFonts w:ascii="Times New Roman" w:hAnsi="Times New Roman" w:cs="Times New Roman"/>
          <w:sz w:val="24"/>
          <w:szCs w:val="24"/>
        </w:rPr>
        <w:t xml:space="preserve"> State Monopoly and seemingly  puts its beyond judicial review.  Government counsel cited several related cases in support of the restrictions/ban on the manufacture/sale of Oxytocin which de facto led to State monopoly over manufacture and sale of Oxytocin formulations. While the judgment interrogates the logic and relevance of these cases cited by the Government and its appropriateness to the argument, it does not question in anyway the right of the Government to create such a monopoly.  The judgment also appears to quote in approval  certain case laws</w:t>
      </w:r>
      <w:r w:rsidRPr="00681690">
        <w:rPr>
          <w:rStyle w:val="EndnoteReference"/>
          <w:rFonts w:ascii="Times New Roman" w:hAnsi="Times New Roman" w:cs="Times New Roman"/>
          <w:sz w:val="24"/>
          <w:szCs w:val="24"/>
        </w:rPr>
        <w:endnoteReference w:id="9"/>
      </w:r>
      <w:r w:rsidRPr="00681690">
        <w:rPr>
          <w:rFonts w:ascii="Times New Roman" w:hAnsi="Times New Roman" w:cs="Times New Roman"/>
          <w:sz w:val="24"/>
          <w:szCs w:val="24"/>
        </w:rPr>
        <w:t xml:space="preserve"> that argue that public interest is to be assumed, unless the contrary is shown, if the action of the State results in monopoly. </w:t>
      </w:r>
    </w:p>
    <w:p w14:paraId="0AD4078A" w14:textId="77777777" w:rsidR="00681690" w:rsidRPr="00681690" w:rsidRDefault="00681690" w:rsidP="00681690">
      <w:pPr>
        <w:autoSpaceDE w:val="0"/>
        <w:autoSpaceDN w:val="0"/>
        <w:adjustRightInd w:val="0"/>
        <w:spacing w:after="0" w:line="360" w:lineRule="auto"/>
        <w:jc w:val="both"/>
        <w:rPr>
          <w:rFonts w:ascii="Times New Roman" w:hAnsi="Times New Roman" w:cs="Times New Roman"/>
          <w:sz w:val="24"/>
          <w:szCs w:val="24"/>
        </w:rPr>
      </w:pPr>
    </w:p>
    <w:p w14:paraId="0331F4DB" w14:textId="77777777" w:rsidR="00681690" w:rsidRPr="00681690" w:rsidRDefault="00D45EAD" w:rsidP="0068169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81690" w:rsidRPr="00681690">
        <w:rPr>
          <w:rFonts w:ascii="Times New Roman" w:hAnsi="Times New Roman" w:cs="Times New Roman"/>
          <w:sz w:val="24"/>
          <w:szCs w:val="24"/>
        </w:rPr>
        <w:t>The impugned notification cites Section 26 A of the Drugs and Cosmetics Act</w:t>
      </w:r>
      <w:r w:rsidR="00681690" w:rsidRPr="00681690">
        <w:rPr>
          <w:rStyle w:val="EndnoteReference"/>
          <w:rFonts w:ascii="Times New Roman" w:hAnsi="Times New Roman" w:cs="Times New Roman"/>
          <w:sz w:val="24"/>
          <w:szCs w:val="24"/>
        </w:rPr>
        <w:endnoteReference w:id="10"/>
      </w:r>
      <w:r w:rsidR="00681690" w:rsidRPr="00681690">
        <w:rPr>
          <w:rFonts w:ascii="Times New Roman" w:hAnsi="Times New Roman" w:cs="Times New Roman"/>
          <w:sz w:val="24"/>
          <w:szCs w:val="24"/>
        </w:rPr>
        <w:t xml:space="preserve"> to promulgate the prohibition of private manufacture. However as the judgment points out after detailed examination, "no provision in the enactment (Drugs and Cosmetics Act) </w:t>
      </w:r>
      <w:r w:rsidR="00681690" w:rsidRPr="00681690">
        <w:rPr>
          <w:rFonts w:ascii="Times New Roman" w:hAnsi="Times New Roman" w:cs="Times New Roman"/>
          <w:i/>
          <w:iCs/>
          <w:sz w:val="24"/>
          <w:szCs w:val="24"/>
        </w:rPr>
        <w:t xml:space="preserve">per se </w:t>
      </w:r>
      <w:r w:rsidR="00681690" w:rsidRPr="00681690">
        <w:rPr>
          <w:rFonts w:ascii="Times New Roman" w:hAnsi="Times New Roman" w:cs="Times New Roman"/>
          <w:sz w:val="24"/>
          <w:szCs w:val="24"/>
        </w:rPr>
        <w:t>authorizes the taking over of the drug business or an entire line of business for monopoly production by one licensee – even if it were a State monopoly.”  (Para 79)</w:t>
      </w:r>
    </w:p>
    <w:p w14:paraId="2E8B201F" w14:textId="77777777" w:rsidR="00681690" w:rsidRPr="00681690" w:rsidRDefault="00681690" w:rsidP="00681690">
      <w:pPr>
        <w:autoSpaceDE w:val="0"/>
        <w:autoSpaceDN w:val="0"/>
        <w:adjustRightInd w:val="0"/>
        <w:spacing w:after="0" w:line="360" w:lineRule="auto"/>
        <w:jc w:val="both"/>
        <w:rPr>
          <w:rFonts w:ascii="Times New Roman" w:hAnsi="Times New Roman" w:cs="Times New Roman"/>
          <w:sz w:val="24"/>
          <w:szCs w:val="24"/>
        </w:rPr>
      </w:pPr>
    </w:p>
    <w:p w14:paraId="2A5BFF56" w14:textId="77777777" w:rsidR="00681690" w:rsidRPr="00681690" w:rsidRDefault="00681690" w:rsidP="00681690">
      <w:pPr>
        <w:autoSpaceDE w:val="0"/>
        <w:autoSpaceDN w:val="0"/>
        <w:adjustRightInd w:val="0"/>
        <w:spacing w:after="0" w:line="360" w:lineRule="auto"/>
        <w:jc w:val="both"/>
        <w:rPr>
          <w:rFonts w:ascii="Times New Roman" w:hAnsi="Times New Roman" w:cs="Times New Roman"/>
          <w:sz w:val="24"/>
          <w:szCs w:val="24"/>
        </w:rPr>
      </w:pPr>
      <w:r w:rsidRPr="00681690">
        <w:rPr>
          <w:rFonts w:ascii="Times New Roman" w:hAnsi="Times New Roman" w:cs="Times New Roman"/>
          <w:sz w:val="24"/>
          <w:szCs w:val="24"/>
        </w:rPr>
        <w:t xml:space="preserve">And further: </w:t>
      </w:r>
    </w:p>
    <w:p w14:paraId="265F47F5" w14:textId="77777777" w:rsidR="00681690" w:rsidRPr="00681690" w:rsidRDefault="00681690" w:rsidP="00681690">
      <w:pPr>
        <w:autoSpaceDE w:val="0"/>
        <w:autoSpaceDN w:val="0"/>
        <w:adjustRightInd w:val="0"/>
        <w:spacing w:after="0" w:line="360" w:lineRule="auto"/>
        <w:ind w:left="720"/>
        <w:jc w:val="both"/>
        <w:rPr>
          <w:rFonts w:ascii="Times New Roman" w:hAnsi="Times New Roman" w:cs="Times New Roman"/>
          <w:sz w:val="24"/>
          <w:szCs w:val="24"/>
        </w:rPr>
      </w:pPr>
      <w:r w:rsidRPr="00681690">
        <w:rPr>
          <w:rFonts w:ascii="Times New Roman" w:hAnsi="Times New Roman" w:cs="Times New Roman"/>
          <w:sz w:val="24"/>
          <w:szCs w:val="24"/>
        </w:rPr>
        <w:lastRenderedPageBreak/>
        <w:t>“…. Any provision or law which does not enable the creation of a monopoly either directly or authorize the creation of State monopoly, therefore, does not fall within the productive ambit of Article 19(6)(ii). In the present case, this Court is of the opinion that Section 26A does not and cannot be considered by any standard or interpretation as a law that creates State monopolies or enables the creation of State monopolies. Consequently, the Union’s arguments on this score are unsustainable and have to fail.”</w:t>
      </w:r>
    </w:p>
    <w:p w14:paraId="305840F2" w14:textId="77777777" w:rsidR="00681690" w:rsidRPr="00681690" w:rsidRDefault="00681690" w:rsidP="00681690">
      <w:pPr>
        <w:autoSpaceDE w:val="0"/>
        <w:autoSpaceDN w:val="0"/>
        <w:adjustRightInd w:val="0"/>
        <w:spacing w:after="0" w:line="360" w:lineRule="auto"/>
        <w:ind w:left="720"/>
        <w:jc w:val="both"/>
        <w:rPr>
          <w:rFonts w:ascii="Times New Roman" w:hAnsi="Times New Roman" w:cs="Times New Roman"/>
          <w:sz w:val="24"/>
          <w:szCs w:val="24"/>
        </w:rPr>
      </w:pPr>
      <w:r w:rsidRPr="00681690">
        <w:rPr>
          <w:rFonts w:ascii="Times New Roman" w:hAnsi="Times New Roman" w:cs="Times New Roman"/>
          <w:sz w:val="24"/>
          <w:szCs w:val="24"/>
        </w:rPr>
        <w:t xml:space="preserve"> (Para 82 of the order)</w:t>
      </w:r>
    </w:p>
    <w:p w14:paraId="44C04D92" w14:textId="77777777" w:rsidR="00681690" w:rsidRPr="00681690" w:rsidRDefault="00681690" w:rsidP="00681690">
      <w:pPr>
        <w:autoSpaceDE w:val="0"/>
        <w:autoSpaceDN w:val="0"/>
        <w:adjustRightInd w:val="0"/>
        <w:spacing w:after="0" w:line="360" w:lineRule="auto"/>
        <w:jc w:val="both"/>
        <w:rPr>
          <w:rFonts w:ascii="Times New Roman" w:hAnsi="Times New Roman" w:cs="Times New Roman"/>
          <w:sz w:val="24"/>
          <w:szCs w:val="24"/>
        </w:rPr>
      </w:pPr>
    </w:p>
    <w:p w14:paraId="206CA2B9" w14:textId="77777777" w:rsidR="00681690" w:rsidRPr="00681690" w:rsidRDefault="00681690" w:rsidP="00681690">
      <w:pPr>
        <w:autoSpaceDE w:val="0"/>
        <w:autoSpaceDN w:val="0"/>
        <w:adjustRightInd w:val="0"/>
        <w:spacing w:after="0" w:line="360" w:lineRule="auto"/>
        <w:jc w:val="both"/>
        <w:rPr>
          <w:rFonts w:ascii="Times New Roman" w:hAnsi="Times New Roman" w:cs="Times New Roman"/>
          <w:sz w:val="24"/>
          <w:szCs w:val="24"/>
        </w:rPr>
      </w:pPr>
      <w:r w:rsidRPr="00681690">
        <w:rPr>
          <w:rFonts w:ascii="Times New Roman" w:hAnsi="Times New Roman" w:cs="Times New Roman"/>
          <w:sz w:val="24"/>
          <w:szCs w:val="24"/>
        </w:rPr>
        <w:t>So the instant case the State cannot – per the order – claim immunity under Art 19 (6).</w:t>
      </w:r>
    </w:p>
    <w:p w14:paraId="02AB4E08" w14:textId="77777777" w:rsidR="00681690" w:rsidRPr="00681690" w:rsidRDefault="00681690" w:rsidP="00681690">
      <w:pPr>
        <w:autoSpaceDE w:val="0"/>
        <w:autoSpaceDN w:val="0"/>
        <w:adjustRightInd w:val="0"/>
        <w:spacing w:after="0" w:line="360" w:lineRule="auto"/>
        <w:jc w:val="both"/>
        <w:rPr>
          <w:rFonts w:ascii="Times New Roman" w:hAnsi="Times New Roman" w:cs="Times New Roman"/>
          <w:sz w:val="24"/>
          <w:szCs w:val="24"/>
        </w:rPr>
      </w:pPr>
      <w:r w:rsidRPr="00681690">
        <w:rPr>
          <w:rFonts w:ascii="Times New Roman" w:hAnsi="Times New Roman" w:cs="Times New Roman"/>
          <w:sz w:val="24"/>
          <w:szCs w:val="24"/>
        </w:rPr>
        <w:t xml:space="preserve"> </w:t>
      </w:r>
    </w:p>
    <w:p w14:paraId="00DD2C94" w14:textId="77777777" w:rsidR="00681690" w:rsidRPr="00681690" w:rsidRDefault="00681690" w:rsidP="00681690">
      <w:pPr>
        <w:spacing w:line="360" w:lineRule="auto"/>
        <w:jc w:val="both"/>
        <w:rPr>
          <w:rFonts w:ascii="Times New Roman" w:hAnsi="Times New Roman" w:cs="Times New Roman"/>
          <w:b/>
          <w:iCs/>
          <w:sz w:val="24"/>
          <w:szCs w:val="24"/>
        </w:rPr>
      </w:pPr>
      <w:r w:rsidRPr="00681690">
        <w:rPr>
          <w:rFonts w:ascii="Times New Roman" w:hAnsi="Times New Roman" w:cs="Times New Roman"/>
          <w:b/>
          <w:iCs/>
          <w:sz w:val="24"/>
          <w:szCs w:val="24"/>
        </w:rPr>
        <w:t>A Fine Distinction</w:t>
      </w:r>
    </w:p>
    <w:p w14:paraId="4003C890" w14:textId="77777777" w:rsidR="00681690" w:rsidRPr="00681690" w:rsidRDefault="00681690" w:rsidP="00681690">
      <w:pPr>
        <w:spacing w:line="360" w:lineRule="auto"/>
        <w:jc w:val="both"/>
        <w:rPr>
          <w:rFonts w:ascii="Times New Roman" w:hAnsi="Times New Roman" w:cs="Times New Roman"/>
          <w:sz w:val="24"/>
          <w:szCs w:val="24"/>
        </w:rPr>
      </w:pPr>
      <w:r w:rsidRPr="00681690">
        <w:rPr>
          <w:rFonts w:ascii="Times New Roman" w:hAnsi="Times New Roman" w:cs="Times New Roman"/>
          <w:iCs/>
          <w:sz w:val="24"/>
          <w:szCs w:val="24"/>
        </w:rPr>
        <w:t xml:space="preserve">But here is a fine, if confusing, distinction that the judgment seeks to make. What if we ask the question:  is the ban order per se beyond the powers (ultra vires) of Section 26A of the Drugs and Cosmetics Act? Their Lordships after an extensive discussion (see Paras 83 to 90) on the implied meanings of decisions that are regulatory, restrictive and prohibitive, conclude </w:t>
      </w:r>
      <w:r w:rsidRPr="00681690">
        <w:rPr>
          <w:rFonts w:ascii="Times New Roman" w:hAnsi="Times New Roman" w:cs="Times New Roman"/>
          <w:sz w:val="24"/>
          <w:szCs w:val="24"/>
        </w:rPr>
        <w:t xml:space="preserve">that “in a given, or suitable case, the power to “restrict” or “prohibit” can be used by the Central Government, under Section 26A to </w:t>
      </w:r>
      <w:r w:rsidRPr="00681690">
        <w:rPr>
          <w:rFonts w:ascii="Times New Roman" w:hAnsi="Times New Roman" w:cs="Times New Roman"/>
          <w:i/>
          <w:iCs/>
          <w:sz w:val="24"/>
          <w:szCs w:val="24"/>
        </w:rPr>
        <w:t xml:space="preserve">partially ban </w:t>
      </w:r>
      <w:r w:rsidRPr="00681690">
        <w:rPr>
          <w:rFonts w:ascii="Times New Roman" w:hAnsi="Times New Roman" w:cs="Times New Roman"/>
          <w:sz w:val="24"/>
          <w:szCs w:val="24"/>
        </w:rPr>
        <w:t xml:space="preserve">the manufacture of a drug, i.e. prohibit its production by private manufacturers, and reserve it, so to speak for the public sector. The measure - i.e. the impugned notification cannot therefore, be said to be </w:t>
      </w:r>
      <w:r w:rsidRPr="00681690">
        <w:rPr>
          <w:rFonts w:ascii="Times New Roman" w:hAnsi="Times New Roman" w:cs="Times New Roman"/>
          <w:i/>
          <w:iCs/>
          <w:sz w:val="24"/>
          <w:szCs w:val="24"/>
        </w:rPr>
        <w:t xml:space="preserve">ultra vires </w:t>
      </w:r>
      <w:r w:rsidRPr="00681690">
        <w:rPr>
          <w:rFonts w:ascii="Times New Roman" w:hAnsi="Times New Roman" w:cs="Times New Roman"/>
          <w:sz w:val="24"/>
          <w:szCs w:val="24"/>
        </w:rPr>
        <w:t>the power under the statute.” (</w:t>
      </w:r>
      <w:proofErr w:type="spellStart"/>
      <w:r w:rsidRPr="00681690">
        <w:rPr>
          <w:rFonts w:ascii="Times New Roman" w:hAnsi="Times New Roman" w:cs="Times New Roman"/>
          <w:sz w:val="24"/>
          <w:szCs w:val="24"/>
        </w:rPr>
        <w:t>itals</w:t>
      </w:r>
      <w:proofErr w:type="spellEnd"/>
      <w:r w:rsidRPr="00681690">
        <w:rPr>
          <w:rFonts w:ascii="Times New Roman" w:hAnsi="Times New Roman" w:cs="Times New Roman"/>
          <w:sz w:val="24"/>
          <w:szCs w:val="24"/>
        </w:rPr>
        <w:t xml:space="preserve"> in original)</w:t>
      </w:r>
    </w:p>
    <w:p w14:paraId="6C321FE2" w14:textId="77777777" w:rsidR="00681690" w:rsidRPr="00681690" w:rsidRDefault="00681690" w:rsidP="00681690">
      <w:pPr>
        <w:spacing w:line="360" w:lineRule="auto"/>
        <w:jc w:val="both"/>
        <w:rPr>
          <w:rFonts w:ascii="Times New Roman" w:hAnsi="Times New Roman" w:cs="Times New Roman"/>
          <w:sz w:val="24"/>
          <w:szCs w:val="24"/>
        </w:rPr>
      </w:pPr>
      <w:r w:rsidRPr="00681690">
        <w:rPr>
          <w:rFonts w:ascii="Times New Roman" w:hAnsi="Times New Roman" w:cs="Times New Roman"/>
          <w:sz w:val="24"/>
          <w:szCs w:val="24"/>
        </w:rPr>
        <w:t xml:space="preserve">But again we have not completely examined Section 26 A.  Section 26 A talks of prohibiting (that is banning), restricting or regulating a drug only if it has unacceptable safety (risk to human beings or animals), or efficacy (does not have the therapeutic value claimed/purported to be claimed), or the content of the drug has no therapeutic justification. And it needs to use relevant material in determining so, and such actions have to be in public interest.  </w:t>
      </w:r>
    </w:p>
    <w:p w14:paraId="59FE1D8E" w14:textId="77777777" w:rsidR="00681690" w:rsidRPr="00681690" w:rsidRDefault="00681690" w:rsidP="00681690">
      <w:pPr>
        <w:spacing w:line="360" w:lineRule="auto"/>
        <w:jc w:val="both"/>
        <w:rPr>
          <w:rFonts w:ascii="Times New Roman" w:hAnsi="Times New Roman" w:cs="Times New Roman"/>
          <w:sz w:val="24"/>
          <w:szCs w:val="24"/>
        </w:rPr>
      </w:pPr>
      <w:r w:rsidRPr="00681690">
        <w:rPr>
          <w:rFonts w:ascii="Times New Roman" w:hAnsi="Times New Roman" w:cs="Times New Roman"/>
          <w:sz w:val="24"/>
          <w:szCs w:val="24"/>
        </w:rPr>
        <w:t xml:space="preserve">From relevant material examined by the Court (see Paras 100-102) including several minutes of DTAB/DCI, and after noting that it is part of the NLEM and the WHO Essential Medicine List, as also WHO recommendations </w:t>
      </w:r>
      <w:r w:rsidRPr="00681690">
        <w:rPr>
          <w:rFonts w:ascii="Times New Roman" w:hAnsi="Times New Roman" w:cs="Times New Roman"/>
          <w:iCs/>
          <w:sz w:val="24"/>
          <w:szCs w:val="24"/>
        </w:rPr>
        <w:t xml:space="preserve">for prevention and treatment of postpartum </w:t>
      </w:r>
      <w:proofErr w:type="spellStart"/>
      <w:r w:rsidRPr="00681690">
        <w:rPr>
          <w:rFonts w:ascii="Times New Roman" w:hAnsi="Times New Roman" w:cs="Times New Roman"/>
          <w:iCs/>
          <w:sz w:val="24"/>
          <w:szCs w:val="24"/>
        </w:rPr>
        <w:t>haemorrhage</w:t>
      </w:r>
      <w:proofErr w:type="spellEnd"/>
      <w:r w:rsidRPr="00681690">
        <w:rPr>
          <w:rFonts w:ascii="Times New Roman" w:hAnsi="Times New Roman" w:cs="Times New Roman"/>
          <w:iCs/>
          <w:sz w:val="24"/>
          <w:szCs w:val="24"/>
        </w:rPr>
        <w:t>,</w:t>
      </w:r>
      <w:r w:rsidRPr="00681690">
        <w:rPr>
          <w:rStyle w:val="EndnoteReference"/>
          <w:rFonts w:ascii="Times New Roman" w:hAnsi="Times New Roman" w:cs="Times New Roman"/>
          <w:iCs/>
          <w:sz w:val="24"/>
          <w:szCs w:val="24"/>
        </w:rPr>
        <w:endnoteReference w:id="11"/>
      </w:r>
      <w:r w:rsidRPr="00681690">
        <w:rPr>
          <w:rFonts w:ascii="Times New Roman" w:hAnsi="Times New Roman" w:cs="Times New Roman"/>
          <w:iCs/>
          <w:sz w:val="24"/>
          <w:szCs w:val="24"/>
        </w:rPr>
        <w:t xml:space="preserve"> and after taking into account Oxytocin’s vital role on saving lives of pregnant women in PPH, the Hon’ble Court </w:t>
      </w:r>
      <w:r w:rsidRPr="00681690">
        <w:rPr>
          <w:rFonts w:ascii="Times New Roman" w:hAnsi="Times New Roman" w:cs="Times New Roman"/>
          <w:sz w:val="24"/>
          <w:szCs w:val="24"/>
        </w:rPr>
        <w:t xml:space="preserve"> observed:  </w:t>
      </w:r>
    </w:p>
    <w:p w14:paraId="04C0C58E" w14:textId="77777777" w:rsidR="00681690" w:rsidRPr="00681690" w:rsidRDefault="00681690" w:rsidP="00681690">
      <w:pPr>
        <w:spacing w:line="360" w:lineRule="auto"/>
        <w:jc w:val="both"/>
        <w:rPr>
          <w:rFonts w:ascii="Times New Roman" w:hAnsi="Times New Roman" w:cs="Times New Roman"/>
          <w:sz w:val="24"/>
          <w:szCs w:val="24"/>
        </w:rPr>
      </w:pPr>
      <w:r w:rsidRPr="00681690">
        <w:rPr>
          <w:rFonts w:ascii="Times New Roman" w:hAnsi="Times New Roman" w:cs="Times New Roman"/>
          <w:sz w:val="24"/>
          <w:szCs w:val="24"/>
        </w:rPr>
        <w:t xml:space="preserve">“… it is apparent, that the materials on record, as well as the materials produced in the form of official files, do not point to any known or established risk to human or animal life, on account of Oxytocin use. On the other hand, its use for medicinal and therapeutic purposes is known and recognized …. As to the beneficial use – even necessity of Oxytocin, the (maternal mortality) figures, in a sense speak for themselves …... The Central Government stated, in Parliament, that the largest cause of maternal deaths is </w:t>
      </w:r>
      <w:proofErr w:type="spellStart"/>
      <w:r w:rsidRPr="00681690">
        <w:rPr>
          <w:rFonts w:ascii="Times New Roman" w:hAnsi="Times New Roman" w:cs="Times New Roman"/>
          <w:sz w:val="24"/>
          <w:szCs w:val="24"/>
        </w:rPr>
        <w:t>haemorrhaging</w:t>
      </w:r>
      <w:proofErr w:type="spellEnd"/>
      <w:r w:rsidRPr="00681690">
        <w:rPr>
          <w:rFonts w:ascii="Times New Roman" w:hAnsi="Times New Roman" w:cs="Times New Roman"/>
          <w:sz w:val="24"/>
          <w:szCs w:val="24"/>
        </w:rPr>
        <w:t xml:space="preserve"> which accounts for 38% of all maternal deaths. According to UN data, India is estimated to account for 15% of the total global maternal deaths. It would be a fair, or reasonable assumption that ease of access to Oxytocin was one of the reasons for the significant decline in maternal deaths due to </w:t>
      </w:r>
      <w:proofErr w:type="spellStart"/>
      <w:r w:rsidRPr="00681690">
        <w:rPr>
          <w:rFonts w:ascii="Times New Roman" w:hAnsi="Times New Roman" w:cs="Times New Roman"/>
          <w:sz w:val="24"/>
          <w:szCs w:val="24"/>
        </w:rPr>
        <w:t>haemorrhaging</w:t>
      </w:r>
      <w:proofErr w:type="spellEnd"/>
      <w:r w:rsidRPr="00681690">
        <w:rPr>
          <w:rFonts w:ascii="Times New Roman" w:hAnsi="Times New Roman" w:cs="Times New Roman"/>
          <w:sz w:val="24"/>
          <w:szCs w:val="24"/>
        </w:rPr>
        <w:t>.” (Paras 103-105)</w:t>
      </w:r>
    </w:p>
    <w:p w14:paraId="72677A73" w14:textId="77777777" w:rsidR="00681690" w:rsidRPr="00681690" w:rsidRDefault="00681690" w:rsidP="00681690">
      <w:pPr>
        <w:spacing w:line="360" w:lineRule="auto"/>
        <w:jc w:val="both"/>
        <w:rPr>
          <w:rFonts w:ascii="Times New Roman" w:hAnsi="Times New Roman" w:cs="Times New Roman"/>
          <w:b/>
          <w:iCs/>
          <w:sz w:val="24"/>
          <w:szCs w:val="24"/>
        </w:rPr>
      </w:pPr>
      <w:r w:rsidRPr="00681690">
        <w:rPr>
          <w:rFonts w:ascii="Times New Roman" w:hAnsi="Times New Roman" w:cs="Times New Roman"/>
          <w:iCs/>
          <w:sz w:val="24"/>
          <w:szCs w:val="24"/>
        </w:rPr>
        <w:t xml:space="preserve">The impugned notification therefore cannot be seen to be valid in the light of the provisions of Section 26 A and powers exercisable thereof.  </w:t>
      </w:r>
    </w:p>
    <w:p w14:paraId="06D191E1" w14:textId="77777777" w:rsidR="00681690" w:rsidRPr="00681690" w:rsidRDefault="00681690" w:rsidP="00681690">
      <w:pPr>
        <w:spacing w:line="360" w:lineRule="auto"/>
        <w:jc w:val="both"/>
        <w:rPr>
          <w:rFonts w:ascii="Times New Roman" w:hAnsi="Times New Roman" w:cs="Times New Roman"/>
          <w:b/>
          <w:sz w:val="24"/>
          <w:szCs w:val="24"/>
        </w:rPr>
      </w:pPr>
      <w:r w:rsidRPr="00681690">
        <w:rPr>
          <w:rFonts w:ascii="Times New Roman" w:hAnsi="Times New Roman" w:cs="Times New Roman"/>
          <w:b/>
          <w:sz w:val="24"/>
          <w:szCs w:val="24"/>
        </w:rPr>
        <w:t>Shoddy Data</w:t>
      </w:r>
    </w:p>
    <w:p w14:paraId="30D62135" w14:textId="77777777" w:rsidR="00681690" w:rsidRPr="00681690" w:rsidRDefault="00681690" w:rsidP="00681690">
      <w:pPr>
        <w:spacing w:line="360" w:lineRule="auto"/>
        <w:jc w:val="both"/>
        <w:rPr>
          <w:rFonts w:ascii="Times New Roman" w:hAnsi="Times New Roman" w:cs="Times New Roman"/>
          <w:sz w:val="24"/>
          <w:szCs w:val="24"/>
        </w:rPr>
      </w:pPr>
      <w:r w:rsidRPr="00681690">
        <w:rPr>
          <w:rFonts w:ascii="Times New Roman" w:hAnsi="Times New Roman" w:cs="Times New Roman"/>
          <w:sz w:val="24"/>
          <w:szCs w:val="24"/>
        </w:rPr>
        <w:t>Their Lordships also noted that none of the data produced by the Government in the Court warranted a conclusion by the Central Government that Oxytocin was misused in such a manner that necessitated a ban on domestic manufacture and sale by the private sector (Paras 106-108).</w:t>
      </w:r>
      <w:r w:rsidRPr="00681690">
        <w:rPr>
          <w:rStyle w:val="EndnoteReference"/>
          <w:rFonts w:ascii="Times New Roman" w:hAnsi="Times New Roman" w:cs="Times New Roman"/>
          <w:sz w:val="24"/>
          <w:szCs w:val="24"/>
        </w:rPr>
        <w:endnoteReference w:id="12"/>
      </w:r>
      <w:r w:rsidRPr="00681690">
        <w:rPr>
          <w:rFonts w:ascii="Times New Roman" w:hAnsi="Times New Roman" w:cs="Times New Roman"/>
          <w:sz w:val="24"/>
          <w:szCs w:val="24"/>
        </w:rPr>
        <w:t xml:space="preserve"> </w:t>
      </w:r>
    </w:p>
    <w:p w14:paraId="21C4B823" w14:textId="77777777" w:rsidR="00681690" w:rsidRPr="00681690" w:rsidRDefault="00681690" w:rsidP="00681690">
      <w:pPr>
        <w:spacing w:line="360" w:lineRule="auto"/>
        <w:jc w:val="both"/>
        <w:rPr>
          <w:rFonts w:ascii="Times New Roman" w:hAnsi="Times New Roman" w:cs="Times New Roman"/>
          <w:sz w:val="24"/>
          <w:szCs w:val="24"/>
        </w:rPr>
      </w:pPr>
      <w:r w:rsidRPr="00681690">
        <w:rPr>
          <w:rFonts w:ascii="Times New Roman" w:hAnsi="Times New Roman" w:cs="Times New Roman"/>
          <w:sz w:val="24"/>
          <w:szCs w:val="24"/>
        </w:rPr>
        <w:t>If anything, in this writer’s opinion, the data submitted to the Court was skimpy, shoddy and non-sequitur and bespoke of a half-hearted attempt, probably a consequence of rational and conscientious officials (at least a majority of them) forced to defend, on political imprimatur, the indefensible.  The Court’s opinion (see Paras 124-127) of the indifferent quality of the data presented by the Union of India is exemplified with observations like:</w:t>
      </w:r>
    </w:p>
    <w:p w14:paraId="12D8CDF1" w14:textId="77777777" w:rsidR="00681690" w:rsidRPr="00681690" w:rsidRDefault="00681690" w:rsidP="00681690">
      <w:pPr>
        <w:spacing w:line="360" w:lineRule="auto"/>
        <w:ind w:left="720"/>
        <w:jc w:val="both"/>
        <w:rPr>
          <w:rFonts w:ascii="Times New Roman" w:hAnsi="Times New Roman" w:cs="Times New Roman"/>
          <w:sz w:val="24"/>
          <w:szCs w:val="24"/>
        </w:rPr>
      </w:pPr>
      <w:r w:rsidRPr="00681690">
        <w:rPr>
          <w:rFonts w:ascii="Times New Roman" w:hAnsi="Times New Roman" w:cs="Times New Roman"/>
          <w:sz w:val="24"/>
          <w:szCs w:val="24"/>
        </w:rPr>
        <w:t xml:space="preserve">124. The action banning licensed manufacturers must be premised on data showing that licensed manufactures are misusing their </w:t>
      </w:r>
      <w:proofErr w:type="spellStart"/>
      <w:r w:rsidRPr="00681690">
        <w:rPr>
          <w:rFonts w:ascii="Times New Roman" w:hAnsi="Times New Roman" w:cs="Times New Roman"/>
          <w:sz w:val="24"/>
          <w:szCs w:val="24"/>
        </w:rPr>
        <w:t>licences</w:t>
      </w:r>
      <w:proofErr w:type="spellEnd"/>
      <w:r w:rsidRPr="00681690">
        <w:rPr>
          <w:rFonts w:ascii="Times New Roman" w:hAnsi="Times New Roman" w:cs="Times New Roman"/>
          <w:sz w:val="24"/>
          <w:szCs w:val="24"/>
        </w:rPr>
        <w:t xml:space="preserve"> and engaging in illegal import, manufacture, distribution or sale of the drug. </w:t>
      </w:r>
      <w:r w:rsidRPr="00681690">
        <w:rPr>
          <w:rFonts w:ascii="Times New Roman" w:hAnsi="Times New Roman" w:cs="Times New Roman"/>
          <w:sz w:val="24"/>
          <w:szCs w:val="24"/>
          <w:u w:val="single"/>
        </w:rPr>
        <w:t>In the entire counter affidavit there is not a single instance established, of such misuse by any licensed manufacturer</w:t>
      </w:r>
      <w:r w:rsidRPr="00681690">
        <w:rPr>
          <w:rFonts w:ascii="Times New Roman" w:hAnsi="Times New Roman" w:cs="Times New Roman"/>
          <w:sz w:val="24"/>
          <w:szCs w:val="24"/>
        </w:rPr>
        <w:t>…  These facts do not show that the action of a complete prohibition for domestic manufacture of Oxytocin, an essential drug, by indigenous valid license holding manufacturers, was called for….</w:t>
      </w:r>
    </w:p>
    <w:p w14:paraId="22614502" w14:textId="77777777" w:rsidR="00681690" w:rsidRPr="00681690" w:rsidRDefault="00681690" w:rsidP="00681690">
      <w:pPr>
        <w:spacing w:line="360" w:lineRule="auto"/>
        <w:ind w:left="720"/>
        <w:jc w:val="both"/>
        <w:rPr>
          <w:rFonts w:ascii="Times New Roman" w:hAnsi="Times New Roman" w:cs="Times New Roman"/>
          <w:sz w:val="24"/>
          <w:szCs w:val="24"/>
        </w:rPr>
      </w:pPr>
      <w:r w:rsidRPr="00681690">
        <w:rPr>
          <w:rFonts w:ascii="Times New Roman" w:hAnsi="Times New Roman" w:cs="Times New Roman"/>
          <w:sz w:val="24"/>
          <w:szCs w:val="24"/>
        </w:rPr>
        <w:t xml:space="preserve">125. Furthermore, the UOI did not consider the fact that not all manufacturing units would have the same manufacturing loss factor; some may be more efficient…. </w:t>
      </w:r>
    </w:p>
    <w:p w14:paraId="08A128E2" w14:textId="77777777" w:rsidR="00681690" w:rsidRPr="00681690" w:rsidRDefault="00681690" w:rsidP="00681690">
      <w:pPr>
        <w:spacing w:line="360" w:lineRule="auto"/>
        <w:ind w:left="720"/>
        <w:jc w:val="both"/>
        <w:rPr>
          <w:rFonts w:ascii="Times New Roman" w:hAnsi="Times New Roman" w:cs="Times New Roman"/>
          <w:sz w:val="24"/>
          <w:szCs w:val="24"/>
          <w:u w:val="single"/>
        </w:rPr>
      </w:pPr>
      <w:r w:rsidRPr="00681690">
        <w:rPr>
          <w:rFonts w:ascii="Times New Roman" w:hAnsi="Times New Roman" w:cs="Times New Roman"/>
          <w:sz w:val="24"/>
          <w:szCs w:val="24"/>
        </w:rPr>
        <w:t xml:space="preserve">126.  … Now, the origin of this data is not explained; further-more the table talks of 45 licenses being suspended. However the chart preceding this one, says that over 100 licensees are permitted to manufacture Oxytocin. Therefore, whether the 45 licenses suspended is of the manufacturers, or pharmacists or dairies is unknown. Also, even if the seizures of 1.5 kg of API is correct, the culprits are known. The UOI does not say who is or are those culprits. …. Moreover, the fact that of those figures 1.5 kg was seized in one year (2015-16); in the preceding two years, the seizures were far less, </w:t>
      </w:r>
      <w:r w:rsidRPr="00681690">
        <w:rPr>
          <w:rFonts w:ascii="Times New Roman" w:hAnsi="Times New Roman" w:cs="Times New Roman"/>
          <w:sz w:val="24"/>
          <w:szCs w:val="24"/>
          <w:u w:val="single"/>
        </w:rPr>
        <w:t xml:space="preserve">thus showing lack of any emergent necessity for the prohibition. </w:t>
      </w:r>
    </w:p>
    <w:p w14:paraId="29AA20B2" w14:textId="77777777" w:rsidR="00681690" w:rsidRPr="00681690" w:rsidRDefault="00681690" w:rsidP="00681690">
      <w:pPr>
        <w:spacing w:line="360" w:lineRule="auto"/>
        <w:ind w:left="720"/>
        <w:jc w:val="both"/>
        <w:rPr>
          <w:rFonts w:ascii="Times New Roman" w:hAnsi="Times New Roman" w:cs="Times New Roman"/>
          <w:sz w:val="24"/>
          <w:szCs w:val="24"/>
        </w:rPr>
      </w:pPr>
      <w:r w:rsidRPr="00681690">
        <w:rPr>
          <w:rFonts w:ascii="Times New Roman" w:hAnsi="Times New Roman" w:cs="Times New Roman"/>
          <w:sz w:val="24"/>
          <w:szCs w:val="24"/>
        </w:rPr>
        <w:t xml:space="preserve">127. This court has discussed the charts, particularly the last one, despite the fact that the UOI did not offer any explanation regarding the source of it. Statistics, unless explained, can be highly misleading. Therefore, unless the details of raids and other connecting materials are disclosed, the bare statistics (without explanation) proves little.  </w:t>
      </w:r>
    </w:p>
    <w:p w14:paraId="7EB52826" w14:textId="77777777" w:rsidR="00681690" w:rsidRPr="00681690" w:rsidRDefault="00681690" w:rsidP="00681690">
      <w:pPr>
        <w:spacing w:line="360" w:lineRule="auto"/>
        <w:ind w:left="720"/>
        <w:jc w:val="both"/>
        <w:rPr>
          <w:rFonts w:ascii="Times New Roman" w:hAnsi="Times New Roman" w:cs="Times New Roman"/>
          <w:sz w:val="24"/>
          <w:szCs w:val="24"/>
        </w:rPr>
      </w:pPr>
      <w:r w:rsidRPr="00681690">
        <w:rPr>
          <w:rFonts w:ascii="Times New Roman" w:hAnsi="Times New Roman" w:cs="Times New Roman"/>
          <w:sz w:val="24"/>
          <w:szCs w:val="24"/>
        </w:rPr>
        <w:t xml:space="preserve">(Extracts from Paras 124-127, emphasis ours) </w:t>
      </w:r>
    </w:p>
    <w:p w14:paraId="06D231B2" w14:textId="77777777" w:rsidR="00681690" w:rsidRPr="00681690" w:rsidRDefault="00681690" w:rsidP="00681690">
      <w:pPr>
        <w:spacing w:line="360" w:lineRule="auto"/>
        <w:jc w:val="both"/>
        <w:rPr>
          <w:rFonts w:ascii="Times New Roman" w:hAnsi="Times New Roman" w:cs="Times New Roman"/>
          <w:b/>
          <w:sz w:val="24"/>
          <w:szCs w:val="24"/>
        </w:rPr>
      </w:pPr>
      <w:r w:rsidRPr="00681690">
        <w:rPr>
          <w:rFonts w:ascii="Times New Roman" w:hAnsi="Times New Roman" w:cs="Times New Roman"/>
          <w:b/>
          <w:sz w:val="24"/>
          <w:szCs w:val="24"/>
        </w:rPr>
        <w:t>Subordinate Legislation and Judicial Scrutiny</w:t>
      </w:r>
    </w:p>
    <w:p w14:paraId="48C91EC1" w14:textId="77777777" w:rsidR="00681690" w:rsidRPr="00681690" w:rsidRDefault="00681690" w:rsidP="00681690">
      <w:pPr>
        <w:spacing w:line="360" w:lineRule="auto"/>
        <w:jc w:val="both"/>
        <w:rPr>
          <w:rFonts w:ascii="Times New Roman" w:hAnsi="Times New Roman" w:cs="Times New Roman"/>
          <w:sz w:val="24"/>
          <w:szCs w:val="24"/>
        </w:rPr>
      </w:pPr>
      <w:r w:rsidRPr="00681690">
        <w:rPr>
          <w:rFonts w:ascii="Times New Roman" w:hAnsi="Times New Roman" w:cs="Times New Roman"/>
          <w:sz w:val="24"/>
          <w:szCs w:val="24"/>
        </w:rPr>
        <w:t xml:space="preserve"> Duty bound to defend a weak case, the Government counsel opened a third legal window, a red herring that demands a nuanced response as the courts have opined variously. The Union of India argued that the notification under Section 26 A was a subordinate legislation, an exercise of legislative power, and the therefore courts need to exercise judicial restraint.  The Hon’ble Justices demurred: “This court is of opinion that there is no </w:t>
      </w:r>
      <w:r w:rsidRPr="00681690">
        <w:rPr>
          <w:rFonts w:ascii="Times New Roman" w:hAnsi="Times New Roman" w:cs="Times New Roman"/>
          <w:i/>
          <w:iCs/>
          <w:sz w:val="24"/>
          <w:szCs w:val="24"/>
        </w:rPr>
        <w:t xml:space="preserve">per se </w:t>
      </w:r>
      <w:r w:rsidRPr="00681690">
        <w:rPr>
          <w:rFonts w:ascii="Times New Roman" w:hAnsi="Times New Roman" w:cs="Times New Roman"/>
          <w:sz w:val="24"/>
          <w:szCs w:val="24"/>
        </w:rPr>
        <w:t xml:space="preserve">bar to reviewing regulatory provisions, even if they are made in the exercise of subordinate legislative power. Such rules or regulations do not </w:t>
      </w:r>
      <w:r w:rsidRPr="00681690">
        <w:rPr>
          <w:rFonts w:ascii="Times New Roman" w:hAnsi="Times New Roman" w:cs="Times New Roman"/>
          <w:i/>
          <w:iCs/>
          <w:sz w:val="24"/>
          <w:szCs w:val="24"/>
        </w:rPr>
        <w:t xml:space="preserve">per se </w:t>
      </w:r>
      <w:r w:rsidRPr="00681690">
        <w:rPr>
          <w:rFonts w:ascii="Times New Roman" w:hAnsi="Times New Roman" w:cs="Times New Roman"/>
          <w:sz w:val="24"/>
          <w:szCs w:val="24"/>
        </w:rPr>
        <w:t>carry a threshold of immunity greater than what any other instrument, either statutory or non-statutory would. The relevant public law standards applicable would be no different, to adjudge their validity.” (Para 91)</w:t>
      </w:r>
    </w:p>
    <w:p w14:paraId="66ADA894" w14:textId="77777777" w:rsidR="00681690" w:rsidRPr="00681690" w:rsidRDefault="00681690" w:rsidP="00681690">
      <w:pPr>
        <w:spacing w:line="360" w:lineRule="auto"/>
        <w:jc w:val="both"/>
        <w:rPr>
          <w:rFonts w:ascii="Times New Roman" w:hAnsi="Times New Roman" w:cs="Times New Roman"/>
          <w:sz w:val="24"/>
          <w:szCs w:val="24"/>
        </w:rPr>
      </w:pPr>
      <w:r w:rsidRPr="00681690">
        <w:rPr>
          <w:rFonts w:ascii="Times New Roman" w:hAnsi="Times New Roman" w:cs="Times New Roman"/>
          <w:sz w:val="24"/>
          <w:szCs w:val="24"/>
        </w:rPr>
        <w:t>Among the reasons for rejecting the claim of immunity from judicial scrutiny of the impugned  notification under Section 26 A is that the notification smacked of being manifestly unreasonable, a line of thinking  bolstered by case laws</w:t>
      </w:r>
      <w:r w:rsidRPr="00681690">
        <w:rPr>
          <w:rStyle w:val="EndnoteReference"/>
          <w:rFonts w:ascii="Times New Roman" w:hAnsi="Times New Roman" w:cs="Times New Roman"/>
          <w:sz w:val="24"/>
          <w:szCs w:val="24"/>
        </w:rPr>
        <w:endnoteReference w:id="13"/>
      </w:r>
      <w:r w:rsidRPr="00681690">
        <w:rPr>
          <w:rFonts w:ascii="Times New Roman" w:hAnsi="Times New Roman" w:cs="Times New Roman"/>
          <w:sz w:val="24"/>
          <w:szCs w:val="24"/>
        </w:rPr>
        <w:t xml:space="preserve">  like </w:t>
      </w:r>
      <w:r w:rsidRPr="00681690">
        <w:rPr>
          <w:rFonts w:ascii="Times New Roman" w:hAnsi="Times New Roman" w:cs="Times New Roman"/>
          <w:i/>
          <w:iCs/>
          <w:sz w:val="24"/>
          <w:szCs w:val="24"/>
        </w:rPr>
        <w:t xml:space="preserve">Shri Sitaram Sugar Mills Company v Union of India </w:t>
      </w:r>
      <w:r w:rsidRPr="00681690">
        <w:rPr>
          <w:rFonts w:ascii="Times New Roman" w:hAnsi="Times New Roman" w:cs="Times New Roman"/>
          <w:sz w:val="24"/>
          <w:szCs w:val="24"/>
        </w:rPr>
        <w:t xml:space="preserve">(1990) 3 SCC 223: “… </w:t>
      </w:r>
      <w:r w:rsidRPr="00681690">
        <w:rPr>
          <w:rFonts w:ascii="Times New Roman" w:hAnsi="Times New Roman" w:cs="Times New Roman"/>
          <w:iCs/>
          <w:sz w:val="24"/>
          <w:szCs w:val="24"/>
        </w:rPr>
        <w:t>A repository of power acts ultra vires either when he acts in excess of his power in the narrow sense or when he abuses his power by acting in bad faith or for an inadmissible purpose or on irrelevant grounds or without regard to relevant considerations or with gross unreasonableness."</w:t>
      </w:r>
      <w:r w:rsidRPr="00681690">
        <w:rPr>
          <w:rStyle w:val="EndnoteReference"/>
          <w:rFonts w:ascii="Times New Roman" w:hAnsi="Times New Roman" w:cs="Times New Roman"/>
          <w:sz w:val="24"/>
          <w:szCs w:val="24"/>
        </w:rPr>
        <w:t xml:space="preserve"> </w:t>
      </w:r>
    </w:p>
    <w:p w14:paraId="2F292722" w14:textId="77777777" w:rsidR="00681690" w:rsidRPr="00681690" w:rsidRDefault="00681690" w:rsidP="00681690">
      <w:pPr>
        <w:spacing w:line="360" w:lineRule="auto"/>
        <w:jc w:val="both"/>
        <w:rPr>
          <w:rFonts w:ascii="Times New Roman" w:hAnsi="Times New Roman" w:cs="Times New Roman"/>
          <w:iCs/>
          <w:sz w:val="24"/>
          <w:szCs w:val="24"/>
        </w:rPr>
      </w:pPr>
      <w:r w:rsidRPr="00681690">
        <w:rPr>
          <w:rFonts w:ascii="Times New Roman" w:hAnsi="Times New Roman" w:cs="Times New Roman"/>
          <w:sz w:val="24"/>
          <w:szCs w:val="24"/>
        </w:rPr>
        <w:t xml:space="preserve"> The impugned notification would be inadmissible because of its gross  unreasonableness and bad faith if one considers the disastrous public health impact on women giving birth that it would have had, a irrefutable fact that the discourse of the Union of India repeatedly sought to elide despite advice to the contrary of its own committees and experts. The learned judges cite </w:t>
      </w:r>
      <w:r w:rsidRPr="00681690">
        <w:rPr>
          <w:rFonts w:ascii="Times New Roman" w:hAnsi="Times New Roman" w:cs="Times New Roman"/>
          <w:i/>
          <w:iCs/>
          <w:sz w:val="24"/>
          <w:szCs w:val="24"/>
        </w:rPr>
        <w:t xml:space="preserve">Cellular Operators Association v Telecom Regulatory Authority of India </w:t>
      </w:r>
      <w:r w:rsidRPr="00681690">
        <w:rPr>
          <w:rFonts w:ascii="Times New Roman" w:hAnsi="Times New Roman" w:cs="Times New Roman"/>
          <w:sz w:val="24"/>
          <w:szCs w:val="24"/>
        </w:rPr>
        <w:t xml:space="preserve">(2016) 7 SCC 703, wherein the Supreme Court ruled that a   subordinate regulatory legislation, can be set aside in judicial review, if they show no </w:t>
      </w:r>
      <w:r w:rsidRPr="00681690">
        <w:rPr>
          <w:rFonts w:ascii="Times New Roman" w:hAnsi="Times New Roman" w:cs="Times New Roman"/>
          <w:i/>
          <w:iCs/>
          <w:sz w:val="24"/>
          <w:szCs w:val="24"/>
        </w:rPr>
        <w:t xml:space="preserve">rationale </w:t>
      </w:r>
      <w:r w:rsidRPr="00681690">
        <w:rPr>
          <w:rFonts w:ascii="Times New Roman" w:hAnsi="Times New Roman" w:cs="Times New Roman"/>
          <w:sz w:val="24"/>
          <w:szCs w:val="24"/>
        </w:rPr>
        <w:t>or are arbitrary. On both counts the impugned notification is guilty. A third</w:t>
      </w:r>
      <w:r w:rsidRPr="00681690">
        <w:rPr>
          <w:rFonts w:ascii="Times New Roman" w:hAnsi="Times New Roman" w:cs="Times New Roman"/>
          <w:i/>
          <w:iCs/>
          <w:sz w:val="24"/>
          <w:szCs w:val="24"/>
        </w:rPr>
        <w:t xml:space="preserve"> </w:t>
      </w:r>
      <w:r w:rsidRPr="00681690">
        <w:rPr>
          <w:rFonts w:ascii="Times New Roman" w:hAnsi="Times New Roman" w:cs="Times New Roman"/>
          <w:iCs/>
          <w:sz w:val="24"/>
          <w:szCs w:val="24"/>
        </w:rPr>
        <w:t xml:space="preserve">criteria spelt out in </w:t>
      </w:r>
      <w:r w:rsidRPr="00681690">
        <w:rPr>
          <w:rFonts w:ascii="Times New Roman" w:hAnsi="Times New Roman" w:cs="Times New Roman"/>
          <w:i/>
          <w:iCs/>
          <w:sz w:val="24"/>
          <w:szCs w:val="24"/>
        </w:rPr>
        <w:t xml:space="preserve">Cellular Operators Association </w:t>
      </w:r>
      <w:r w:rsidRPr="00681690">
        <w:rPr>
          <w:rFonts w:ascii="Times New Roman" w:hAnsi="Times New Roman" w:cs="Times New Roman"/>
          <w:iCs/>
          <w:sz w:val="24"/>
          <w:szCs w:val="24"/>
        </w:rPr>
        <w:t xml:space="preserve">is whether the subordinate legislative measure is an unreasonable restriction.  All change in Government policy “must be in conformity with </w:t>
      </w:r>
      <w:proofErr w:type="spellStart"/>
      <w:r w:rsidRPr="00681690">
        <w:rPr>
          <w:rFonts w:ascii="Times New Roman" w:hAnsi="Times New Roman" w:cs="Times New Roman"/>
          <w:iCs/>
          <w:sz w:val="24"/>
          <w:szCs w:val="24"/>
        </w:rPr>
        <w:t>Wednesbury</w:t>
      </w:r>
      <w:proofErr w:type="spellEnd"/>
      <w:r w:rsidRPr="00681690">
        <w:rPr>
          <w:rFonts w:ascii="Times New Roman" w:hAnsi="Times New Roman" w:cs="Times New Roman"/>
          <w:iCs/>
          <w:sz w:val="24"/>
          <w:szCs w:val="24"/>
        </w:rPr>
        <w:t xml:space="preserve"> reasonableness and free from arbitrariness, irrationality, bias and malice.”</w:t>
      </w:r>
      <w:r w:rsidRPr="00681690">
        <w:rPr>
          <w:rStyle w:val="EndnoteReference"/>
          <w:rFonts w:ascii="Times New Roman" w:hAnsi="Times New Roman" w:cs="Times New Roman"/>
          <w:iCs/>
          <w:sz w:val="24"/>
          <w:szCs w:val="24"/>
        </w:rPr>
        <w:endnoteReference w:id="14"/>
      </w:r>
    </w:p>
    <w:p w14:paraId="58CF165F" w14:textId="77777777" w:rsidR="00681690" w:rsidRPr="00681690" w:rsidRDefault="00681690" w:rsidP="00681690">
      <w:pPr>
        <w:spacing w:line="360" w:lineRule="auto"/>
        <w:jc w:val="both"/>
        <w:rPr>
          <w:rFonts w:ascii="Times New Roman" w:hAnsi="Times New Roman" w:cs="Times New Roman"/>
          <w:iCs/>
          <w:sz w:val="24"/>
          <w:szCs w:val="24"/>
        </w:rPr>
      </w:pPr>
      <w:r w:rsidRPr="00681690">
        <w:rPr>
          <w:rFonts w:ascii="Times New Roman" w:hAnsi="Times New Roman" w:cs="Times New Roman"/>
          <w:iCs/>
          <w:sz w:val="24"/>
          <w:szCs w:val="24"/>
        </w:rPr>
        <w:t>A major part of the order from Para 98 (page 66 of 100) onwards, the Hon’ble Court has taken care to justify as it were for future legal scrutiny by higher courts, to explain the circumstances it would exercise its powers of judicial review, that is when the legality of a subordinate legislation such as the impugned notification involves arbitrariness and infringement of rights. Whether the infringement is excessive or not is for the Courts to decide. (Para 131)</w:t>
      </w:r>
    </w:p>
    <w:p w14:paraId="1B9A1E3E" w14:textId="77777777" w:rsidR="00681690" w:rsidRPr="00681690" w:rsidRDefault="00681690" w:rsidP="00681690">
      <w:pPr>
        <w:spacing w:line="360" w:lineRule="auto"/>
        <w:jc w:val="both"/>
        <w:rPr>
          <w:rFonts w:ascii="Times New Roman" w:hAnsi="Times New Roman" w:cs="Times New Roman"/>
          <w:iCs/>
          <w:sz w:val="24"/>
          <w:szCs w:val="24"/>
        </w:rPr>
      </w:pPr>
      <w:r w:rsidRPr="00681690">
        <w:rPr>
          <w:rFonts w:ascii="Times New Roman" w:hAnsi="Times New Roman" w:cs="Times New Roman"/>
          <w:iCs/>
          <w:sz w:val="24"/>
          <w:szCs w:val="24"/>
        </w:rPr>
        <w:t xml:space="preserve"> “The judicial review standard to be applied when a measure is attacked for arbitrariness is that of </w:t>
      </w:r>
      <w:proofErr w:type="spellStart"/>
      <w:r w:rsidRPr="00681690">
        <w:rPr>
          <w:rFonts w:ascii="Times New Roman" w:hAnsi="Times New Roman" w:cs="Times New Roman"/>
          <w:iCs/>
          <w:sz w:val="24"/>
          <w:szCs w:val="24"/>
        </w:rPr>
        <w:t>Wednesbury</w:t>
      </w:r>
      <w:proofErr w:type="spellEnd"/>
      <w:r w:rsidRPr="00681690">
        <w:rPr>
          <w:rFonts w:ascii="Times New Roman" w:hAnsi="Times New Roman" w:cs="Times New Roman"/>
          <w:iCs/>
          <w:sz w:val="24"/>
          <w:szCs w:val="24"/>
        </w:rPr>
        <w:t xml:space="preserve"> reasonableness.”</w:t>
      </w:r>
      <w:r w:rsidRPr="00681690">
        <w:rPr>
          <w:rStyle w:val="EndnoteReference"/>
          <w:rFonts w:ascii="Times New Roman" w:hAnsi="Times New Roman" w:cs="Times New Roman"/>
          <w:iCs/>
          <w:sz w:val="24"/>
          <w:szCs w:val="24"/>
        </w:rPr>
        <w:endnoteReference w:id="15"/>
      </w:r>
      <w:r w:rsidRPr="00681690">
        <w:rPr>
          <w:rFonts w:ascii="Times New Roman" w:hAnsi="Times New Roman" w:cs="Times New Roman"/>
          <w:iCs/>
          <w:sz w:val="24"/>
          <w:szCs w:val="24"/>
        </w:rPr>
        <w:t xml:space="preserve"> (Para 132)</w:t>
      </w:r>
    </w:p>
    <w:p w14:paraId="0287014D" w14:textId="77777777" w:rsidR="00681690" w:rsidRPr="00681690" w:rsidRDefault="00681690" w:rsidP="00681690">
      <w:pPr>
        <w:spacing w:line="360" w:lineRule="auto"/>
        <w:jc w:val="both"/>
        <w:rPr>
          <w:rFonts w:ascii="Times New Roman" w:hAnsi="Times New Roman" w:cs="Times New Roman"/>
          <w:iCs/>
          <w:sz w:val="24"/>
          <w:szCs w:val="24"/>
        </w:rPr>
      </w:pPr>
      <w:r w:rsidRPr="00681690">
        <w:rPr>
          <w:rFonts w:ascii="Times New Roman" w:hAnsi="Times New Roman" w:cs="Times New Roman"/>
          <w:iCs/>
          <w:sz w:val="24"/>
          <w:szCs w:val="24"/>
        </w:rPr>
        <w:t>“If an action taken by any authority is contrary to law, improper, irrational or otherwise unreasonable, a court of law can interfere with such action by exercising power of judicial review. One of such modes of exercising power, known to law is the "doctrine of proportionality".</w:t>
      </w:r>
      <w:r w:rsidRPr="00681690">
        <w:rPr>
          <w:rStyle w:val="EndnoteReference"/>
          <w:rFonts w:ascii="Times New Roman" w:hAnsi="Times New Roman" w:cs="Times New Roman"/>
          <w:iCs/>
          <w:sz w:val="24"/>
          <w:szCs w:val="24"/>
        </w:rPr>
        <w:endnoteReference w:id="16"/>
      </w:r>
      <w:r w:rsidRPr="00681690">
        <w:rPr>
          <w:rFonts w:ascii="Times New Roman" w:hAnsi="Times New Roman" w:cs="Times New Roman"/>
          <w:iCs/>
          <w:sz w:val="24"/>
          <w:szCs w:val="24"/>
        </w:rPr>
        <w:t xml:space="preserve">  </w:t>
      </w:r>
    </w:p>
    <w:p w14:paraId="1049931C" w14:textId="77777777" w:rsidR="00681690" w:rsidRPr="00681690" w:rsidRDefault="00681690" w:rsidP="00681690">
      <w:pPr>
        <w:spacing w:line="360" w:lineRule="auto"/>
        <w:jc w:val="both"/>
        <w:rPr>
          <w:rFonts w:ascii="Times New Roman" w:hAnsi="Times New Roman" w:cs="Times New Roman"/>
          <w:iCs/>
          <w:sz w:val="24"/>
          <w:szCs w:val="24"/>
        </w:rPr>
      </w:pPr>
      <w:r w:rsidRPr="00681690">
        <w:rPr>
          <w:rFonts w:ascii="Times New Roman" w:hAnsi="Times New Roman" w:cs="Times New Roman"/>
          <w:iCs/>
          <w:sz w:val="24"/>
          <w:szCs w:val="24"/>
        </w:rPr>
        <w:t xml:space="preserve">The judgment sweeps, in masterly fashion, a welter of details - some of which we have already mentioned above and much of which we have to regrettably skip for reasons of space - leading up to the impugned notification and shows how it suffers from arbitrariness, impropriety, irrationality and is otherwise unreasonable and hence deserves to be rejected.    </w:t>
      </w:r>
    </w:p>
    <w:p w14:paraId="719D4C1F" w14:textId="77777777" w:rsidR="00681690" w:rsidRPr="00681690" w:rsidRDefault="00681690" w:rsidP="00681690">
      <w:pPr>
        <w:spacing w:line="360" w:lineRule="auto"/>
        <w:jc w:val="both"/>
        <w:rPr>
          <w:rFonts w:ascii="Times New Roman" w:hAnsi="Times New Roman" w:cs="Times New Roman"/>
          <w:b/>
          <w:sz w:val="24"/>
          <w:szCs w:val="24"/>
        </w:rPr>
      </w:pPr>
      <w:r w:rsidRPr="00681690">
        <w:rPr>
          <w:rFonts w:ascii="Times New Roman" w:hAnsi="Times New Roman" w:cs="Times New Roman"/>
          <w:b/>
          <w:sz w:val="24"/>
          <w:szCs w:val="24"/>
        </w:rPr>
        <w:t>Lack of Balance</w:t>
      </w:r>
    </w:p>
    <w:p w14:paraId="3A7E45E3" w14:textId="77777777" w:rsidR="00681690" w:rsidRPr="00681690" w:rsidRDefault="00681690" w:rsidP="00681690">
      <w:pPr>
        <w:spacing w:line="360" w:lineRule="auto"/>
        <w:jc w:val="both"/>
        <w:rPr>
          <w:rFonts w:ascii="Times New Roman" w:hAnsi="Times New Roman" w:cs="Times New Roman"/>
          <w:sz w:val="24"/>
          <w:szCs w:val="24"/>
        </w:rPr>
      </w:pPr>
      <w:r w:rsidRPr="00681690">
        <w:rPr>
          <w:rFonts w:ascii="Times New Roman" w:hAnsi="Times New Roman" w:cs="Times New Roman"/>
          <w:sz w:val="24"/>
          <w:szCs w:val="24"/>
        </w:rPr>
        <w:t xml:space="preserve"> Although reluctant to do a ‘merits review’ as part of a judicial review of a notification claimed to be a subordinate legislation, if we go by the above discussion, the Hon’ble Court consciously seems to have crossed the lines; and pronounced its opinion on the impugned notification considering the crucial public interests involved, above all the public interest of women and preventing their needless deaths due to post-partum </w:t>
      </w:r>
      <w:proofErr w:type="spellStart"/>
      <w:r w:rsidRPr="00681690">
        <w:rPr>
          <w:rFonts w:ascii="Times New Roman" w:hAnsi="Times New Roman" w:cs="Times New Roman"/>
          <w:sz w:val="24"/>
          <w:szCs w:val="24"/>
        </w:rPr>
        <w:t>haemorrhage</w:t>
      </w:r>
      <w:proofErr w:type="spellEnd"/>
      <w:r w:rsidRPr="00681690">
        <w:rPr>
          <w:rFonts w:ascii="Times New Roman" w:hAnsi="Times New Roman" w:cs="Times New Roman"/>
          <w:sz w:val="24"/>
          <w:szCs w:val="24"/>
        </w:rPr>
        <w:t>. In the context of drawing and crossing lines, we find their Lordships inter alia quoting Oliver W Holmes, “A</w:t>
      </w:r>
      <w:r w:rsidRPr="00681690">
        <w:rPr>
          <w:rFonts w:ascii="Times New Roman" w:hAnsi="Times New Roman" w:cs="Times New Roman"/>
          <w:iCs/>
          <w:sz w:val="24"/>
          <w:szCs w:val="24"/>
        </w:rPr>
        <w:t>ll distinctions of law -- even Constitutional law are in the ultimate analyses, "matters of degree". At what line the 'white' fades into the 'black' is essentially a legislatively perceived demarcation.”</w:t>
      </w:r>
      <w:r w:rsidRPr="00681690">
        <w:rPr>
          <w:rStyle w:val="EndnoteReference"/>
          <w:rFonts w:ascii="Times New Roman" w:hAnsi="Times New Roman" w:cs="Times New Roman"/>
          <w:iCs/>
          <w:sz w:val="24"/>
          <w:szCs w:val="24"/>
        </w:rPr>
        <w:endnoteReference w:id="17"/>
      </w:r>
    </w:p>
    <w:p w14:paraId="194BDC6D" w14:textId="77777777" w:rsidR="00681690" w:rsidRPr="00681690" w:rsidRDefault="00681690" w:rsidP="00681690">
      <w:pPr>
        <w:spacing w:line="360" w:lineRule="auto"/>
        <w:jc w:val="both"/>
        <w:rPr>
          <w:rFonts w:ascii="Times New Roman" w:hAnsi="Times New Roman" w:cs="Times New Roman"/>
          <w:sz w:val="24"/>
          <w:szCs w:val="24"/>
        </w:rPr>
      </w:pPr>
      <w:r w:rsidRPr="00681690">
        <w:rPr>
          <w:rFonts w:ascii="Times New Roman" w:hAnsi="Times New Roman" w:cs="Times New Roman"/>
          <w:sz w:val="24"/>
          <w:szCs w:val="24"/>
        </w:rPr>
        <w:t>Tragically in contrast, the learned judges observe in their final order that the “predominant consideration which runs like a common thread through the government’s decision making process is that Oxytocin had been misused in the past, resulting in adverse impact on the health of animals. In a case like this assuming the respondents had a good case to conclude Oxytocin was a risk to cattle health nevertheless in the nature of things its therapeutic benefit to humans could not have been overlooked or given less importance.”</w:t>
      </w:r>
    </w:p>
    <w:p w14:paraId="0E53F59A" w14:textId="77777777" w:rsidR="00681690" w:rsidRPr="00681690" w:rsidRDefault="00681690" w:rsidP="00681690">
      <w:pPr>
        <w:spacing w:line="360" w:lineRule="auto"/>
        <w:jc w:val="both"/>
        <w:rPr>
          <w:rFonts w:ascii="Times New Roman" w:hAnsi="Times New Roman" w:cs="Times New Roman"/>
          <w:sz w:val="24"/>
          <w:szCs w:val="24"/>
        </w:rPr>
      </w:pPr>
      <w:r w:rsidRPr="00681690">
        <w:rPr>
          <w:rFonts w:ascii="Times New Roman" w:hAnsi="Times New Roman" w:cs="Times New Roman"/>
          <w:sz w:val="24"/>
          <w:szCs w:val="24"/>
        </w:rPr>
        <w:t xml:space="preserve">In the end, the Court quashed the notification as both unreasonable and arbitrary as the Union of India did not “ adequately weigh” on inter alia what banning private manufacture,  and restricting manufacture and supply of a </w:t>
      </w:r>
      <w:proofErr w:type="spellStart"/>
      <w:r w:rsidRPr="00681690">
        <w:rPr>
          <w:rFonts w:ascii="Times New Roman" w:hAnsi="Times New Roman" w:cs="Times New Roman"/>
          <w:sz w:val="24"/>
          <w:szCs w:val="24"/>
        </w:rPr>
        <w:t>life saving</w:t>
      </w:r>
      <w:proofErr w:type="spellEnd"/>
      <w:r w:rsidRPr="00681690">
        <w:rPr>
          <w:rFonts w:ascii="Times New Roman" w:hAnsi="Times New Roman" w:cs="Times New Roman"/>
          <w:sz w:val="24"/>
          <w:szCs w:val="24"/>
        </w:rPr>
        <w:t xml:space="preserve"> drug, could do to “increase in  maternal fatalities, during childbirth, impairing lives of thousands of innocent young mothers. …</w:t>
      </w:r>
    </w:p>
    <w:p w14:paraId="4601CAAB" w14:textId="77777777" w:rsidR="00681690" w:rsidRPr="00681690" w:rsidRDefault="00681690" w:rsidP="00681690">
      <w:pPr>
        <w:spacing w:line="360" w:lineRule="auto"/>
        <w:jc w:val="both"/>
        <w:rPr>
          <w:rFonts w:ascii="Times New Roman" w:hAnsi="Times New Roman" w:cs="Times New Roman"/>
          <w:sz w:val="24"/>
          <w:szCs w:val="24"/>
        </w:rPr>
      </w:pPr>
      <w:r w:rsidRPr="00681690">
        <w:rPr>
          <w:rFonts w:ascii="Times New Roman" w:hAnsi="Times New Roman" w:cs="Times New Roman"/>
          <w:sz w:val="24"/>
          <w:szCs w:val="24"/>
        </w:rPr>
        <w:t>…. For these reasons, this court is of the opinion that the conclusions recorded by this court – to quote the Supreme Court – do not transgress the arena of permissible judicial review, but rather “</w:t>
      </w:r>
      <w:r w:rsidRPr="00681690">
        <w:rPr>
          <w:rFonts w:ascii="Times New Roman" w:hAnsi="Times New Roman" w:cs="Times New Roman"/>
          <w:i/>
          <w:iCs/>
          <w:sz w:val="24"/>
          <w:szCs w:val="24"/>
        </w:rPr>
        <w:t>enough for us to say that the present case is on the right side of any line that could reasonably be drawn.”</w:t>
      </w:r>
      <w:r w:rsidRPr="00681690">
        <w:rPr>
          <w:rFonts w:ascii="Times New Roman" w:hAnsi="Times New Roman" w:cs="Times New Roman"/>
          <w:sz w:val="24"/>
          <w:szCs w:val="24"/>
        </w:rPr>
        <w:t xml:space="preserve"> </w:t>
      </w:r>
      <w:r w:rsidRPr="00681690">
        <w:rPr>
          <w:rStyle w:val="EndnoteReference"/>
          <w:rFonts w:ascii="Times New Roman" w:hAnsi="Times New Roman" w:cs="Times New Roman"/>
          <w:sz w:val="24"/>
          <w:szCs w:val="24"/>
        </w:rPr>
        <w:endnoteReference w:id="18"/>
      </w:r>
      <w:r w:rsidRPr="00681690">
        <w:rPr>
          <w:rFonts w:ascii="Times New Roman" w:hAnsi="Times New Roman" w:cs="Times New Roman"/>
          <w:sz w:val="24"/>
          <w:szCs w:val="24"/>
        </w:rPr>
        <w:t xml:space="preserve"> (</w:t>
      </w:r>
      <w:proofErr w:type="spellStart"/>
      <w:r w:rsidRPr="00681690">
        <w:rPr>
          <w:rFonts w:ascii="Times New Roman" w:hAnsi="Times New Roman" w:cs="Times New Roman"/>
          <w:sz w:val="24"/>
          <w:szCs w:val="24"/>
        </w:rPr>
        <w:t>itals</w:t>
      </w:r>
      <w:proofErr w:type="spellEnd"/>
      <w:r w:rsidRPr="00681690">
        <w:rPr>
          <w:rFonts w:ascii="Times New Roman" w:hAnsi="Times New Roman" w:cs="Times New Roman"/>
          <w:sz w:val="24"/>
          <w:szCs w:val="24"/>
        </w:rPr>
        <w:t xml:space="preserve"> in original)</w:t>
      </w:r>
    </w:p>
    <w:p w14:paraId="4DC8E507" w14:textId="77777777" w:rsidR="00681690" w:rsidRPr="00681690" w:rsidRDefault="00681690" w:rsidP="00681690">
      <w:pPr>
        <w:spacing w:line="360" w:lineRule="auto"/>
        <w:jc w:val="both"/>
        <w:rPr>
          <w:rFonts w:ascii="Times New Roman" w:hAnsi="Times New Roman" w:cs="Times New Roman"/>
          <w:sz w:val="24"/>
          <w:szCs w:val="24"/>
        </w:rPr>
      </w:pPr>
      <w:commentRangeStart w:id="17"/>
      <w:commentRangeStart w:id="18"/>
      <w:r w:rsidRPr="00681690">
        <w:rPr>
          <w:rFonts w:ascii="Times New Roman" w:hAnsi="Times New Roman" w:cs="Times New Roman"/>
          <w:sz w:val="24"/>
          <w:szCs w:val="24"/>
        </w:rPr>
        <w:t>We need to celebrate the judgment both for its qualities of heart and mind.</w:t>
      </w:r>
      <w:commentRangeEnd w:id="17"/>
      <w:r w:rsidRPr="00681690">
        <w:rPr>
          <w:rStyle w:val="CommentReference"/>
          <w:rFonts w:ascii="Times New Roman" w:hAnsi="Times New Roman" w:cs="Times New Roman"/>
        </w:rPr>
        <w:commentReference w:id="17"/>
      </w:r>
      <w:commentRangeEnd w:id="18"/>
      <w:r w:rsidRPr="00681690">
        <w:rPr>
          <w:rStyle w:val="CommentReference"/>
          <w:rFonts w:ascii="Times New Roman" w:hAnsi="Times New Roman" w:cs="Times New Roman"/>
        </w:rPr>
        <w:commentReference w:id="18"/>
      </w:r>
      <w:r w:rsidRPr="00681690">
        <w:rPr>
          <w:rFonts w:ascii="Times New Roman" w:hAnsi="Times New Roman" w:cs="Times New Roman"/>
          <w:sz w:val="24"/>
          <w:szCs w:val="24"/>
        </w:rPr>
        <w:t xml:space="preserve"> </w:t>
      </w:r>
    </w:p>
    <w:p w14:paraId="2F070E64" w14:textId="77777777" w:rsidR="00681690" w:rsidRPr="00681690" w:rsidRDefault="00681690" w:rsidP="00681690">
      <w:pPr>
        <w:spacing w:line="360" w:lineRule="auto"/>
        <w:jc w:val="both"/>
        <w:rPr>
          <w:rFonts w:ascii="Times New Roman" w:hAnsi="Times New Roman" w:cs="Times New Roman"/>
          <w:b/>
          <w:sz w:val="24"/>
          <w:szCs w:val="24"/>
        </w:rPr>
      </w:pPr>
      <w:r w:rsidRPr="00681690">
        <w:rPr>
          <w:rFonts w:ascii="Times New Roman" w:hAnsi="Times New Roman" w:cs="Times New Roman"/>
          <w:b/>
          <w:sz w:val="24"/>
          <w:szCs w:val="24"/>
        </w:rPr>
        <w:t>Concluding Remarks</w:t>
      </w:r>
    </w:p>
    <w:p w14:paraId="3CBFEBCB" w14:textId="77777777" w:rsidR="00681690" w:rsidRPr="00681690" w:rsidRDefault="00681690" w:rsidP="00681690">
      <w:pPr>
        <w:spacing w:line="360" w:lineRule="auto"/>
        <w:jc w:val="both"/>
        <w:rPr>
          <w:rFonts w:ascii="Times New Roman" w:hAnsi="Times New Roman" w:cs="Times New Roman"/>
          <w:sz w:val="24"/>
          <w:szCs w:val="24"/>
        </w:rPr>
      </w:pPr>
      <w:r w:rsidRPr="00681690">
        <w:rPr>
          <w:rFonts w:ascii="Times New Roman" w:hAnsi="Times New Roman" w:cs="Times New Roman"/>
          <w:sz w:val="24"/>
          <w:szCs w:val="24"/>
        </w:rPr>
        <w:t xml:space="preserve">Instead of </w:t>
      </w:r>
      <w:r w:rsidR="00204B3E">
        <w:rPr>
          <w:rFonts w:ascii="Times New Roman" w:hAnsi="Times New Roman" w:cs="Times New Roman"/>
          <w:sz w:val="24"/>
          <w:szCs w:val="24"/>
        </w:rPr>
        <w:t xml:space="preserve">letting </w:t>
      </w:r>
      <w:r w:rsidRPr="00681690">
        <w:rPr>
          <w:rFonts w:ascii="Times New Roman" w:hAnsi="Times New Roman" w:cs="Times New Roman"/>
          <w:sz w:val="24"/>
          <w:szCs w:val="24"/>
        </w:rPr>
        <w:t>the matter rest, the Government has taken it as a prestige issue. The Union of India has</w:t>
      </w:r>
      <w:r w:rsidR="000D5DA5">
        <w:rPr>
          <w:rFonts w:ascii="Times New Roman" w:hAnsi="Times New Roman" w:cs="Times New Roman"/>
          <w:sz w:val="24"/>
          <w:szCs w:val="24"/>
        </w:rPr>
        <w:t xml:space="preserve">, </w:t>
      </w:r>
      <w:r w:rsidRPr="00681690">
        <w:rPr>
          <w:rFonts w:ascii="Times New Roman" w:hAnsi="Times New Roman" w:cs="Times New Roman"/>
          <w:sz w:val="24"/>
          <w:szCs w:val="24"/>
        </w:rPr>
        <w:t xml:space="preserve"> </w:t>
      </w:r>
      <w:r w:rsidR="00D45EAD">
        <w:rPr>
          <w:rFonts w:ascii="Times New Roman" w:hAnsi="Times New Roman" w:cs="Times New Roman"/>
          <w:sz w:val="24"/>
          <w:szCs w:val="24"/>
        </w:rPr>
        <w:t xml:space="preserve">during February </w:t>
      </w:r>
      <w:r w:rsidR="000D5DA5">
        <w:rPr>
          <w:rFonts w:ascii="Times New Roman" w:hAnsi="Times New Roman" w:cs="Times New Roman"/>
          <w:sz w:val="24"/>
          <w:szCs w:val="24"/>
        </w:rPr>
        <w:t xml:space="preserve">2019, </w:t>
      </w:r>
      <w:r w:rsidRPr="00681690">
        <w:rPr>
          <w:rFonts w:ascii="Times New Roman" w:hAnsi="Times New Roman" w:cs="Times New Roman"/>
          <w:sz w:val="24"/>
          <w:szCs w:val="24"/>
        </w:rPr>
        <w:t xml:space="preserve">filed a Special Leave Petition (SLP) in the Supreme Court against the Delhi High Court Order. </w:t>
      </w:r>
    </w:p>
    <w:p w14:paraId="29C59FF1" w14:textId="77777777" w:rsidR="00681690" w:rsidRPr="00681690" w:rsidRDefault="00681690" w:rsidP="00681690">
      <w:pPr>
        <w:spacing w:line="360" w:lineRule="auto"/>
        <w:jc w:val="both"/>
        <w:rPr>
          <w:rFonts w:ascii="Times New Roman" w:hAnsi="Times New Roman" w:cs="Times New Roman"/>
          <w:sz w:val="24"/>
          <w:szCs w:val="24"/>
        </w:rPr>
      </w:pPr>
      <w:r w:rsidRPr="00681690">
        <w:rPr>
          <w:rFonts w:ascii="Times New Roman" w:hAnsi="Times New Roman" w:cs="Times New Roman"/>
          <w:sz w:val="24"/>
          <w:szCs w:val="24"/>
        </w:rPr>
        <w:t xml:space="preserve">The absence of the several networks of  Obstetricians and Gynecologists of India to take the lead, legal and otherwise,  in defending their view point, in  an issue vital for the practice of their vocation, is disappointing. This is tantamount to ethical failure of such bodies.   The Kerala Federation  of  Obstetricians and Gynecologists (KFOG) however seems to have been an exception.  At the same time, the apparent </w:t>
      </w:r>
      <w:r w:rsidR="000D5DA5">
        <w:rPr>
          <w:rFonts w:ascii="Times New Roman" w:hAnsi="Times New Roman" w:cs="Times New Roman"/>
          <w:sz w:val="24"/>
          <w:szCs w:val="24"/>
        </w:rPr>
        <w:t xml:space="preserve">genuflection of otherwise powerful sections of </w:t>
      </w:r>
      <w:r w:rsidRPr="00681690">
        <w:rPr>
          <w:rFonts w:ascii="Times New Roman" w:hAnsi="Times New Roman" w:cs="Times New Roman"/>
          <w:sz w:val="24"/>
          <w:szCs w:val="24"/>
        </w:rPr>
        <w:t xml:space="preserve">the Union of India to certain ministerial whims at the risk of jeopardizing safe delivery of women, is a tragedy. We will have to wait and see the denouement as it unfolds in the coming weeks. </w:t>
      </w:r>
      <w:r w:rsidR="00204B3E">
        <w:rPr>
          <w:rFonts w:ascii="Times New Roman" w:hAnsi="Times New Roman" w:cs="Times New Roman"/>
          <w:sz w:val="24"/>
          <w:szCs w:val="24"/>
        </w:rPr>
        <w:t xml:space="preserve">Those concerned with the precarity of the lives of women in childbirth, and those concerned with medical ethics, silence is not an option. </w:t>
      </w:r>
    </w:p>
    <w:p w14:paraId="1D95A82F" w14:textId="77777777" w:rsidR="00681690" w:rsidRPr="00681690" w:rsidRDefault="00681690" w:rsidP="00681690">
      <w:pPr>
        <w:spacing w:line="360" w:lineRule="auto"/>
        <w:jc w:val="both"/>
        <w:rPr>
          <w:rFonts w:ascii="Times New Roman" w:hAnsi="Times New Roman" w:cs="Times New Roman"/>
          <w:sz w:val="24"/>
          <w:szCs w:val="24"/>
        </w:rPr>
      </w:pPr>
    </w:p>
    <w:p w14:paraId="1161DF6E" w14:textId="77777777" w:rsidR="00681690" w:rsidRPr="00681690" w:rsidRDefault="00681690" w:rsidP="00681690">
      <w:pPr>
        <w:spacing w:line="360" w:lineRule="auto"/>
        <w:jc w:val="both"/>
        <w:rPr>
          <w:rFonts w:ascii="Times New Roman" w:hAnsi="Times New Roman" w:cs="Times New Roman"/>
          <w:b/>
          <w:i/>
          <w:sz w:val="24"/>
          <w:szCs w:val="24"/>
        </w:rPr>
      </w:pPr>
      <w:r w:rsidRPr="00681690">
        <w:rPr>
          <w:rFonts w:ascii="Times New Roman" w:hAnsi="Times New Roman" w:cs="Times New Roman"/>
          <w:b/>
          <w:i/>
          <w:sz w:val="24"/>
          <w:szCs w:val="24"/>
        </w:rPr>
        <w:t>Endnotes</w:t>
      </w:r>
    </w:p>
    <w:p w14:paraId="72C535F5" w14:textId="77777777" w:rsidR="00681690" w:rsidRPr="00681690" w:rsidRDefault="00681690" w:rsidP="00681690">
      <w:pPr>
        <w:rPr>
          <w:rFonts w:ascii="Times New Roman" w:hAnsi="Times New Roman" w:cs="Times New Roman"/>
        </w:rPr>
      </w:pPr>
    </w:p>
    <w:sectPr w:rsidR="00681690" w:rsidRPr="00681690" w:rsidSect="00681690">
      <w:footerReference w:type="default" r:id="rId11"/>
      <w:footnotePr>
        <w:numFmt w:val="chicago"/>
      </w:footnotePr>
      <w:endnotePr>
        <w:numFmt w:val="decimal"/>
      </w:endnotePr>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eviewer 1" w:date="2019-02-05T13:52:00Z" w:initials="M">
    <w:p w14:paraId="17092BFF" w14:textId="77777777" w:rsidR="00681690" w:rsidRDefault="00681690" w:rsidP="00681690">
      <w:pPr>
        <w:pStyle w:val="CommentText"/>
      </w:pPr>
      <w:r>
        <w:rPr>
          <w:rStyle w:val="CommentReference"/>
        </w:rPr>
        <w:annotationRef/>
      </w:r>
      <w:r>
        <w:t xml:space="preserve">This is too generic a title. Suggest amending it to highlight central point/s. </w:t>
      </w:r>
    </w:p>
    <w:p w14:paraId="55E993E7" w14:textId="77777777" w:rsidR="00681690" w:rsidRDefault="00681690" w:rsidP="00681690">
      <w:pPr>
        <w:pStyle w:val="CommentText"/>
      </w:pPr>
    </w:p>
    <w:p w14:paraId="7CDBDC95" w14:textId="77777777" w:rsidR="00681690" w:rsidRDefault="00681690" w:rsidP="00681690">
      <w:pPr>
        <w:pStyle w:val="CommentText"/>
      </w:pPr>
      <w:r>
        <w:t>The manuscript locates the judgement in the history of ban on oxytocin etc,  this title doesn’t convey much to the readers.</w:t>
      </w:r>
    </w:p>
  </w:comment>
  <w:comment w:id="2" w:author="Reviewer 1" w:date="2019-02-05T13:53:00Z" w:initials="M">
    <w:p w14:paraId="19AA2DE7" w14:textId="77777777" w:rsidR="00681690" w:rsidRDefault="00681690" w:rsidP="00681690">
      <w:pPr>
        <w:pStyle w:val="CommentText"/>
      </w:pPr>
      <w:r>
        <w:rPr>
          <w:rStyle w:val="CommentReference"/>
        </w:rPr>
        <w:annotationRef/>
      </w:r>
      <w:r>
        <w:t xml:space="preserve">The manuscript is rather lengthy in the current form.  We suggest shortening it. </w:t>
      </w:r>
    </w:p>
    <w:p w14:paraId="30AFAE71" w14:textId="77777777" w:rsidR="00681690" w:rsidRDefault="00681690" w:rsidP="00681690">
      <w:pPr>
        <w:pStyle w:val="CommentText"/>
      </w:pPr>
      <w:r>
        <w:t>An Abstract is also required, especially keeping the general reader in mind</w:t>
      </w:r>
    </w:p>
    <w:p w14:paraId="5EC3EF61" w14:textId="77777777" w:rsidR="00681690" w:rsidRDefault="00681690" w:rsidP="00681690">
      <w:pPr>
        <w:pStyle w:val="CommentText"/>
      </w:pPr>
    </w:p>
  </w:comment>
  <w:comment w:id="3" w:author="renu khanna" w:date="2019-02-10T11:31:00Z" w:initials="rk">
    <w:p w14:paraId="1DC33D46" w14:textId="77777777" w:rsidR="00681690" w:rsidRDefault="00681690" w:rsidP="00681690">
      <w:pPr>
        <w:pStyle w:val="CommentText"/>
      </w:pPr>
      <w:r>
        <w:rPr>
          <w:rStyle w:val="CommentReference"/>
        </w:rPr>
        <w:annotationRef/>
      </w:r>
      <w:r>
        <w:t>See abstract</w:t>
      </w:r>
    </w:p>
  </w:comment>
  <w:comment w:id="4" w:author="Reviewer 1" w:date="2019-02-05T13:59:00Z" w:initials="M">
    <w:p w14:paraId="66126285" w14:textId="77777777" w:rsidR="00681690" w:rsidRDefault="00681690" w:rsidP="00681690">
      <w:pPr>
        <w:pStyle w:val="CommentText"/>
      </w:pPr>
      <w:r>
        <w:rPr>
          <w:rStyle w:val="CommentReference"/>
        </w:rPr>
        <w:annotationRef/>
      </w:r>
      <w:r>
        <w:t xml:space="preserve">?? the section doesn’t talk about lobbies bringing in the vested interest as such of PSUs as much as the minister being so ill-informed and using her political power to override discussions by other administrators. </w:t>
      </w:r>
    </w:p>
    <w:p w14:paraId="6A5A7C14" w14:textId="77777777" w:rsidR="00681690" w:rsidRDefault="00681690" w:rsidP="00681690">
      <w:pPr>
        <w:pStyle w:val="CommentText"/>
      </w:pPr>
    </w:p>
    <w:p w14:paraId="2C56FD75" w14:textId="77777777" w:rsidR="00681690" w:rsidRDefault="00681690" w:rsidP="00681690">
      <w:pPr>
        <w:pStyle w:val="CommentText"/>
      </w:pPr>
      <w:r>
        <w:t xml:space="preserve">As I mention later, it is also about misplaced </w:t>
      </w:r>
      <w:proofErr w:type="spellStart"/>
      <w:r>
        <w:t>prioratization</w:t>
      </w:r>
      <w:proofErr w:type="spellEnd"/>
      <w:r>
        <w:t xml:space="preserve"> and influence of the minister’s ‘animal rights’ agenda which seems to blind her.</w:t>
      </w:r>
    </w:p>
    <w:p w14:paraId="20464474" w14:textId="77777777" w:rsidR="00681690" w:rsidRDefault="00681690" w:rsidP="00681690">
      <w:pPr>
        <w:pStyle w:val="CommentText"/>
      </w:pPr>
    </w:p>
    <w:p w14:paraId="42BCCC8A" w14:textId="77777777" w:rsidR="00681690" w:rsidRDefault="00681690" w:rsidP="00681690">
      <w:pPr>
        <w:pStyle w:val="CommentText"/>
      </w:pPr>
    </w:p>
  </w:comment>
  <w:comment w:id="5" w:author="renu khanna" w:date="2019-02-10T11:35:00Z" w:initials="rk">
    <w:p w14:paraId="5FFF9F06" w14:textId="77777777" w:rsidR="00681690" w:rsidRDefault="00681690" w:rsidP="00681690">
      <w:pPr>
        <w:pStyle w:val="CommentText"/>
      </w:pPr>
      <w:r>
        <w:rPr>
          <w:rStyle w:val="CommentReference"/>
        </w:rPr>
        <w:annotationRef/>
      </w:r>
    </w:p>
  </w:comment>
  <w:comment w:id="6" w:author="renu khanna" w:date="2019-02-10T11:36:00Z" w:initials="rk">
    <w:p w14:paraId="6C84A1A9" w14:textId="77777777" w:rsidR="00681690" w:rsidRDefault="00681690" w:rsidP="00681690">
      <w:pPr>
        <w:pStyle w:val="CommentText"/>
      </w:pPr>
      <w:r>
        <w:rPr>
          <w:rStyle w:val="CommentReference"/>
        </w:rPr>
        <w:annotationRef/>
      </w:r>
      <w:r>
        <w:t>Difficult to capture all in a heading. PSU was not a lobby per se. But a compromise solution that was forced thereafter to justify its virtues</w:t>
      </w:r>
    </w:p>
  </w:comment>
  <w:comment w:id="7" w:author="Reviewer 1" w:date="2019-02-05T13:56:00Z" w:initials="M">
    <w:p w14:paraId="373AD398" w14:textId="77777777" w:rsidR="00681690" w:rsidRDefault="00681690" w:rsidP="00681690">
      <w:pPr>
        <w:pStyle w:val="CommentText"/>
      </w:pPr>
      <w:r>
        <w:rPr>
          <w:rStyle w:val="CommentReference"/>
        </w:rPr>
        <w:annotationRef/>
      </w:r>
      <w:r>
        <w:t>Can be said briefly but needs reference</w:t>
      </w:r>
    </w:p>
  </w:comment>
  <w:comment w:id="8" w:author="renu khanna" w:date="2019-02-10T11:34:00Z" w:initials="rk">
    <w:p w14:paraId="66D44A27" w14:textId="77777777" w:rsidR="00681690" w:rsidRDefault="00681690" w:rsidP="00681690">
      <w:pPr>
        <w:pStyle w:val="CommentText"/>
      </w:pPr>
      <w:r>
        <w:rPr>
          <w:rStyle w:val="CommentReference"/>
        </w:rPr>
        <w:annotationRef/>
      </w:r>
      <w:r>
        <w:t xml:space="preserve">Needs to be mentioned. </w:t>
      </w:r>
    </w:p>
  </w:comment>
  <w:comment w:id="9" w:author="Reviewer 1" w:date="2019-02-05T13:58:00Z" w:initials="M">
    <w:p w14:paraId="792DB57F" w14:textId="77777777" w:rsidR="00681690" w:rsidRDefault="00681690" w:rsidP="00681690">
      <w:pPr>
        <w:pStyle w:val="CommentText"/>
      </w:pPr>
      <w:r>
        <w:rPr>
          <w:rStyle w:val="CommentReference"/>
        </w:rPr>
        <w:annotationRef/>
      </w:r>
      <w:r>
        <w:t xml:space="preserve">She has been issuing such GRs or giving public statements which are totally ill-informed. </w:t>
      </w:r>
    </w:p>
    <w:p w14:paraId="6998C896" w14:textId="77777777" w:rsidR="00681690" w:rsidRDefault="00681690" w:rsidP="00681690">
      <w:pPr>
        <w:pStyle w:val="CommentText"/>
      </w:pPr>
    </w:p>
    <w:p w14:paraId="255421A6" w14:textId="77777777" w:rsidR="00681690" w:rsidRDefault="00681690" w:rsidP="00681690">
      <w:pPr>
        <w:pStyle w:val="CommentText"/>
      </w:pPr>
      <w:r>
        <w:t xml:space="preserve">Is this more about her ‘animal rights’  perspective blinds her? Or lack of her understanding of seriousness of matters at hand?  [in this case – lack of evidence to support her argument, lack of understanding of what implications it will have for women’s health, lack of understanding if the PSUs have capacities to produce the required quantum of  oxytocin; lack of understanding that PSU manufactured medicine could also be smuggled out to continue to the abuse of oxytocin. </w:t>
      </w:r>
    </w:p>
    <w:p w14:paraId="279B9A26" w14:textId="77777777" w:rsidR="00681690" w:rsidRDefault="00681690" w:rsidP="00681690">
      <w:pPr>
        <w:pStyle w:val="CommentText"/>
      </w:pPr>
    </w:p>
    <w:p w14:paraId="17756A2A" w14:textId="77777777" w:rsidR="00681690" w:rsidRDefault="00681690" w:rsidP="00681690">
      <w:pPr>
        <w:pStyle w:val="CommentText"/>
      </w:pPr>
    </w:p>
  </w:comment>
  <w:comment w:id="10" w:author="renu khanna" w:date="2019-02-10T11:38:00Z" w:initials="rk">
    <w:p w14:paraId="0E76963E" w14:textId="77777777" w:rsidR="00681690" w:rsidRDefault="00681690" w:rsidP="00681690">
      <w:pPr>
        <w:pStyle w:val="CommentText"/>
      </w:pPr>
      <w:r>
        <w:rPr>
          <w:rStyle w:val="CommentReference"/>
        </w:rPr>
        <w:annotationRef/>
      </w:r>
      <w:r>
        <w:t>She doesn’t per se issue GRs. Yes to other comments.</w:t>
      </w:r>
    </w:p>
    <w:p w14:paraId="766E78D9" w14:textId="77777777" w:rsidR="00681690" w:rsidRDefault="00681690" w:rsidP="00681690">
      <w:pPr>
        <w:pStyle w:val="CommentText"/>
      </w:pPr>
      <w:r>
        <w:t xml:space="preserve">There is no evidence she does not understand. If she did not understand, she would have  pitched for a total ban. Now she has settled for preference to a PSU. I would rather let the events speak for themselves. WE cannot say the </w:t>
      </w:r>
      <w:proofErr w:type="spellStart"/>
      <w:r>
        <w:t>babus</w:t>
      </w:r>
      <w:proofErr w:type="spellEnd"/>
      <w:r>
        <w:t xml:space="preserve"> catapulted completely as the final decision to shift to a PSU is because of bureaucratic </w:t>
      </w:r>
      <w:proofErr w:type="spellStart"/>
      <w:r>
        <w:t>notings</w:t>
      </w:r>
      <w:proofErr w:type="spellEnd"/>
      <w:r>
        <w:t xml:space="preserve"> in the light of ministerial onslaught. </w:t>
      </w:r>
    </w:p>
  </w:comment>
  <w:comment w:id="11" w:author="Reviewer 1" w:date="2019-02-05T14:01:00Z" w:initials="M">
    <w:p w14:paraId="071F231B" w14:textId="77777777" w:rsidR="00681690" w:rsidRDefault="00681690" w:rsidP="00681690">
      <w:pPr>
        <w:pStyle w:val="CommentText"/>
      </w:pPr>
      <w:r>
        <w:rPr>
          <w:rStyle w:val="CommentReference"/>
        </w:rPr>
        <w:annotationRef/>
      </w:r>
      <w:r>
        <w:rPr>
          <w:rStyle w:val="CommentReference"/>
        </w:rPr>
        <w:annotationRef/>
      </w:r>
      <w:r>
        <w:t>?? full form</w:t>
      </w:r>
    </w:p>
    <w:p w14:paraId="50928977" w14:textId="77777777" w:rsidR="00681690" w:rsidRDefault="00681690" w:rsidP="00681690">
      <w:pPr>
        <w:pStyle w:val="CommentText"/>
      </w:pPr>
    </w:p>
  </w:comment>
  <w:comment w:id="12" w:author="Reviewer 1" w:date="2019-02-05T14:02:00Z" w:initials="M">
    <w:p w14:paraId="20B07F16" w14:textId="77777777" w:rsidR="00681690" w:rsidRDefault="00681690" w:rsidP="00681690">
      <w:pPr>
        <w:pStyle w:val="CommentText"/>
      </w:pPr>
      <w:r>
        <w:rPr>
          <w:rStyle w:val="CommentReference"/>
        </w:rPr>
        <w:annotationRef/>
      </w:r>
      <w:r>
        <w:t xml:space="preserve">Most section titles do not tell readers what the core issue or central point in the section. </w:t>
      </w:r>
    </w:p>
    <w:p w14:paraId="2E083534" w14:textId="77777777" w:rsidR="00681690" w:rsidRDefault="00681690" w:rsidP="00681690">
      <w:pPr>
        <w:pStyle w:val="CommentText"/>
      </w:pPr>
    </w:p>
  </w:comment>
  <w:comment w:id="13" w:author="Reviewer 1" w:date="2019-02-05T14:03:00Z" w:initials="M">
    <w:p w14:paraId="0BEDC6F0" w14:textId="77777777" w:rsidR="00681690" w:rsidRDefault="00681690" w:rsidP="00681690">
      <w:pPr>
        <w:pStyle w:val="CommentText"/>
      </w:pPr>
      <w:r>
        <w:rPr>
          <w:rStyle w:val="CommentReference"/>
        </w:rPr>
        <w:annotationRef/>
      </w:r>
      <w:r>
        <w:rPr>
          <w:rStyle w:val="CommentReference"/>
        </w:rPr>
        <w:annotationRef/>
      </w:r>
      <w:r>
        <w:t xml:space="preserve">This is very surprising! </w:t>
      </w:r>
    </w:p>
    <w:p w14:paraId="3BF59DC2" w14:textId="77777777" w:rsidR="00681690" w:rsidRDefault="00681690" w:rsidP="00681690">
      <w:pPr>
        <w:pStyle w:val="CommentText"/>
      </w:pPr>
    </w:p>
  </w:comment>
  <w:comment w:id="14" w:author="renu khanna" w:date="2019-02-10T11:49:00Z" w:initials="rk">
    <w:p w14:paraId="58B1FAA2" w14:textId="77777777" w:rsidR="00681690" w:rsidRDefault="00681690" w:rsidP="00681690">
      <w:pPr>
        <w:pStyle w:val="CommentText"/>
      </w:pPr>
      <w:r>
        <w:rPr>
          <w:rStyle w:val="CommentReference"/>
        </w:rPr>
        <w:annotationRef/>
      </w:r>
      <w:r>
        <w:t>Yes! But we do not know whether the judge wanted to please the powers that be</w:t>
      </w:r>
    </w:p>
  </w:comment>
  <w:comment w:id="15" w:author="Reviewer 1" w:date="2019-02-05T14:03:00Z" w:initials="M">
    <w:p w14:paraId="3EE90CEA" w14:textId="77777777" w:rsidR="00681690" w:rsidRDefault="00681690" w:rsidP="00681690">
      <w:pPr>
        <w:pStyle w:val="CommentText"/>
      </w:pPr>
      <w:r>
        <w:rPr>
          <w:rStyle w:val="CommentReference"/>
        </w:rPr>
        <w:annotationRef/>
      </w:r>
      <w:r>
        <w:t>Could this be made more specific?</w:t>
      </w:r>
    </w:p>
  </w:comment>
  <w:comment w:id="16" w:author="renu khanna" w:date="2019-02-10T12:47:00Z" w:initials="rk">
    <w:p w14:paraId="0DA154B6" w14:textId="77777777" w:rsidR="00681690" w:rsidRDefault="00681690" w:rsidP="00681690">
      <w:pPr>
        <w:pStyle w:val="CommentText"/>
      </w:pPr>
      <w:r>
        <w:rPr>
          <w:rStyle w:val="CommentReference"/>
        </w:rPr>
        <w:annotationRef/>
      </w:r>
      <w:r>
        <w:t xml:space="preserve">I am not clear how to – do suggest;  the issues are many and we are discussing a few </w:t>
      </w:r>
    </w:p>
  </w:comment>
  <w:comment w:id="17" w:author="Reviewer 1" w:date="2019-02-05T14:05:00Z" w:initials="M">
    <w:p w14:paraId="013B8C95" w14:textId="77777777" w:rsidR="00681690" w:rsidRDefault="00681690" w:rsidP="00681690">
      <w:pPr>
        <w:pStyle w:val="CommentText"/>
      </w:pPr>
      <w:r>
        <w:rPr>
          <w:rStyle w:val="CommentReference"/>
        </w:rPr>
        <w:annotationRef/>
      </w:r>
      <w:r>
        <w:t xml:space="preserve">It will be very helpful to have closing section. </w:t>
      </w:r>
    </w:p>
    <w:p w14:paraId="648CE806" w14:textId="77777777" w:rsidR="00681690" w:rsidRDefault="00681690" w:rsidP="00681690">
      <w:pPr>
        <w:pStyle w:val="CommentText"/>
      </w:pPr>
    </w:p>
    <w:p w14:paraId="0CAE1B5B" w14:textId="77777777" w:rsidR="00681690" w:rsidRDefault="00681690" w:rsidP="00681690">
      <w:pPr>
        <w:pStyle w:val="CommentText"/>
      </w:pPr>
      <w:r>
        <w:t xml:space="preserve">Could be a ‘conclusion’  or  ‘closing remarks’ as take </w:t>
      </w:r>
      <w:proofErr w:type="spellStart"/>
      <w:r>
        <w:t>aways</w:t>
      </w:r>
      <w:proofErr w:type="spellEnd"/>
      <w:r>
        <w:t xml:space="preserve">: </w:t>
      </w:r>
    </w:p>
    <w:p w14:paraId="0E5C2397" w14:textId="77777777" w:rsidR="00681690" w:rsidRDefault="00681690" w:rsidP="00681690">
      <w:pPr>
        <w:pStyle w:val="CommentText"/>
      </w:pPr>
    </w:p>
    <w:p w14:paraId="7FCE0DCD" w14:textId="77777777" w:rsidR="00681690" w:rsidRDefault="00681690" w:rsidP="00681690">
      <w:pPr>
        <w:pStyle w:val="CommentText"/>
        <w:numPr>
          <w:ilvl w:val="0"/>
          <w:numId w:val="1"/>
        </w:numPr>
      </w:pPr>
      <w:r>
        <w:t xml:space="preserve"> Ill-informed parliamentarians, and other important government offices such as PMO, and </w:t>
      </w:r>
      <w:proofErr w:type="spellStart"/>
      <w:r>
        <w:t>Niti</w:t>
      </w:r>
      <w:proofErr w:type="spellEnd"/>
      <w:r>
        <w:t xml:space="preserve"> </w:t>
      </w:r>
      <w:proofErr w:type="spellStart"/>
      <w:r>
        <w:t>Ayog</w:t>
      </w:r>
      <w:proofErr w:type="spellEnd"/>
    </w:p>
    <w:p w14:paraId="1EF46949" w14:textId="77777777" w:rsidR="00681690" w:rsidRDefault="00681690" w:rsidP="00681690">
      <w:pPr>
        <w:pStyle w:val="CommentText"/>
        <w:numPr>
          <w:ilvl w:val="0"/>
          <w:numId w:val="1"/>
        </w:numPr>
      </w:pPr>
      <w:r>
        <w:t>Misplaced priorities  and/or confusion about priorities (animal well-being Vs women’s health)</w:t>
      </w:r>
    </w:p>
    <w:p w14:paraId="2177DA15" w14:textId="77777777" w:rsidR="00681690" w:rsidRDefault="00681690" w:rsidP="00681690">
      <w:pPr>
        <w:pStyle w:val="CommentText"/>
        <w:numPr>
          <w:ilvl w:val="0"/>
          <w:numId w:val="1"/>
        </w:numPr>
      </w:pPr>
      <w:r>
        <w:t xml:space="preserve"> Dismissing the evidence or relying on shoddy data to implement the ban</w:t>
      </w:r>
    </w:p>
    <w:p w14:paraId="0DF612D3" w14:textId="77777777" w:rsidR="00681690" w:rsidRDefault="00681690" w:rsidP="00681690">
      <w:pPr>
        <w:pStyle w:val="CommentText"/>
        <w:numPr>
          <w:ilvl w:val="0"/>
          <w:numId w:val="1"/>
        </w:numPr>
      </w:pPr>
      <w:r>
        <w:t xml:space="preserve">Ignoring implication of entrusting the entire production of oxytocin with a PSU which did not have experience and therefore risking the supply of oxytocin </w:t>
      </w:r>
    </w:p>
    <w:p w14:paraId="343CEF29" w14:textId="77777777" w:rsidR="00681690" w:rsidRDefault="00681690" w:rsidP="00681690">
      <w:pPr>
        <w:pStyle w:val="CommentText"/>
        <w:numPr>
          <w:ilvl w:val="0"/>
          <w:numId w:val="1"/>
        </w:numPr>
      </w:pPr>
      <w:r>
        <w:t xml:space="preserve">Surprising move by the HP High Court to take a </w:t>
      </w:r>
      <w:proofErr w:type="spellStart"/>
      <w:r>
        <w:t>suo</w:t>
      </w:r>
      <w:proofErr w:type="spellEnd"/>
      <w:r>
        <w:t xml:space="preserve"> moto cognizance of a newspaper story.  [here some comment by author will be helpful in the manuscript. For example, is this a norm, how often it happens, and how a court has time to pick on this amidst several other more important concerns). </w:t>
      </w:r>
    </w:p>
    <w:p w14:paraId="20AFCED0" w14:textId="77777777" w:rsidR="00681690" w:rsidRDefault="00681690" w:rsidP="00681690">
      <w:pPr>
        <w:pStyle w:val="CommentText"/>
        <w:numPr>
          <w:ilvl w:val="0"/>
          <w:numId w:val="1"/>
        </w:numPr>
      </w:pPr>
      <w:r>
        <w:t xml:space="preserve">A broader point to me is also about ill-informed decisions or politically motivated decisions of this kind lead to taking up courts’ time which is quite a waste of their scarce time and burden on public resources.  Had this been handled well by PMO and </w:t>
      </w:r>
      <w:proofErr w:type="spellStart"/>
      <w:r>
        <w:t>Niti</w:t>
      </w:r>
      <w:proofErr w:type="spellEnd"/>
      <w:r>
        <w:t xml:space="preserve"> </w:t>
      </w:r>
      <w:proofErr w:type="spellStart"/>
      <w:r>
        <w:t>Ayog</w:t>
      </w:r>
      <w:proofErr w:type="spellEnd"/>
      <w:r>
        <w:t xml:space="preserve">, four year long struggle could have been averted entirely. </w:t>
      </w:r>
    </w:p>
    <w:p w14:paraId="139DD004" w14:textId="77777777" w:rsidR="00681690" w:rsidRDefault="00681690" w:rsidP="00681690">
      <w:pPr>
        <w:pStyle w:val="CommentText"/>
        <w:numPr>
          <w:ilvl w:val="0"/>
          <w:numId w:val="1"/>
        </w:numPr>
      </w:pPr>
      <w:r>
        <w:t xml:space="preserve">Unintended consequences – leading to a situation of introducing monopoly which in the long run may have adverse implications both for pricing and availability of the drug.  In this case it is all the more important that govt takes into account such potential adverse consequences of such ill-informed decisions given the fact that oxytocin is part of EML. What should be the obligations of the govt to ensure production and supply of EML meets the needs. </w:t>
      </w:r>
    </w:p>
    <w:p w14:paraId="2841E3C0" w14:textId="77777777" w:rsidR="00681690" w:rsidRDefault="00681690" w:rsidP="00681690">
      <w:pPr>
        <w:pStyle w:val="CommentText"/>
        <w:numPr>
          <w:ilvl w:val="0"/>
          <w:numId w:val="1"/>
        </w:numPr>
      </w:pPr>
      <w:r>
        <w:t xml:space="preserve"> And also saving on limited resources of the civil society which steered the legal redressal/legal activism. </w:t>
      </w:r>
    </w:p>
    <w:p w14:paraId="02CAFC5E" w14:textId="77777777" w:rsidR="00681690" w:rsidRDefault="00681690" w:rsidP="00681690">
      <w:pPr>
        <w:pStyle w:val="CommentText"/>
      </w:pPr>
    </w:p>
    <w:p w14:paraId="40405DCB" w14:textId="77777777" w:rsidR="00681690" w:rsidRDefault="00681690" w:rsidP="00681690">
      <w:pPr>
        <w:pStyle w:val="CommentText"/>
      </w:pPr>
      <w:r>
        <w:t xml:space="preserve">Author may have a different take on what could be the ‘closing remarks’.  For example, author may decide to focus on legal aspects and focus only the content of judgements. However, it still requires ‘closing remarks’.  </w:t>
      </w:r>
    </w:p>
  </w:comment>
  <w:comment w:id="18" w:author="renu khanna" w:date="2019-02-10T12:54:00Z" w:initials="rk">
    <w:p w14:paraId="005AFEB5" w14:textId="77777777" w:rsidR="00681690" w:rsidRDefault="00681690" w:rsidP="00681690">
      <w:pPr>
        <w:pStyle w:val="CommentText"/>
      </w:pPr>
      <w:r>
        <w:rPr>
          <w:rStyle w:val="CommentReference"/>
        </w:rPr>
        <w:annotationRef/>
      </w:r>
      <w:r>
        <w:t xml:space="preserve">All this is true but this is our opinion. We cannot call </w:t>
      </w:r>
      <w:proofErr w:type="spellStart"/>
      <w:r>
        <w:t>any body</w:t>
      </w:r>
      <w:proofErr w:type="spellEnd"/>
      <w:r>
        <w:t xml:space="preserve"> ill-formed etc as they have a right of appeal. The matter has to be fought on issues and logic although it is irritating for some of us as the issue is </w:t>
      </w:r>
      <w:proofErr w:type="spellStart"/>
      <w:r>
        <w:t>palbably</w:t>
      </w:r>
      <w:proofErr w:type="spellEnd"/>
      <w:r>
        <w:t xml:space="preserve"> obvious.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DBDC95" w15:done="0"/>
  <w15:commentEx w15:paraId="5EC3EF61" w15:done="0"/>
  <w15:commentEx w15:paraId="1DC33D46" w15:paraIdParent="5EC3EF61" w15:done="0"/>
  <w15:commentEx w15:paraId="42BCCC8A" w15:done="0"/>
  <w15:commentEx w15:paraId="5FFF9F06" w15:paraIdParent="42BCCC8A" w15:done="0"/>
  <w15:commentEx w15:paraId="6C84A1A9" w15:paraIdParent="42BCCC8A" w15:done="0"/>
  <w15:commentEx w15:paraId="373AD398" w15:done="0"/>
  <w15:commentEx w15:paraId="66D44A27" w15:paraIdParent="373AD398" w15:done="0"/>
  <w15:commentEx w15:paraId="17756A2A" w15:done="0"/>
  <w15:commentEx w15:paraId="766E78D9" w15:paraIdParent="17756A2A" w15:done="0"/>
  <w15:commentEx w15:paraId="50928977" w15:done="0"/>
  <w15:commentEx w15:paraId="2E083534" w15:done="0"/>
  <w15:commentEx w15:paraId="3BF59DC2" w15:done="0"/>
  <w15:commentEx w15:paraId="58B1FAA2" w15:paraIdParent="3BF59DC2" w15:done="0"/>
  <w15:commentEx w15:paraId="3EE90CEA" w15:done="0"/>
  <w15:commentEx w15:paraId="0DA154B6" w15:paraIdParent="3EE90CEA" w15:done="0"/>
  <w15:commentEx w15:paraId="40405DCB" w15:done="0"/>
  <w15:commentEx w15:paraId="005AFEB5" w15:paraIdParent="40405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DBDC95" w16cid:durableId="2004138F"/>
  <w16cid:commentId w16cid:paraId="5EC3EF61" w16cid:durableId="200413C2"/>
  <w16cid:commentId w16cid:paraId="1DC33D46" w16cid:durableId="200A89FA"/>
  <w16cid:commentId w16cid:paraId="42BCCC8A" w16cid:durableId="2004154D"/>
  <w16cid:commentId w16cid:paraId="5FFF9F06" w16cid:durableId="200A8B1A"/>
  <w16cid:commentId w16cid:paraId="6C84A1A9" w16cid:durableId="200A8B2C"/>
  <w16cid:commentId w16cid:paraId="373AD398" w16cid:durableId="20041480"/>
  <w16cid:commentId w16cid:paraId="66D44A27" w16cid:durableId="200A8AB7"/>
  <w16cid:commentId w16cid:paraId="17756A2A" w16cid:durableId="2004151F"/>
  <w16cid:commentId w16cid:paraId="766E78D9" w16cid:durableId="200A8BA9"/>
  <w16cid:commentId w16cid:paraId="50928977" w16cid:durableId="200415D3"/>
  <w16cid:commentId w16cid:paraId="2E083534" w16cid:durableId="200415EF"/>
  <w16cid:commentId w16cid:paraId="3BF59DC2" w16cid:durableId="2004161F"/>
  <w16cid:commentId w16cid:paraId="58B1FAA2" w16cid:durableId="200A8E4F"/>
  <w16cid:commentId w16cid:paraId="3EE90CEA" w16cid:durableId="20041639"/>
  <w16cid:commentId w16cid:paraId="0DA154B6" w16cid:durableId="200A9BFC"/>
  <w16cid:commentId w16cid:paraId="40405DCB" w16cid:durableId="20041699"/>
  <w16cid:commentId w16cid:paraId="005AFEB5" w16cid:durableId="200A9D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FD45D" w14:textId="77777777" w:rsidR="00C05C86" w:rsidRDefault="00C05C86" w:rsidP="00681690">
      <w:pPr>
        <w:spacing w:after="0" w:line="240" w:lineRule="auto"/>
      </w:pPr>
      <w:r>
        <w:separator/>
      </w:r>
    </w:p>
  </w:endnote>
  <w:endnote w:type="continuationSeparator" w:id="0">
    <w:p w14:paraId="5FD02079" w14:textId="77777777" w:rsidR="00C05C86" w:rsidRDefault="00C05C86" w:rsidP="00681690">
      <w:pPr>
        <w:spacing w:after="0" w:line="240" w:lineRule="auto"/>
      </w:pPr>
      <w:r>
        <w:continuationSeparator/>
      </w:r>
    </w:p>
  </w:endnote>
  <w:endnote w:id="1">
    <w:p w14:paraId="1592114C" w14:textId="77777777" w:rsidR="00681690" w:rsidRPr="00E354AB" w:rsidRDefault="00681690" w:rsidP="00681690">
      <w:pPr>
        <w:pStyle w:val="EndnoteText"/>
        <w:spacing w:line="276" w:lineRule="auto"/>
        <w:jc w:val="both"/>
        <w:rPr>
          <w:rFonts w:ascii="Times New Roman" w:hAnsi="Times New Roman" w:cs="Times New Roman"/>
        </w:rPr>
      </w:pPr>
      <w:r w:rsidRPr="00E354AB">
        <w:rPr>
          <w:rStyle w:val="EndnoteReference"/>
          <w:rFonts w:ascii="Times New Roman" w:hAnsi="Times New Roman" w:cs="Times New Roman"/>
        </w:rPr>
        <w:endnoteRef/>
      </w:r>
      <w:r w:rsidRPr="00E354AB">
        <w:rPr>
          <w:rFonts w:ascii="Times New Roman" w:hAnsi="Times New Roman" w:cs="Times New Roman"/>
        </w:rPr>
        <w:t xml:space="preserve"> See </w:t>
      </w:r>
      <w:hyperlink r:id="rId1" w:history="1">
        <w:r w:rsidRPr="00E354AB">
          <w:rPr>
            <w:rStyle w:val="Hyperlink"/>
            <w:rFonts w:ascii="Times New Roman" w:hAnsi="Times New Roman" w:cs="Times New Roman"/>
          </w:rPr>
          <w:t>http://lobis.nic.in/ddir/dhc/SRB/judgement/14-12-2018/SRB14122018CW60842018.pdf</w:t>
        </w:r>
      </w:hyperlink>
    </w:p>
    <w:p w14:paraId="1FAE3BFF" w14:textId="77777777" w:rsidR="00681690" w:rsidRPr="00E354AB" w:rsidRDefault="00681690" w:rsidP="00681690">
      <w:pPr>
        <w:pStyle w:val="EndnoteText"/>
        <w:spacing w:line="276" w:lineRule="auto"/>
        <w:jc w:val="both"/>
        <w:rPr>
          <w:rFonts w:ascii="Times New Roman" w:hAnsi="Times New Roman" w:cs="Times New Roman"/>
        </w:rPr>
      </w:pPr>
    </w:p>
  </w:endnote>
  <w:endnote w:id="2">
    <w:p w14:paraId="7A405FA1" w14:textId="77777777" w:rsidR="00681690" w:rsidRPr="00E354AB" w:rsidRDefault="00681690" w:rsidP="00681690">
      <w:pPr>
        <w:pStyle w:val="EndnoteText"/>
        <w:spacing w:line="276" w:lineRule="auto"/>
        <w:jc w:val="both"/>
        <w:rPr>
          <w:rFonts w:ascii="Times New Roman" w:hAnsi="Times New Roman" w:cs="Times New Roman"/>
        </w:rPr>
      </w:pPr>
      <w:r w:rsidRPr="00E354AB">
        <w:rPr>
          <w:rStyle w:val="EndnoteReference"/>
          <w:rFonts w:ascii="Times New Roman" w:hAnsi="Times New Roman" w:cs="Times New Roman"/>
        </w:rPr>
        <w:endnoteRef/>
      </w:r>
      <w:r w:rsidRPr="00E354AB">
        <w:rPr>
          <w:rFonts w:ascii="Times New Roman" w:hAnsi="Times New Roman" w:cs="Times New Roman"/>
        </w:rPr>
        <w:t xml:space="preserve"> Notification </w:t>
      </w:r>
      <w:r w:rsidRPr="00E354AB">
        <w:rPr>
          <w:rFonts w:ascii="Times New Roman" w:hAnsi="Times New Roman" w:cs="Times New Roman"/>
          <w:bCs/>
        </w:rPr>
        <w:t>G.S.R. 411(E)</w:t>
      </w:r>
      <w:r w:rsidRPr="00E354AB">
        <w:rPr>
          <w:rFonts w:ascii="Times New Roman" w:hAnsi="Times New Roman" w:cs="Times New Roman"/>
        </w:rPr>
        <w:t xml:space="preserve"> dated April 27, 2018 at </w:t>
      </w:r>
      <w:hyperlink r:id="rId2" w:history="1">
        <w:r w:rsidRPr="00E354AB">
          <w:rPr>
            <w:rStyle w:val="Hyperlink"/>
            <w:rFonts w:ascii="Times New Roman" w:hAnsi="Times New Roman" w:cs="Times New Roman"/>
          </w:rPr>
          <w:t>http://www.cdsco.nic.in/writereaddata/GSR%20411(E).pdf</w:t>
        </w:r>
      </w:hyperlink>
    </w:p>
    <w:p w14:paraId="12A193F5" w14:textId="77777777" w:rsidR="00681690" w:rsidRPr="00E354AB" w:rsidRDefault="00681690" w:rsidP="00681690">
      <w:pPr>
        <w:pStyle w:val="EndnoteText"/>
        <w:spacing w:line="276" w:lineRule="auto"/>
        <w:jc w:val="both"/>
        <w:rPr>
          <w:rFonts w:ascii="Times New Roman" w:hAnsi="Times New Roman" w:cs="Times New Roman"/>
        </w:rPr>
      </w:pPr>
      <w:r w:rsidRPr="00E354AB">
        <w:rPr>
          <w:rFonts w:ascii="Times New Roman" w:hAnsi="Times New Roman" w:cs="Times New Roman"/>
        </w:rPr>
        <w:t xml:space="preserve"> </w:t>
      </w:r>
    </w:p>
  </w:endnote>
  <w:endnote w:id="3">
    <w:p w14:paraId="5BB5EA34" w14:textId="77777777" w:rsidR="00681690" w:rsidRPr="00E354AB" w:rsidRDefault="00681690" w:rsidP="00681690">
      <w:pPr>
        <w:jc w:val="both"/>
        <w:rPr>
          <w:rFonts w:ascii="Times New Roman" w:eastAsia="Times New Roman" w:hAnsi="Times New Roman" w:cs="Times New Roman"/>
          <w:sz w:val="20"/>
          <w:lang w:eastAsia="en-IN"/>
        </w:rPr>
      </w:pPr>
      <w:r w:rsidRPr="00E354AB">
        <w:rPr>
          <w:rStyle w:val="EndnoteReference"/>
          <w:rFonts w:ascii="Times New Roman" w:hAnsi="Times New Roman" w:cs="Times New Roman"/>
          <w:sz w:val="20"/>
        </w:rPr>
        <w:endnoteRef/>
      </w:r>
      <w:r w:rsidRPr="00E354AB">
        <w:rPr>
          <w:rFonts w:ascii="Times New Roman" w:hAnsi="Times New Roman" w:cs="Times New Roman"/>
          <w:sz w:val="20"/>
        </w:rPr>
        <w:t xml:space="preserve"> </w:t>
      </w:r>
      <w:r w:rsidRPr="00E354AB">
        <w:rPr>
          <w:rFonts w:ascii="Times New Roman" w:eastAsia="Times New Roman" w:hAnsi="Times New Roman" w:cs="Times New Roman"/>
          <w:sz w:val="20"/>
          <w:lang w:eastAsia="en-IN"/>
        </w:rPr>
        <w:t xml:space="preserve">RGI (2006) Maternal Mortality in India. 1997–2003: Trends, Causes and Risk Factors, Office of the Registrar General &amp; Census Commissioner, India, New Delhi. </w:t>
      </w:r>
    </w:p>
    <w:p w14:paraId="6CE6C2AD" w14:textId="77777777" w:rsidR="00681690" w:rsidRPr="00E354AB" w:rsidRDefault="00681690" w:rsidP="00681690">
      <w:pPr>
        <w:pStyle w:val="EndnoteText"/>
        <w:spacing w:line="276" w:lineRule="auto"/>
        <w:jc w:val="both"/>
        <w:rPr>
          <w:rFonts w:ascii="Times New Roman" w:hAnsi="Times New Roman" w:cs="Times New Roman"/>
        </w:rPr>
      </w:pPr>
      <w:r w:rsidRPr="00E354AB">
        <w:rPr>
          <w:rFonts w:ascii="Times New Roman" w:hAnsi="Times New Roman" w:cs="Times New Roman"/>
          <w:lang w:val="en-GB"/>
        </w:rPr>
        <w:t>Sample Registration System: Special bulletin on maternal mortality in India, 2014-16. New Delhi: Registrar General, India; 2018.</w:t>
      </w:r>
    </w:p>
  </w:endnote>
  <w:endnote w:id="4">
    <w:p w14:paraId="6BC7555D" w14:textId="77777777" w:rsidR="00681690" w:rsidRDefault="00681690" w:rsidP="00681690">
      <w:pPr>
        <w:pStyle w:val="EndnoteText"/>
        <w:spacing w:line="276" w:lineRule="auto"/>
        <w:rPr>
          <w:rFonts w:ascii="Times New Roman" w:hAnsi="Times New Roman" w:cs="Times New Roman"/>
        </w:rPr>
      </w:pPr>
    </w:p>
    <w:p w14:paraId="5922CDFD" w14:textId="77777777" w:rsidR="00681690" w:rsidRPr="00E354AB" w:rsidRDefault="00681690" w:rsidP="00681690">
      <w:pPr>
        <w:pStyle w:val="EndnoteText"/>
        <w:spacing w:line="276" w:lineRule="auto"/>
        <w:rPr>
          <w:rFonts w:ascii="Times New Roman" w:hAnsi="Times New Roman" w:cs="Times New Roman"/>
        </w:rPr>
      </w:pPr>
      <w:r w:rsidRPr="00E354AB">
        <w:rPr>
          <w:rStyle w:val="EndnoteReference"/>
          <w:rFonts w:ascii="Times New Roman" w:hAnsi="Times New Roman" w:cs="Times New Roman"/>
        </w:rPr>
        <w:endnoteRef/>
      </w:r>
      <w:r w:rsidRPr="00E354AB">
        <w:rPr>
          <w:rFonts w:ascii="Times New Roman" w:hAnsi="Times New Roman" w:cs="Times New Roman"/>
        </w:rPr>
        <w:t xml:space="preserve"> </w:t>
      </w:r>
      <w:r w:rsidRPr="00E354AB">
        <w:rPr>
          <w:rFonts w:ascii="Times New Roman" w:hAnsi="Times New Roman" w:cs="Times New Roman"/>
        </w:rPr>
        <w:t>op.cit.</w:t>
      </w:r>
      <w:r>
        <w:rPr>
          <w:rFonts w:ascii="Times New Roman" w:hAnsi="Times New Roman" w:cs="Times New Roman"/>
        </w:rPr>
        <w:t xml:space="preserve"> endnote 3</w:t>
      </w:r>
    </w:p>
    <w:p w14:paraId="274550D5" w14:textId="77777777" w:rsidR="00681690" w:rsidRPr="00E354AB" w:rsidRDefault="00681690" w:rsidP="00681690">
      <w:pPr>
        <w:pStyle w:val="EndnoteText"/>
        <w:spacing w:line="276" w:lineRule="auto"/>
        <w:rPr>
          <w:rFonts w:ascii="Times New Roman" w:hAnsi="Times New Roman" w:cs="Times New Roman"/>
        </w:rPr>
      </w:pPr>
    </w:p>
  </w:endnote>
  <w:endnote w:id="5">
    <w:p w14:paraId="293AC0C4" w14:textId="77777777" w:rsidR="00681690" w:rsidRPr="00E354AB" w:rsidRDefault="00681690" w:rsidP="00681690">
      <w:pPr>
        <w:jc w:val="both"/>
        <w:rPr>
          <w:rFonts w:ascii="Times New Roman" w:hAnsi="Times New Roman" w:cs="Times New Roman"/>
          <w:sz w:val="20"/>
        </w:rPr>
      </w:pPr>
      <w:r w:rsidRPr="00E354AB">
        <w:rPr>
          <w:rStyle w:val="EndnoteReference"/>
          <w:rFonts w:ascii="Times New Roman" w:hAnsi="Times New Roman" w:cs="Times New Roman"/>
          <w:sz w:val="20"/>
        </w:rPr>
        <w:endnoteRef/>
      </w:r>
      <w:r w:rsidRPr="00E354AB">
        <w:rPr>
          <w:rFonts w:ascii="Times New Roman" w:hAnsi="Times New Roman" w:cs="Times New Roman"/>
          <w:sz w:val="20"/>
        </w:rPr>
        <w:t xml:space="preserve"> </w:t>
      </w:r>
      <w:r w:rsidRPr="00E354AB">
        <w:rPr>
          <w:rFonts w:ascii="Times New Roman" w:eastAsia="Batang" w:hAnsi="Times New Roman" w:cs="Times New Roman"/>
          <w:sz w:val="20"/>
        </w:rPr>
        <w:t xml:space="preserve">World Health Organization. WHO recommendations for the prevention and treatment of postpartum </w:t>
      </w:r>
      <w:r w:rsidRPr="00E354AB">
        <w:rPr>
          <w:rFonts w:ascii="Times New Roman" w:eastAsia="Batang" w:hAnsi="Times New Roman" w:cs="Times New Roman"/>
          <w:sz w:val="20"/>
        </w:rPr>
        <w:t>haemorrhage. World Health Organization, 2012;  Maternal Health Division, Ministry of Heath and Family Welfare. Guidance note on use of uterotonics during labour, Government of India, 2015; Maternal Health Division, Ministry of Heath and Family Welfare. Guidelines for Antenatal Care and Skilled Attendance at Birth by ANMs/LHVs/SNs Government of India, 2010.</w:t>
      </w:r>
    </w:p>
  </w:endnote>
  <w:endnote w:id="6">
    <w:p w14:paraId="4E01DA52" w14:textId="77777777" w:rsidR="00681690" w:rsidRPr="00E354AB" w:rsidRDefault="00681690" w:rsidP="00681690">
      <w:pPr>
        <w:pStyle w:val="EndnoteText"/>
        <w:spacing w:line="276" w:lineRule="auto"/>
        <w:jc w:val="both"/>
        <w:rPr>
          <w:rFonts w:ascii="Times New Roman" w:hAnsi="Times New Roman" w:cs="Times New Roman"/>
        </w:rPr>
      </w:pPr>
      <w:r w:rsidRPr="00E354AB">
        <w:rPr>
          <w:rStyle w:val="EndnoteReference"/>
          <w:rFonts w:ascii="Times New Roman" w:hAnsi="Times New Roman" w:cs="Times New Roman"/>
        </w:rPr>
        <w:endnoteRef/>
      </w:r>
      <w:r w:rsidRPr="00E354AB">
        <w:rPr>
          <w:rFonts w:ascii="Times New Roman" w:hAnsi="Times New Roman" w:cs="Times New Roman"/>
        </w:rPr>
        <w:t xml:space="preserve"> Results paraphrased from:</w:t>
      </w:r>
    </w:p>
    <w:p w14:paraId="382161B1" w14:textId="77777777" w:rsidR="00681690" w:rsidRPr="00E354AB" w:rsidRDefault="00681690" w:rsidP="00681690">
      <w:pPr>
        <w:pStyle w:val="EndnoteText"/>
        <w:spacing w:line="276" w:lineRule="auto"/>
        <w:jc w:val="both"/>
        <w:rPr>
          <w:rFonts w:ascii="Times New Roman" w:hAnsi="Times New Roman" w:cs="Times New Roman"/>
        </w:rPr>
      </w:pPr>
      <w:r w:rsidRPr="00E354AB">
        <w:rPr>
          <w:rFonts w:ascii="Times New Roman" w:eastAsia="Batang" w:hAnsi="Times New Roman" w:cs="Times New Roman"/>
          <w:bCs/>
          <w:iCs/>
        </w:rPr>
        <w:t>Pullakhandam R, Palika R, Vemula SR, Polasa K, Boindala S. Effect of Oxytocin injection to milching buffaloes on its content &amp; stability in milk. The Indian Journal of Medical Research. 2014;139(6):933-939).</w:t>
      </w:r>
    </w:p>
    <w:p w14:paraId="73AD9E56" w14:textId="77777777" w:rsidR="00681690" w:rsidRPr="00E354AB" w:rsidRDefault="00681690" w:rsidP="00681690">
      <w:pPr>
        <w:pStyle w:val="EndnoteText"/>
        <w:spacing w:line="276" w:lineRule="auto"/>
        <w:jc w:val="both"/>
        <w:rPr>
          <w:rFonts w:ascii="Times New Roman" w:hAnsi="Times New Roman" w:cs="Times New Roman"/>
        </w:rPr>
      </w:pPr>
      <w:r w:rsidRPr="00E354AB">
        <w:rPr>
          <w:rFonts w:ascii="Times New Roman" w:eastAsia="Batang" w:hAnsi="Times New Roman" w:cs="Times New Roman"/>
        </w:rPr>
        <w:t>Prakash, Bhukya &amp; Paul, Vijay &amp; Kliem, Heike &amp; Kulozik, Ulrich &amp; H D Meyer, Heinrich. 2009. Determination of Oxytocin in milk of cows administered Oxytocin. Analytica chimica acta. 636. 111-5. 10.1016/j.aca.2009.01.050).</w:t>
      </w:r>
    </w:p>
    <w:p w14:paraId="66A03DAE" w14:textId="77777777" w:rsidR="00681690" w:rsidRPr="00E354AB" w:rsidRDefault="00681690" w:rsidP="00681690">
      <w:pPr>
        <w:pStyle w:val="EndnoteText"/>
        <w:spacing w:line="276" w:lineRule="auto"/>
        <w:jc w:val="both"/>
        <w:rPr>
          <w:rFonts w:ascii="Times New Roman" w:hAnsi="Times New Roman" w:cs="Times New Roman"/>
        </w:rPr>
      </w:pPr>
    </w:p>
  </w:endnote>
  <w:endnote w:id="7">
    <w:p w14:paraId="2C6B208B" w14:textId="77777777" w:rsidR="00681690" w:rsidRPr="00E354AB" w:rsidRDefault="00681690" w:rsidP="00681690">
      <w:pPr>
        <w:pStyle w:val="EndnoteText"/>
        <w:spacing w:line="276" w:lineRule="auto"/>
        <w:jc w:val="both"/>
        <w:rPr>
          <w:rFonts w:ascii="Times New Roman" w:hAnsi="Times New Roman" w:cs="Times New Roman"/>
        </w:rPr>
      </w:pPr>
      <w:r w:rsidRPr="00E354AB">
        <w:rPr>
          <w:rStyle w:val="EndnoteReference"/>
          <w:rFonts w:ascii="Times New Roman" w:hAnsi="Times New Roman" w:cs="Times New Roman"/>
        </w:rPr>
        <w:endnoteRef/>
      </w:r>
      <w:r w:rsidRPr="00E354AB">
        <w:rPr>
          <w:rFonts w:ascii="Times New Roman" w:hAnsi="Times New Roman" w:cs="Times New Roman"/>
        </w:rPr>
        <w:t xml:space="preserve"> See endnote 2. </w:t>
      </w:r>
    </w:p>
  </w:endnote>
  <w:endnote w:id="8">
    <w:p w14:paraId="24CC304A" w14:textId="77777777" w:rsidR="00681690" w:rsidRPr="00E354AB" w:rsidRDefault="00681690" w:rsidP="00681690">
      <w:pPr>
        <w:pStyle w:val="Default"/>
        <w:spacing w:line="276" w:lineRule="auto"/>
        <w:jc w:val="both"/>
        <w:rPr>
          <w:sz w:val="20"/>
          <w:szCs w:val="20"/>
        </w:rPr>
      </w:pPr>
    </w:p>
    <w:p w14:paraId="48655EC6" w14:textId="77777777" w:rsidR="00681690" w:rsidRPr="00E354AB" w:rsidRDefault="00681690" w:rsidP="00681690">
      <w:pPr>
        <w:pStyle w:val="Default"/>
        <w:spacing w:line="276" w:lineRule="auto"/>
        <w:jc w:val="both"/>
        <w:rPr>
          <w:iCs/>
          <w:sz w:val="20"/>
          <w:szCs w:val="20"/>
        </w:rPr>
      </w:pPr>
      <w:r w:rsidRPr="00E354AB">
        <w:rPr>
          <w:rStyle w:val="EndnoteReference"/>
          <w:sz w:val="20"/>
          <w:szCs w:val="20"/>
        </w:rPr>
        <w:endnoteRef/>
      </w:r>
      <w:r w:rsidRPr="00E354AB">
        <w:rPr>
          <w:sz w:val="20"/>
          <w:szCs w:val="20"/>
        </w:rPr>
        <w:t xml:space="preserve"> Art 19 (1) (g) says: </w:t>
      </w:r>
      <w:r w:rsidRPr="00E354AB">
        <w:rPr>
          <w:iCs/>
          <w:sz w:val="20"/>
          <w:szCs w:val="20"/>
        </w:rPr>
        <w:t xml:space="preserve"> “All citizens shall have the right  to practice any profession, or to carry on any occupation, trade or business.”</w:t>
      </w:r>
    </w:p>
    <w:p w14:paraId="73F1AE3D" w14:textId="77777777" w:rsidR="00681690" w:rsidRPr="00E354AB" w:rsidRDefault="00681690" w:rsidP="00681690">
      <w:pPr>
        <w:pStyle w:val="Default"/>
        <w:spacing w:line="276" w:lineRule="auto"/>
        <w:jc w:val="both"/>
        <w:rPr>
          <w:iCs/>
          <w:sz w:val="20"/>
          <w:szCs w:val="20"/>
        </w:rPr>
      </w:pPr>
      <w:r w:rsidRPr="00E354AB">
        <w:rPr>
          <w:iCs/>
          <w:sz w:val="20"/>
          <w:szCs w:val="20"/>
        </w:rPr>
        <w:t xml:space="preserve">This right is subject to Art  19 (6): </w:t>
      </w:r>
    </w:p>
    <w:p w14:paraId="19B651F9" w14:textId="77777777" w:rsidR="00681690" w:rsidRPr="00E354AB" w:rsidRDefault="00681690" w:rsidP="00681690">
      <w:pPr>
        <w:pStyle w:val="Default"/>
        <w:spacing w:line="276" w:lineRule="auto"/>
        <w:jc w:val="both"/>
        <w:rPr>
          <w:iCs/>
          <w:sz w:val="20"/>
          <w:szCs w:val="20"/>
        </w:rPr>
      </w:pPr>
      <w:r w:rsidRPr="00E354AB">
        <w:rPr>
          <w:iCs/>
          <w:sz w:val="20"/>
          <w:szCs w:val="20"/>
        </w:rPr>
        <w:t>“Nothing in sub-clause (g) of the said clause shall affect the operation of any existing law in so far as it imposes, or prevent the State from making any law imposing, in the interests of the general public, reasonable restrictions on the exercise of the right conferred by the said sub-clause, and, in particular, nothing in the said  clause shall affect the operation of any existing law in so far as it relates to, or prevent the State from making any law relating to:</w:t>
      </w:r>
    </w:p>
    <w:p w14:paraId="02738205" w14:textId="77777777" w:rsidR="00681690" w:rsidRPr="00E354AB" w:rsidRDefault="00681690" w:rsidP="00681690">
      <w:pPr>
        <w:pStyle w:val="Default"/>
        <w:spacing w:line="276" w:lineRule="auto"/>
        <w:jc w:val="both"/>
        <w:rPr>
          <w:iCs/>
          <w:sz w:val="20"/>
          <w:szCs w:val="20"/>
        </w:rPr>
      </w:pPr>
      <w:r w:rsidRPr="00E354AB">
        <w:rPr>
          <w:iCs/>
          <w:sz w:val="20"/>
          <w:szCs w:val="20"/>
        </w:rPr>
        <w:t>(</w:t>
      </w:r>
      <w:r w:rsidRPr="00E354AB">
        <w:rPr>
          <w:iCs/>
          <w:sz w:val="20"/>
          <w:szCs w:val="20"/>
        </w:rPr>
        <w:t xml:space="preserve">i) the professional or technical qualifications necessary for practicing any profession or carrying on any occupation, trade or business, or </w:t>
      </w:r>
    </w:p>
    <w:p w14:paraId="244FB503" w14:textId="77777777" w:rsidR="00681690" w:rsidRPr="00E354AB" w:rsidRDefault="00681690" w:rsidP="00681690">
      <w:pPr>
        <w:pStyle w:val="Default"/>
        <w:spacing w:line="276" w:lineRule="auto"/>
        <w:jc w:val="both"/>
        <w:rPr>
          <w:iCs/>
          <w:sz w:val="20"/>
          <w:szCs w:val="20"/>
        </w:rPr>
      </w:pPr>
      <w:r w:rsidRPr="00E354AB">
        <w:rPr>
          <w:iCs/>
          <w:sz w:val="20"/>
          <w:szCs w:val="20"/>
        </w:rPr>
        <w:t>(ii) the carrying on by the State, or by a corporation owned or controlled by the State, of any trade, business, industry or service, whether to the exclusion, complete or par</w:t>
      </w:r>
      <w:r>
        <w:rPr>
          <w:iCs/>
          <w:sz w:val="20"/>
          <w:szCs w:val="20"/>
        </w:rPr>
        <w:t>tial of citizens or otherwise.</w:t>
      </w:r>
    </w:p>
    <w:p w14:paraId="20DFFA9A" w14:textId="77777777" w:rsidR="00681690" w:rsidRPr="00E354AB" w:rsidRDefault="00681690" w:rsidP="00681690">
      <w:pPr>
        <w:pStyle w:val="EndnoteText"/>
        <w:spacing w:line="276" w:lineRule="auto"/>
        <w:jc w:val="both"/>
        <w:rPr>
          <w:rFonts w:ascii="Times New Roman" w:hAnsi="Times New Roman" w:cs="Times New Roman"/>
        </w:rPr>
      </w:pPr>
      <w:r w:rsidRPr="00E354AB">
        <w:rPr>
          <w:rFonts w:ascii="Times New Roman" w:hAnsi="Times New Roman" w:cs="Times New Roman"/>
        </w:rPr>
        <w:t xml:space="preserve"> </w:t>
      </w:r>
    </w:p>
  </w:endnote>
  <w:endnote w:id="9">
    <w:p w14:paraId="4B9DAD80" w14:textId="77777777" w:rsidR="00681690" w:rsidRPr="00E354AB" w:rsidRDefault="00681690" w:rsidP="00681690">
      <w:pPr>
        <w:pStyle w:val="EndnoteText"/>
        <w:spacing w:line="276" w:lineRule="auto"/>
        <w:jc w:val="both"/>
        <w:rPr>
          <w:rFonts w:ascii="Times New Roman" w:hAnsi="Times New Roman" w:cs="Times New Roman"/>
        </w:rPr>
      </w:pPr>
      <w:r w:rsidRPr="00E354AB">
        <w:rPr>
          <w:rStyle w:val="EndnoteReference"/>
          <w:rFonts w:ascii="Times New Roman" w:hAnsi="Times New Roman" w:cs="Times New Roman"/>
        </w:rPr>
        <w:endnoteRef/>
      </w:r>
      <w:r w:rsidRPr="00E354AB">
        <w:rPr>
          <w:rFonts w:ascii="Times New Roman" w:hAnsi="Times New Roman" w:cs="Times New Roman"/>
        </w:rPr>
        <w:t xml:space="preserve"> For instance </w:t>
      </w:r>
      <w:r w:rsidRPr="00E354AB">
        <w:rPr>
          <w:rFonts w:ascii="Times New Roman" w:hAnsi="Times New Roman" w:cs="Times New Roman"/>
          <w:i/>
          <w:iCs/>
        </w:rPr>
        <w:t xml:space="preserve">M/s. </w:t>
      </w:r>
      <w:r w:rsidRPr="00E354AB">
        <w:rPr>
          <w:rFonts w:ascii="Times New Roman" w:hAnsi="Times New Roman" w:cs="Times New Roman"/>
          <w:i/>
          <w:iCs/>
        </w:rPr>
        <w:t xml:space="preserve">Daruka &amp; Co. v. UOI and Ors. </w:t>
      </w:r>
      <w:r w:rsidRPr="00E354AB">
        <w:rPr>
          <w:rFonts w:ascii="Times New Roman" w:hAnsi="Times New Roman" w:cs="Times New Roman"/>
        </w:rPr>
        <w:t>(1973AIR SC 2711)</w:t>
      </w:r>
    </w:p>
  </w:endnote>
  <w:endnote w:id="10">
    <w:p w14:paraId="7B15F33E" w14:textId="77777777" w:rsidR="00681690" w:rsidRDefault="00681690" w:rsidP="00681690">
      <w:pPr>
        <w:pStyle w:val="EndnoteText"/>
        <w:spacing w:line="276" w:lineRule="auto"/>
        <w:jc w:val="both"/>
        <w:rPr>
          <w:rFonts w:ascii="Times New Roman" w:hAnsi="Times New Roman" w:cs="Times New Roman"/>
        </w:rPr>
      </w:pPr>
    </w:p>
    <w:p w14:paraId="1421995F" w14:textId="77777777" w:rsidR="00681690" w:rsidRPr="00E354AB" w:rsidRDefault="00681690" w:rsidP="00681690">
      <w:pPr>
        <w:pStyle w:val="EndnoteText"/>
        <w:spacing w:line="276" w:lineRule="auto"/>
        <w:jc w:val="both"/>
        <w:rPr>
          <w:rFonts w:ascii="Times New Roman" w:hAnsi="Times New Roman" w:cs="Times New Roman"/>
        </w:rPr>
      </w:pPr>
      <w:r w:rsidRPr="00E354AB">
        <w:rPr>
          <w:rStyle w:val="EndnoteReference"/>
          <w:rFonts w:ascii="Times New Roman" w:hAnsi="Times New Roman" w:cs="Times New Roman"/>
        </w:rPr>
        <w:endnoteRef/>
      </w:r>
      <w:r w:rsidRPr="00E354AB">
        <w:rPr>
          <w:rFonts w:ascii="Times New Roman" w:hAnsi="Times New Roman" w:cs="Times New Roman"/>
        </w:rPr>
        <w:t xml:space="preserve"> Section 26A in the Drugs and Cosmetics Act, 1940 is about  Powers of Central Government to prohibit manufacture, etc., of drug and cosmetic in public interest:</w:t>
      </w:r>
    </w:p>
    <w:p w14:paraId="68059120" w14:textId="77777777" w:rsidR="00681690" w:rsidRPr="00E354AB" w:rsidRDefault="00681690" w:rsidP="00681690">
      <w:pPr>
        <w:pStyle w:val="EndnoteText"/>
        <w:spacing w:line="276" w:lineRule="auto"/>
        <w:jc w:val="both"/>
        <w:rPr>
          <w:rFonts w:ascii="Times New Roman" w:hAnsi="Times New Roman" w:cs="Times New Roman"/>
        </w:rPr>
      </w:pPr>
      <w:r w:rsidRPr="00E354AB">
        <w:rPr>
          <w:rFonts w:ascii="Times New Roman" w:hAnsi="Times New Roman" w:cs="Times New Roman"/>
        </w:rPr>
        <w:t>Without prejudice to any other provision contained in this Chapter, if the Central Government is satisfied, that the use of any drug or cosmetic is likely to involve any risk to human beings or animals or that any drug does not have the therapeutic value claimed or purported to be claimed for it or contains ingredients and in such quantity for which there is no therapeutic justification and that in the public interest it is necessary or expedient so to do, then, that Government may, by notification in the Official Gazette,</w:t>
      </w:r>
      <w:r w:rsidRPr="00E354AB">
        <w:rPr>
          <w:rFonts w:ascii="Times New Roman" w:hAnsi="Times New Roman" w:cs="Times New Roman"/>
          <w:vertAlign w:val="superscript"/>
        </w:rPr>
        <w:t xml:space="preserve"> </w:t>
      </w:r>
      <w:r w:rsidRPr="00E354AB">
        <w:rPr>
          <w:rFonts w:ascii="Times New Roman" w:hAnsi="Times New Roman" w:cs="Times New Roman"/>
        </w:rPr>
        <w:t>[regulate, restrict or prohibit] the manufacture, sale or distribution of such drug or cosmetic.]</w:t>
      </w:r>
    </w:p>
    <w:p w14:paraId="389D5AA2" w14:textId="77777777" w:rsidR="00681690" w:rsidRPr="00E354AB" w:rsidRDefault="00681690" w:rsidP="00681690">
      <w:pPr>
        <w:pStyle w:val="EndnoteText"/>
        <w:spacing w:line="276" w:lineRule="auto"/>
        <w:jc w:val="both"/>
        <w:rPr>
          <w:rFonts w:ascii="Times New Roman" w:hAnsi="Times New Roman" w:cs="Times New Roman"/>
        </w:rPr>
      </w:pPr>
    </w:p>
  </w:endnote>
  <w:endnote w:id="11">
    <w:p w14:paraId="07AAC2CF" w14:textId="77777777" w:rsidR="00681690" w:rsidRPr="00E354AB" w:rsidRDefault="00681690" w:rsidP="00681690">
      <w:pPr>
        <w:pStyle w:val="EndnoteText"/>
        <w:spacing w:line="276" w:lineRule="auto"/>
        <w:jc w:val="both"/>
        <w:rPr>
          <w:rFonts w:ascii="Times New Roman" w:hAnsi="Times New Roman" w:cs="Times New Roman"/>
        </w:rPr>
      </w:pPr>
      <w:r w:rsidRPr="00E354AB">
        <w:rPr>
          <w:rStyle w:val="EndnoteReference"/>
          <w:rFonts w:ascii="Times New Roman" w:hAnsi="Times New Roman" w:cs="Times New Roman"/>
        </w:rPr>
        <w:endnoteRef/>
      </w:r>
      <w:r w:rsidRPr="00E354AB">
        <w:rPr>
          <w:rFonts w:ascii="Times New Roman" w:hAnsi="Times New Roman" w:cs="Times New Roman"/>
        </w:rPr>
        <w:t>“</w:t>
      </w:r>
      <w:r w:rsidRPr="00E354AB">
        <w:rPr>
          <w:rFonts w:ascii="Times New Roman" w:hAnsi="Times New Roman" w:cs="Times New Roman"/>
          <w:iCs/>
        </w:rPr>
        <w:t xml:space="preserve">Recommendations for prevention and treatment of postpartum </w:t>
      </w:r>
      <w:r w:rsidRPr="00E354AB">
        <w:rPr>
          <w:rFonts w:ascii="Times New Roman" w:hAnsi="Times New Roman" w:cs="Times New Roman"/>
          <w:iCs/>
        </w:rPr>
        <w:t xml:space="preserve">haemorrhage‖ </w:t>
      </w:r>
      <w:r w:rsidRPr="00E354AB">
        <w:rPr>
          <w:rFonts w:ascii="Times New Roman" w:hAnsi="Times New Roman" w:cs="Times New Roman"/>
        </w:rPr>
        <w:t xml:space="preserve">(available on its website http://apps.who.int/iris/bitstream/handle/10665/75411/9789241548502_eng.pdf;jsessionid=2C60A698255DA85442B838185F6E4DF4?sequence=1) </w:t>
      </w:r>
    </w:p>
  </w:endnote>
  <w:endnote w:id="12">
    <w:p w14:paraId="3D003D64" w14:textId="77777777" w:rsidR="00681690" w:rsidRPr="00E354AB" w:rsidRDefault="00681690" w:rsidP="00681690">
      <w:pPr>
        <w:pStyle w:val="EndnoteText"/>
        <w:spacing w:line="276" w:lineRule="auto"/>
        <w:jc w:val="both"/>
        <w:rPr>
          <w:rFonts w:ascii="Times New Roman" w:hAnsi="Times New Roman" w:cs="Times New Roman"/>
        </w:rPr>
      </w:pPr>
    </w:p>
    <w:p w14:paraId="4D3FF607" w14:textId="77777777" w:rsidR="00681690" w:rsidRPr="00E354AB" w:rsidRDefault="00681690" w:rsidP="00681690">
      <w:pPr>
        <w:pStyle w:val="EndnoteText"/>
        <w:spacing w:line="276" w:lineRule="auto"/>
        <w:jc w:val="both"/>
        <w:rPr>
          <w:rFonts w:ascii="Times New Roman" w:hAnsi="Times New Roman" w:cs="Times New Roman"/>
        </w:rPr>
      </w:pPr>
      <w:r w:rsidRPr="00E354AB">
        <w:rPr>
          <w:rStyle w:val="EndnoteReference"/>
          <w:rFonts w:ascii="Times New Roman" w:hAnsi="Times New Roman" w:cs="Times New Roman"/>
        </w:rPr>
        <w:endnoteRef/>
      </w:r>
      <w:r w:rsidRPr="00E354AB">
        <w:rPr>
          <w:rFonts w:ascii="Times New Roman" w:hAnsi="Times New Roman" w:cs="Times New Roman"/>
        </w:rPr>
        <w:t xml:space="preserve"> As this essay is more on the legal aspects we are not elaborating  on the extent of  the poverty of the data submitted by the Government in justification of misuse of Oxytocin by </w:t>
      </w:r>
      <w:r w:rsidRPr="00E354AB">
        <w:rPr>
          <w:rFonts w:ascii="Times New Roman" w:hAnsi="Times New Roman" w:cs="Times New Roman"/>
        </w:rPr>
        <w:t xml:space="preserve">milch cattle  owners, the purported smuggling across national borders and the putative raids conducted by the authorities all over the country. But the referenced Paras in the judgment is a good start. </w:t>
      </w:r>
    </w:p>
  </w:endnote>
  <w:endnote w:id="13">
    <w:p w14:paraId="29CE3613" w14:textId="77777777" w:rsidR="00681690" w:rsidRPr="00E354AB" w:rsidRDefault="00681690" w:rsidP="00681690">
      <w:pPr>
        <w:pStyle w:val="EndnoteText"/>
        <w:spacing w:line="276" w:lineRule="auto"/>
        <w:jc w:val="both"/>
        <w:rPr>
          <w:rFonts w:ascii="Times New Roman" w:hAnsi="Times New Roman" w:cs="Times New Roman"/>
        </w:rPr>
      </w:pPr>
    </w:p>
    <w:p w14:paraId="66FD2DF9" w14:textId="77777777" w:rsidR="00681690" w:rsidRPr="00E354AB" w:rsidRDefault="00681690" w:rsidP="00681690">
      <w:pPr>
        <w:pStyle w:val="EndnoteText"/>
        <w:spacing w:line="276" w:lineRule="auto"/>
        <w:jc w:val="both"/>
        <w:rPr>
          <w:rFonts w:ascii="Times New Roman" w:hAnsi="Times New Roman" w:cs="Times New Roman"/>
        </w:rPr>
      </w:pPr>
      <w:r w:rsidRPr="00E354AB">
        <w:rPr>
          <w:rStyle w:val="EndnoteReference"/>
          <w:rFonts w:ascii="Times New Roman" w:hAnsi="Times New Roman" w:cs="Times New Roman"/>
        </w:rPr>
        <w:endnoteRef/>
      </w:r>
      <w:r w:rsidRPr="00E354AB">
        <w:rPr>
          <w:rFonts w:ascii="Times New Roman" w:hAnsi="Times New Roman" w:cs="Times New Roman"/>
        </w:rPr>
        <w:t xml:space="preserve"> Other case laws cited in this part of the judgement are: </w:t>
      </w:r>
      <w:r w:rsidRPr="00E354AB">
        <w:rPr>
          <w:rFonts w:ascii="Times New Roman" w:hAnsi="Times New Roman" w:cs="Times New Roman"/>
          <w:i/>
          <w:iCs/>
        </w:rPr>
        <w:t xml:space="preserve"> </w:t>
      </w:r>
      <w:r w:rsidRPr="00E354AB">
        <w:rPr>
          <w:rFonts w:ascii="Times New Roman" w:hAnsi="Times New Roman" w:cs="Times New Roman"/>
        </w:rPr>
        <w:t xml:space="preserve"> </w:t>
      </w:r>
      <w:r w:rsidRPr="00E354AB">
        <w:rPr>
          <w:rFonts w:ascii="Times New Roman" w:hAnsi="Times New Roman" w:cs="Times New Roman"/>
          <w:i/>
          <w:iCs/>
        </w:rPr>
        <w:t xml:space="preserve">Khoday Distilleries v State of Karnataka </w:t>
      </w:r>
      <w:r w:rsidRPr="00E354AB">
        <w:rPr>
          <w:rFonts w:ascii="Times New Roman" w:hAnsi="Times New Roman" w:cs="Times New Roman"/>
        </w:rPr>
        <w:t>1996 (10) SCC 304;</w:t>
      </w:r>
      <w:r w:rsidRPr="00E354AB">
        <w:rPr>
          <w:rFonts w:ascii="Times New Roman" w:hAnsi="Times New Roman" w:cs="Times New Roman"/>
          <w:i/>
          <w:iCs/>
        </w:rPr>
        <w:t xml:space="preserve"> Cellular Operators Association v Telecom Regulatory Authority of India </w:t>
      </w:r>
      <w:r w:rsidRPr="00E354AB">
        <w:rPr>
          <w:rFonts w:ascii="Times New Roman" w:hAnsi="Times New Roman" w:cs="Times New Roman"/>
        </w:rPr>
        <w:t>(2016) 7 SCC 703.</w:t>
      </w:r>
    </w:p>
  </w:endnote>
  <w:endnote w:id="14">
    <w:p w14:paraId="19D996B5" w14:textId="77777777" w:rsidR="00681690" w:rsidRDefault="00681690" w:rsidP="00681690">
      <w:pPr>
        <w:jc w:val="both"/>
        <w:rPr>
          <w:rFonts w:ascii="Times New Roman" w:hAnsi="Times New Roman" w:cs="Times New Roman"/>
          <w:sz w:val="20"/>
        </w:rPr>
      </w:pPr>
    </w:p>
    <w:p w14:paraId="4B774AC9" w14:textId="77777777" w:rsidR="00681690" w:rsidRPr="00E354AB" w:rsidRDefault="00681690" w:rsidP="00681690">
      <w:pPr>
        <w:jc w:val="both"/>
        <w:rPr>
          <w:rFonts w:ascii="Times New Roman" w:hAnsi="Times New Roman" w:cs="Times New Roman"/>
          <w:sz w:val="20"/>
        </w:rPr>
      </w:pPr>
      <w:r w:rsidRPr="00E354AB">
        <w:rPr>
          <w:rStyle w:val="EndnoteReference"/>
          <w:rFonts w:ascii="Times New Roman" w:hAnsi="Times New Roman" w:cs="Times New Roman"/>
          <w:sz w:val="20"/>
        </w:rPr>
        <w:endnoteRef/>
      </w:r>
      <w:r w:rsidRPr="00E354AB">
        <w:rPr>
          <w:rFonts w:ascii="Times New Roman" w:hAnsi="Times New Roman" w:cs="Times New Roman"/>
          <w:sz w:val="20"/>
        </w:rPr>
        <w:t xml:space="preserve">As held by the Supreme Court in </w:t>
      </w:r>
      <w:r w:rsidRPr="00E354AB">
        <w:rPr>
          <w:rFonts w:ascii="Times New Roman" w:hAnsi="Times New Roman" w:cs="Times New Roman"/>
          <w:i/>
          <w:iCs/>
          <w:sz w:val="20"/>
        </w:rPr>
        <w:t>Shimnit Utsch India (P) Ltd v West Bengal Transport Infrastructure Development Corporation Ltd &amp;Ors</w:t>
      </w:r>
      <w:r w:rsidRPr="00E354AB">
        <w:rPr>
          <w:rFonts w:ascii="Times New Roman" w:hAnsi="Times New Roman" w:cs="Times New Roman"/>
          <w:sz w:val="20"/>
        </w:rPr>
        <w:t xml:space="preserve">2010 (6) SCC 303. On Wednesbury reasonableness, see the discussion of Justices Bhat and Chawla in the judgement. </w:t>
      </w:r>
    </w:p>
    <w:p w14:paraId="3A7CE13A" w14:textId="77777777" w:rsidR="00681690" w:rsidRPr="00E354AB" w:rsidRDefault="00681690" w:rsidP="00681690">
      <w:pPr>
        <w:jc w:val="both"/>
        <w:rPr>
          <w:rFonts w:ascii="Times New Roman" w:hAnsi="Times New Roman" w:cs="Times New Roman"/>
          <w:sz w:val="20"/>
        </w:rPr>
      </w:pPr>
      <w:r w:rsidRPr="00E354AB">
        <w:rPr>
          <w:rFonts w:ascii="Times New Roman" w:hAnsi="Times New Roman" w:cs="Times New Roman"/>
          <w:sz w:val="20"/>
        </w:rPr>
        <w:t xml:space="preserve">Wednesbury unreasonableness is “ A standard of unreasonableness used in assessing an application for </w:t>
      </w:r>
      <w:r w:rsidRPr="00E354AB">
        <w:rPr>
          <w:rStyle w:val="coglossaryterm"/>
          <w:rFonts w:ascii="Times New Roman" w:hAnsi="Times New Roman" w:cs="Times New Roman"/>
          <w:sz w:val="20"/>
        </w:rPr>
        <w:t>judicial review</w:t>
      </w:r>
      <w:r w:rsidRPr="00E354AB">
        <w:rPr>
          <w:rFonts w:ascii="Times New Roman" w:hAnsi="Times New Roman" w:cs="Times New Roman"/>
          <w:sz w:val="20"/>
        </w:rPr>
        <w:t xml:space="preserve"> of a public authority's decision. A reasoning or decision is Wednesbury unreasonable (or irrational) if it is so unreasonable that no reasonable person acting reasonably could have made it (</w:t>
      </w:r>
      <w:r w:rsidRPr="00E354AB">
        <w:rPr>
          <w:rStyle w:val="Emphasis"/>
          <w:rFonts w:ascii="Times New Roman" w:hAnsi="Times New Roman" w:cs="Times New Roman"/>
          <w:sz w:val="20"/>
        </w:rPr>
        <w:t>Associated Provincial Picture Houses Ltd v Wednesbury Corporation (1948) 1 KB 223</w:t>
      </w:r>
      <w:r w:rsidRPr="00E354AB">
        <w:rPr>
          <w:rFonts w:ascii="Times New Roman" w:hAnsi="Times New Roman" w:cs="Times New Roman"/>
          <w:sz w:val="20"/>
        </w:rPr>
        <w:t>). The test is a different (and stricter) test than merely showing that the decision was unreasonable.” Source: https://uk.practicallaw.thomsonreuters.com/6-200-9152?transitionType=Default&amp;contextData=(sc.Default)&amp;firstPage=true&amp;comp=pluk&amp;bhcp=1</w:t>
      </w:r>
    </w:p>
  </w:endnote>
  <w:endnote w:id="15">
    <w:p w14:paraId="63D95099" w14:textId="77777777" w:rsidR="00681690" w:rsidRPr="00E354AB" w:rsidRDefault="00681690" w:rsidP="00681690">
      <w:pPr>
        <w:pStyle w:val="EndnoteText"/>
        <w:spacing w:line="276" w:lineRule="auto"/>
        <w:jc w:val="both"/>
        <w:rPr>
          <w:rFonts w:ascii="Times New Roman" w:hAnsi="Times New Roman" w:cs="Times New Roman"/>
        </w:rPr>
      </w:pPr>
      <w:r w:rsidRPr="00E354AB">
        <w:rPr>
          <w:rStyle w:val="EndnoteReference"/>
          <w:rFonts w:ascii="Times New Roman" w:hAnsi="Times New Roman" w:cs="Times New Roman"/>
        </w:rPr>
        <w:endnoteRef/>
      </w:r>
      <w:r w:rsidRPr="00E354AB">
        <w:rPr>
          <w:rFonts w:ascii="Times New Roman" w:hAnsi="Times New Roman" w:cs="Times New Roman"/>
        </w:rPr>
        <w:t xml:space="preserve"> Quoted in </w:t>
      </w:r>
      <w:r w:rsidRPr="00E354AB">
        <w:rPr>
          <w:rFonts w:ascii="Times New Roman" w:hAnsi="Times New Roman" w:cs="Times New Roman"/>
          <w:i/>
          <w:iCs/>
        </w:rPr>
        <w:t xml:space="preserve">Om Kumar v. Union of India </w:t>
      </w:r>
      <w:r w:rsidRPr="00E354AB">
        <w:rPr>
          <w:rFonts w:ascii="Times New Roman" w:hAnsi="Times New Roman" w:cs="Times New Roman"/>
        </w:rPr>
        <w:t>(2001) 2 SCC 386</w:t>
      </w:r>
    </w:p>
    <w:p w14:paraId="22F5F851" w14:textId="77777777" w:rsidR="00681690" w:rsidRPr="00E354AB" w:rsidRDefault="00681690" w:rsidP="00681690">
      <w:pPr>
        <w:pStyle w:val="EndnoteText"/>
        <w:spacing w:line="276" w:lineRule="auto"/>
        <w:jc w:val="both"/>
        <w:rPr>
          <w:rFonts w:ascii="Times New Roman" w:hAnsi="Times New Roman" w:cs="Times New Roman"/>
        </w:rPr>
      </w:pPr>
    </w:p>
  </w:endnote>
  <w:endnote w:id="16">
    <w:p w14:paraId="51440322" w14:textId="77777777" w:rsidR="00681690" w:rsidRPr="00E354AB" w:rsidRDefault="00681690" w:rsidP="00681690">
      <w:pPr>
        <w:pStyle w:val="EndnoteText"/>
        <w:spacing w:line="276" w:lineRule="auto"/>
        <w:jc w:val="both"/>
        <w:rPr>
          <w:rFonts w:ascii="Times New Roman" w:hAnsi="Times New Roman" w:cs="Times New Roman"/>
        </w:rPr>
      </w:pPr>
      <w:r w:rsidRPr="00E354AB">
        <w:rPr>
          <w:rStyle w:val="EndnoteReference"/>
          <w:rFonts w:ascii="Times New Roman" w:hAnsi="Times New Roman" w:cs="Times New Roman"/>
        </w:rPr>
        <w:endnoteRef/>
      </w:r>
      <w:r w:rsidRPr="00E354AB">
        <w:rPr>
          <w:rFonts w:ascii="Times New Roman" w:hAnsi="Times New Roman" w:cs="Times New Roman"/>
        </w:rPr>
        <w:t xml:space="preserve"> </w:t>
      </w:r>
      <w:r w:rsidRPr="00E354AB">
        <w:rPr>
          <w:rFonts w:ascii="Times New Roman" w:hAnsi="Times New Roman" w:cs="Times New Roman"/>
          <w:i/>
          <w:iCs/>
        </w:rPr>
        <w:t xml:space="preserve">Coimbatore District Central Coop. Bank v. Employees Association </w:t>
      </w:r>
      <w:r w:rsidRPr="00E354AB">
        <w:rPr>
          <w:rFonts w:ascii="Times New Roman" w:hAnsi="Times New Roman" w:cs="Times New Roman"/>
        </w:rPr>
        <w:t>(2007) 4 SCC 669</w:t>
      </w:r>
    </w:p>
    <w:p w14:paraId="393902AC" w14:textId="77777777" w:rsidR="00681690" w:rsidRPr="00E354AB" w:rsidRDefault="00681690" w:rsidP="00681690">
      <w:pPr>
        <w:pStyle w:val="EndnoteText"/>
        <w:spacing w:line="276" w:lineRule="auto"/>
        <w:jc w:val="both"/>
        <w:rPr>
          <w:rFonts w:ascii="Times New Roman" w:hAnsi="Times New Roman" w:cs="Times New Roman"/>
        </w:rPr>
      </w:pPr>
    </w:p>
  </w:endnote>
  <w:endnote w:id="17">
    <w:p w14:paraId="5B2859B9" w14:textId="77777777" w:rsidR="00681690" w:rsidRPr="00E354AB" w:rsidRDefault="00681690" w:rsidP="00681690">
      <w:pPr>
        <w:pStyle w:val="EndnoteText"/>
        <w:spacing w:line="276" w:lineRule="auto"/>
        <w:jc w:val="both"/>
        <w:rPr>
          <w:rFonts w:ascii="Times New Roman" w:hAnsi="Times New Roman" w:cs="Times New Roman"/>
        </w:rPr>
      </w:pPr>
      <w:r w:rsidRPr="00E354AB">
        <w:rPr>
          <w:rStyle w:val="EndnoteReference"/>
          <w:rFonts w:ascii="Times New Roman" w:hAnsi="Times New Roman" w:cs="Times New Roman"/>
        </w:rPr>
        <w:endnoteRef/>
      </w:r>
      <w:r w:rsidRPr="00E354AB">
        <w:rPr>
          <w:rFonts w:ascii="Times New Roman" w:hAnsi="Times New Roman" w:cs="Times New Roman"/>
        </w:rPr>
        <w:t xml:space="preserve"> Requoted from </w:t>
      </w:r>
      <w:r w:rsidRPr="00E354AB">
        <w:rPr>
          <w:rFonts w:ascii="Times New Roman" w:hAnsi="Times New Roman" w:cs="Times New Roman"/>
          <w:i/>
          <w:iCs/>
        </w:rPr>
        <w:t xml:space="preserve">Shri </w:t>
      </w:r>
      <w:r w:rsidRPr="00E354AB">
        <w:rPr>
          <w:rFonts w:ascii="Times New Roman" w:hAnsi="Times New Roman" w:cs="Times New Roman"/>
          <w:i/>
          <w:iCs/>
        </w:rPr>
        <w:t xml:space="preserve">Kihota Hollohon v. Mr. Zachilhu </w:t>
      </w:r>
      <w:r w:rsidRPr="00E354AB">
        <w:rPr>
          <w:rFonts w:ascii="Times New Roman" w:hAnsi="Times New Roman" w:cs="Times New Roman"/>
        </w:rPr>
        <w:t>AIR 1993 SC 412</w:t>
      </w:r>
    </w:p>
    <w:p w14:paraId="3606F4DC" w14:textId="77777777" w:rsidR="00681690" w:rsidRPr="00E354AB" w:rsidRDefault="00681690" w:rsidP="00681690">
      <w:pPr>
        <w:pStyle w:val="EndnoteText"/>
        <w:spacing w:line="276" w:lineRule="auto"/>
        <w:jc w:val="both"/>
        <w:rPr>
          <w:rFonts w:ascii="Times New Roman" w:hAnsi="Times New Roman" w:cs="Times New Roman"/>
        </w:rPr>
      </w:pPr>
    </w:p>
  </w:endnote>
  <w:endnote w:id="18">
    <w:p w14:paraId="43EC6FEB" w14:textId="77777777" w:rsidR="00681690" w:rsidRPr="00E354AB" w:rsidRDefault="00681690" w:rsidP="00681690">
      <w:pPr>
        <w:pStyle w:val="EndnoteText"/>
        <w:spacing w:line="276" w:lineRule="auto"/>
        <w:jc w:val="both"/>
        <w:rPr>
          <w:rFonts w:ascii="Times New Roman" w:hAnsi="Times New Roman" w:cs="Times New Roman"/>
        </w:rPr>
      </w:pPr>
      <w:r w:rsidRPr="00E354AB">
        <w:rPr>
          <w:rStyle w:val="EndnoteReference"/>
          <w:rFonts w:ascii="Times New Roman" w:hAnsi="Times New Roman" w:cs="Times New Roman"/>
        </w:rPr>
        <w:endnoteRef/>
      </w:r>
      <w:r w:rsidRPr="00E354AB">
        <w:rPr>
          <w:rFonts w:ascii="Times New Roman" w:hAnsi="Times New Roman" w:cs="Times New Roman"/>
        </w:rPr>
        <w:t xml:space="preserve">As quoted in  </w:t>
      </w:r>
      <w:r w:rsidRPr="003B5A6F">
        <w:rPr>
          <w:rFonts w:ascii="Times New Roman" w:hAnsi="Times New Roman" w:cs="Times New Roman"/>
          <w:i/>
          <w:iCs/>
        </w:rPr>
        <w:t>Collector of Central Excise, New Delhi v. Ballarpur Industries Ltd. 1989 (4) SCC 566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334917"/>
      <w:docPartObj>
        <w:docPartGallery w:val="Page Numbers (Bottom of Page)"/>
        <w:docPartUnique/>
      </w:docPartObj>
    </w:sdtPr>
    <w:sdtEndPr/>
    <w:sdtContent>
      <w:p w14:paraId="29B6DA3F" w14:textId="77777777" w:rsidR="00D552C1" w:rsidRDefault="00A713F4">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66DF6FD6" w14:textId="77777777" w:rsidR="00D552C1" w:rsidRDefault="00C05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EAF70" w14:textId="77777777" w:rsidR="00C05C86" w:rsidRDefault="00C05C86" w:rsidP="00681690">
      <w:pPr>
        <w:spacing w:after="0" w:line="240" w:lineRule="auto"/>
      </w:pPr>
      <w:r>
        <w:separator/>
      </w:r>
    </w:p>
  </w:footnote>
  <w:footnote w:type="continuationSeparator" w:id="0">
    <w:p w14:paraId="623C6BD4" w14:textId="77777777" w:rsidR="00C05C86" w:rsidRDefault="00C05C86" w:rsidP="00681690">
      <w:pPr>
        <w:spacing w:after="0" w:line="240" w:lineRule="auto"/>
      </w:pPr>
      <w:r>
        <w:continuationSeparator/>
      </w:r>
    </w:p>
  </w:footnote>
  <w:footnote w:id="1">
    <w:p w14:paraId="4004185C" w14:textId="77777777" w:rsidR="00681690" w:rsidRPr="00C65760" w:rsidRDefault="00681690" w:rsidP="00681690">
      <w:pPr>
        <w:pStyle w:val="FootnoteText"/>
        <w:jc w:val="both"/>
        <w:rPr>
          <w:rFonts w:ascii="Times New Roman" w:hAnsi="Times New Roman" w:cs="Times New Roman"/>
          <w:i/>
        </w:rPr>
      </w:pPr>
      <w:r w:rsidRPr="00C65760">
        <w:rPr>
          <w:rStyle w:val="FootnoteReference"/>
          <w:rFonts w:ascii="Times New Roman" w:hAnsi="Times New Roman" w:cs="Times New Roman"/>
          <w:i/>
        </w:rPr>
        <w:footnoteRef/>
      </w:r>
      <w:r w:rsidRPr="00C65760">
        <w:rPr>
          <w:rFonts w:ascii="Times New Roman" w:hAnsi="Times New Roman" w:cs="Times New Roman"/>
          <w:i/>
        </w:rPr>
        <w:t xml:space="preserve"> Author is affiliated with All-India Drug Action Network (AIDAN) and LOCOST, Vadodara. AIDAN was a petitioner in the Oxytocin matter in the Delhi High Court and gratefully  acknowledges role of AIDAN legal counsel Colin </w:t>
      </w:r>
      <w:proofErr w:type="spellStart"/>
      <w:r w:rsidRPr="00C65760">
        <w:rPr>
          <w:rFonts w:ascii="Times New Roman" w:hAnsi="Times New Roman" w:cs="Times New Roman"/>
          <w:i/>
        </w:rPr>
        <w:t>Consalves</w:t>
      </w:r>
      <w:proofErr w:type="spellEnd"/>
      <w:r w:rsidRPr="00C65760">
        <w:rPr>
          <w:rFonts w:ascii="Times New Roman" w:hAnsi="Times New Roman" w:cs="Times New Roman"/>
          <w:i/>
        </w:rPr>
        <w:t xml:space="preserve">.  An experienced senior community obstetrician/gynaecologist, who does not want to be named, along with AIDAN  colleagues Mira Shiva, Malini Aisola and the author were involved in the drafting of the petition and follow up.  Anant Phadke and Mira Shiva improved this essay with  comments on an earlier draft. Other acts of omission and commission are the author’s.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8A0C9F"/>
    <w:multiLevelType w:val="hybridMultilevel"/>
    <w:tmpl w:val="BB60E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viewer 1">
    <w15:presenceInfo w15:providerId="None" w15:userId="Reviewer 1"/>
  </w15:person>
  <w15:person w15:author="renu khanna">
    <w15:presenceInfo w15:providerId="Windows Live" w15:userId="e490e9b89ebfbe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numFmt w:val="chicago"/>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90"/>
    <w:rsid w:val="000D5DA5"/>
    <w:rsid w:val="00204B3E"/>
    <w:rsid w:val="00681690"/>
    <w:rsid w:val="00A713F4"/>
    <w:rsid w:val="00C05C86"/>
    <w:rsid w:val="00D45EAD"/>
    <w:rsid w:val="00DB7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C165"/>
  <w15:chartTrackingRefBased/>
  <w15:docId w15:val="{ABD72AFB-7593-4697-8BF5-4E9393B8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1690"/>
    <w:pPr>
      <w:spacing w:after="200" w:line="276" w:lineRule="auto"/>
    </w:pPr>
    <w:rPr>
      <w:rFonts w:eastAsiaTheme="minorEastAsia"/>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690"/>
    <w:rPr>
      <w:color w:val="0563C1" w:themeColor="hyperlink"/>
      <w:u w:val="single"/>
    </w:rPr>
  </w:style>
  <w:style w:type="paragraph" w:styleId="EndnoteText">
    <w:name w:val="endnote text"/>
    <w:basedOn w:val="Normal"/>
    <w:link w:val="EndnoteTextChar"/>
    <w:uiPriority w:val="99"/>
    <w:unhideWhenUsed/>
    <w:rsid w:val="00681690"/>
    <w:pPr>
      <w:spacing w:after="0" w:line="240" w:lineRule="auto"/>
    </w:pPr>
    <w:rPr>
      <w:sz w:val="20"/>
    </w:rPr>
  </w:style>
  <w:style w:type="character" w:customStyle="1" w:styleId="EndnoteTextChar">
    <w:name w:val="Endnote Text Char"/>
    <w:basedOn w:val="DefaultParagraphFont"/>
    <w:link w:val="EndnoteText"/>
    <w:uiPriority w:val="99"/>
    <w:rsid w:val="00681690"/>
    <w:rPr>
      <w:rFonts w:eastAsiaTheme="minorEastAsia"/>
      <w:sz w:val="20"/>
      <w:szCs w:val="20"/>
      <w:lang w:val="en-US" w:bidi="hi-IN"/>
    </w:rPr>
  </w:style>
  <w:style w:type="character" w:styleId="EndnoteReference">
    <w:name w:val="endnote reference"/>
    <w:basedOn w:val="DefaultParagraphFont"/>
    <w:uiPriority w:val="99"/>
    <w:semiHidden/>
    <w:unhideWhenUsed/>
    <w:rsid w:val="00681690"/>
    <w:rPr>
      <w:vertAlign w:val="superscript"/>
    </w:rPr>
  </w:style>
  <w:style w:type="paragraph" w:customStyle="1" w:styleId="Default">
    <w:name w:val="Default"/>
    <w:rsid w:val="00681690"/>
    <w:pPr>
      <w:autoSpaceDE w:val="0"/>
      <w:autoSpaceDN w:val="0"/>
      <w:adjustRightInd w:val="0"/>
      <w:spacing w:after="0" w:line="240" w:lineRule="auto"/>
    </w:pPr>
    <w:rPr>
      <w:rFonts w:ascii="Times New Roman" w:eastAsiaTheme="minorEastAsia" w:hAnsi="Times New Roman" w:cs="Times New Roman"/>
      <w:color w:val="000000"/>
      <w:sz w:val="24"/>
      <w:szCs w:val="24"/>
      <w:lang w:val="en-US" w:bidi="hi-IN"/>
    </w:rPr>
  </w:style>
  <w:style w:type="paragraph" w:styleId="Footer">
    <w:name w:val="footer"/>
    <w:basedOn w:val="Normal"/>
    <w:link w:val="FooterChar"/>
    <w:uiPriority w:val="99"/>
    <w:unhideWhenUsed/>
    <w:rsid w:val="00681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690"/>
    <w:rPr>
      <w:rFonts w:eastAsiaTheme="minorEastAsia"/>
      <w:szCs w:val="20"/>
      <w:lang w:val="en-US" w:bidi="hi-IN"/>
    </w:rPr>
  </w:style>
  <w:style w:type="character" w:customStyle="1" w:styleId="coglossaryterm">
    <w:name w:val="co_glossaryterm"/>
    <w:basedOn w:val="DefaultParagraphFont"/>
    <w:rsid w:val="00681690"/>
  </w:style>
  <w:style w:type="character" w:styleId="Emphasis">
    <w:name w:val="Emphasis"/>
    <w:basedOn w:val="DefaultParagraphFont"/>
    <w:uiPriority w:val="20"/>
    <w:qFormat/>
    <w:rsid w:val="00681690"/>
    <w:rPr>
      <w:i/>
      <w:iCs/>
    </w:rPr>
  </w:style>
  <w:style w:type="paragraph" w:styleId="FootnoteText">
    <w:name w:val="footnote text"/>
    <w:basedOn w:val="Normal"/>
    <w:link w:val="FootnoteTextChar"/>
    <w:uiPriority w:val="99"/>
    <w:semiHidden/>
    <w:unhideWhenUsed/>
    <w:rsid w:val="00681690"/>
    <w:pPr>
      <w:spacing w:after="0" w:line="240" w:lineRule="auto"/>
    </w:pPr>
    <w:rPr>
      <w:sz w:val="20"/>
    </w:rPr>
  </w:style>
  <w:style w:type="character" w:customStyle="1" w:styleId="FootnoteTextChar">
    <w:name w:val="Footnote Text Char"/>
    <w:basedOn w:val="DefaultParagraphFont"/>
    <w:link w:val="FootnoteText"/>
    <w:uiPriority w:val="99"/>
    <w:semiHidden/>
    <w:rsid w:val="00681690"/>
    <w:rPr>
      <w:rFonts w:eastAsiaTheme="minorEastAsia"/>
      <w:sz w:val="20"/>
      <w:szCs w:val="20"/>
      <w:lang w:val="en-US" w:bidi="hi-IN"/>
    </w:rPr>
  </w:style>
  <w:style w:type="character" w:styleId="FootnoteReference">
    <w:name w:val="footnote reference"/>
    <w:basedOn w:val="DefaultParagraphFont"/>
    <w:uiPriority w:val="99"/>
    <w:semiHidden/>
    <w:unhideWhenUsed/>
    <w:rsid w:val="00681690"/>
    <w:rPr>
      <w:vertAlign w:val="superscript"/>
    </w:rPr>
  </w:style>
  <w:style w:type="character" w:styleId="CommentReference">
    <w:name w:val="annotation reference"/>
    <w:basedOn w:val="DefaultParagraphFont"/>
    <w:uiPriority w:val="99"/>
    <w:semiHidden/>
    <w:unhideWhenUsed/>
    <w:rsid w:val="00681690"/>
    <w:rPr>
      <w:sz w:val="16"/>
      <w:szCs w:val="16"/>
    </w:rPr>
  </w:style>
  <w:style w:type="paragraph" w:styleId="CommentText">
    <w:name w:val="annotation text"/>
    <w:basedOn w:val="Normal"/>
    <w:link w:val="CommentTextChar"/>
    <w:uiPriority w:val="99"/>
    <w:unhideWhenUsed/>
    <w:rsid w:val="00681690"/>
    <w:pPr>
      <w:spacing w:line="240" w:lineRule="auto"/>
    </w:pPr>
    <w:rPr>
      <w:sz w:val="20"/>
    </w:rPr>
  </w:style>
  <w:style w:type="character" w:customStyle="1" w:styleId="CommentTextChar">
    <w:name w:val="Comment Text Char"/>
    <w:basedOn w:val="DefaultParagraphFont"/>
    <w:link w:val="CommentText"/>
    <w:uiPriority w:val="99"/>
    <w:rsid w:val="00681690"/>
    <w:rPr>
      <w:rFonts w:eastAsiaTheme="minorEastAsia"/>
      <w:sz w:val="20"/>
      <w:szCs w:val="20"/>
      <w:lang w:val="en-US" w:bidi="hi-IN"/>
    </w:rPr>
  </w:style>
  <w:style w:type="paragraph" w:styleId="BalloonText">
    <w:name w:val="Balloon Text"/>
    <w:basedOn w:val="Normal"/>
    <w:link w:val="BalloonTextChar"/>
    <w:uiPriority w:val="99"/>
    <w:semiHidden/>
    <w:unhideWhenUsed/>
    <w:rsid w:val="00681690"/>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681690"/>
    <w:rPr>
      <w:rFonts w:ascii="Segoe UI" w:eastAsiaTheme="minorEastAsia" w:hAnsi="Segoe UI" w:cs="Mangal"/>
      <w:sz w:val="18"/>
      <w:szCs w:val="16"/>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www.cdsco.nic.in/writereaddata/GSR%20411(E).pdf" TargetMode="External"/><Relationship Id="rId1" Type="http://schemas.openxmlformats.org/officeDocument/2006/relationships/hyperlink" Target="http://lobis.nic.in/ddir/dhc/SRB/judgement/14-12-2018/SRB14122018CW6084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75F92-1980-4F2F-8303-419BF4F0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3659</Words>
  <Characters>20862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 khanna</dc:creator>
  <cp:keywords/>
  <dc:description/>
  <cp:lastModifiedBy>Reviewer 1</cp:lastModifiedBy>
  <cp:revision>2</cp:revision>
  <dcterms:created xsi:type="dcterms:W3CDTF">2019-02-26T01:39:00Z</dcterms:created>
  <dcterms:modified xsi:type="dcterms:W3CDTF">2019-02-26T01:39:00Z</dcterms:modified>
</cp:coreProperties>
</file>