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C3BD" w14:textId="77777777" w:rsidR="00871925" w:rsidRDefault="00871925" w:rsidP="00871925">
      <w:pPr>
        <w:pStyle w:val="NormalWeb"/>
        <w:spacing w:before="0" w:beforeAutospacing="0" w:after="200" w:afterAutospacing="0" w:line="253" w:lineRule="atLeast"/>
        <w:rPr>
          <w:rFonts w:ascii="Calibri" w:hAnsi="Calibri"/>
          <w:color w:val="212121"/>
          <w:sz w:val="22"/>
          <w:szCs w:val="22"/>
          <w:u w:val="single"/>
        </w:rPr>
      </w:pPr>
      <w:bookmarkStart w:id="0" w:name="_GoBack"/>
      <w:bookmarkEnd w:id="0"/>
      <w:r>
        <w:rPr>
          <w:rFonts w:ascii="Calibri" w:hAnsi="Calibri"/>
          <w:color w:val="212121"/>
          <w:sz w:val="22"/>
          <w:szCs w:val="22"/>
          <w:u w:val="single"/>
        </w:rPr>
        <w:br/>
        <w:t xml:space="preserve">Dipika Jain </w:t>
      </w:r>
    </w:p>
    <w:p w14:paraId="1F56474B" w14:textId="1FF5C86E" w:rsidR="00871925" w:rsidRPr="00871925" w:rsidRDefault="00871925" w:rsidP="00DC2004">
      <w:pPr>
        <w:pStyle w:val="NormalWeb"/>
        <w:spacing w:before="0" w:beforeAutospacing="0" w:after="200" w:afterAutospacing="0" w:line="253" w:lineRule="atLeast"/>
        <w:rPr>
          <w:rFonts w:ascii="Calibri" w:hAnsi="Calibri"/>
          <w:color w:val="212121"/>
          <w:sz w:val="22"/>
          <w:szCs w:val="22"/>
          <w:u w:val="single"/>
        </w:rPr>
      </w:pPr>
      <w:r>
        <w:rPr>
          <w:rFonts w:ascii="Calibri" w:hAnsi="Calibri"/>
          <w:color w:val="212121"/>
          <w:sz w:val="22"/>
          <w:szCs w:val="22"/>
          <w:u w:val="single"/>
        </w:rPr>
        <w:t xml:space="preserve">Indian Journal of Medical Ethics </w:t>
      </w:r>
    </w:p>
    <w:p w14:paraId="07DCF333" w14:textId="77777777" w:rsidR="00377076" w:rsidRDefault="00DC2004" w:rsidP="00DC2004">
      <w:pPr>
        <w:pStyle w:val="NormalWeb"/>
        <w:spacing w:before="0" w:beforeAutospacing="0" w:after="200" w:afterAutospacing="0" w:line="253" w:lineRule="atLeast"/>
        <w:rPr>
          <w:rFonts w:ascii="Calibri" w:hAnsi="Calibri"/>
          <w:b/>
          <w:color w:val="212121"/>
          <w:sz w:val="22"/>
          <w:szCs w:val="22"/>
          <w:u w:val="single"/>
        </w:rPr>
      </w:pPr>
      <w:r w:rsidRPr="00DC2004">
        <w:rPr>
          <w:rFonts w:ascii="Calibri" w:hAnsi="Calibri"/>
          <w:b/>
          <w:color w:val="212121"/>
          <w:sz w:val="22"/>
          <w:szCs w:val="22"/>
          <w:u w:val="single"/>
        </w:rPr>
        <w:t xml:space="preserve">RESPONSE TO REVIEW </w:t>
      </w:r>
      <w:r w:rsidR="00377076" w:rsidRPr="00DC2004">
        <w:rPr>
          <w:rFonts w:ascii="Calibri" w:hAnsi="Calibri"/>
          <w:b/>
          <w:color w:val="212121"/>
          <w:sz w:val="22"/>
          <w:szCs w:val="22"/>
          <w:u w:val="single"/>
        </w:rPr>
        <w:t>COMMENTS:</w:t>
      </w:r>
      <w:r w:rsidR="00377076">
        <w:rPr>
          <w:rFonts w:ascii="Calibri" w:hAnsi="Calibri"/>
          <w:b/>
          <w:color w:val="212121"/>
          <w:sz w:val="22"/>
          <w:szCs w:val="22"/>
          <w:u w:val="single"/>
        </w:rPr>
        <w:t xml:space="preserve"> </w:t>
      </w:r>
    </w:p>
    <w:p w14:paraId="426A9EEE" w14:textId="77777777" w:rsidR="00DC2004" w:rsidRPr="00377076" w:rsidRDefault="00377076" w:rsidP="00DC2004">
      <w:pPr>
        <w:pStyle w:val="NormalWeb"/>
        <w:spacing w:before="0" w:beforeAutospacing="0" w:after="200" w:afterAutospacing="0" w:line="253" w:lineRule="atLeast"/>
        <w:rPr>
          <w:rFonts w:ascii="Calibri" w:hAnsi="Calibri"/>
          <w:b/>
          <w:color w:val="212121"/>
          <w:sz w:val="22"/>
          <w:szCs w:val="22"/>
          <w:u w:val="single"/>
        </w:rPr>
      </w:pPr>
      <w:r w:rsidRPr="00377076">
        <w:rPr>
          <w:rFonts w:ascii="Calibri" w:hAnsi="Calibri"/>
          <w:b/>
          <w:color w:val="212121"/>
          <w:sz w:val="22"/>
          <w:szCs w:val="22"/>
        </w:rPr>
        <w:t>Please find the author response in red.</w:t>
      </w:r>
    </w:p>
    <w:p w14:paraId="0F5FDB2B" w14:textId="77777777" w:rsidR="00DC2004" w:rsidRPr="007B367D" w:rsidRDefault="00DC2004" w:rsidP="007B367D">
      <w:pPr>
        <w:pStyle w:val="NormalWeb"/>
        <w:spacing w:before="0" w:beforeAutospacing="0" w:after="200" w:afterAutospacing="0" w:line="253" w:lineRule="atLeast"/>
        <w:jc w:val="both"/>
        <w:rPr>
          <w:rFonts w:ascii="Garamond" w:hAnsi="Garamond"/>
          <w:color w:val="212121"/>
        </w:rPr>
      </w:pPr>
      <w:r w:rsidRPr="007B367D">
        <w:rPr>
          <w:rFonts w:ascii="Garamond" w:hAnsi="Garamond"/>
          <w:color w:val="212121"/>
          <w:u w:val="single"/>
        </w:rPr>
        <w:t>Reviewer 1:</w:t>
      </w:r>
    </w:p>
    <w:p w14:paraId="6B67B7C4" w14:textId="77777777" w:rsidR="00DC2004" w:rsidRPr="007B367D" w:rsidRDefault="00DC2004" w:rsidP="007B367D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12121"/>
        </w:rPr>
      </w:pPr>
      <w:r w:rsidRPr="007B367D">
        <w:rPr>
          <w:rFonts w:ascii="Garamond" w:hAnsi="Garamond"/>
          <w:color w:val="212121"/>
        </w:rPr>
        <w:t>The abortion laws - creating barriers - Jain Tronic paper reads well.</w:t>
      </w:r>
    </w:p>
    <w:p w14:paraId="0501CE6C" w14:textId="77777777" w:rsidR="00DC2004" w:rsidRPr="007B367D" w:rsidRDefault="00DC2004" w:rsidP="007B367D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12121"/>
        </w:rPr>
      </w:pPr>
      <w:r w:rsidRPr="007B367D">
        <w:rPr>
          <w:rFonts w:ascii="Garamond" w:hAnsi="Garamond"/>
          <w:color w:val="212121"/>
        </w:rPr>
        <w:t>1. I think there is originality in the paper.</w:t>
      </w:r>
    </w:p>
    <w:p w14:paraId="3158AE39" w14:textId="77777777" w:rsidR="00DC2004" w:rsidRPr="007B367D" w:rsidRDefault="00DC2004" w:rsidP="007B367D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12121"/>
        </w:rPr>
      </w:pPr>
      <w:r w:rsidRPr="007B367D">
        <w:rPr>
          <w:rFonts w:ascii="Garamond" w:hAnsi="Garamond"/>
          <w:color w:val="212121"/>
        </w:rPr>
        <w:t>2. It does analyse the laws well to bring out the inherent conflicts in the law. </w:t>
      </w:r>
    </w:p>
    <w:p w14:paraId="322081E5" w14:textId="77777777" w:rsidR="00DC2004" w:rsidRPr="007B367D" w:rsidRDefault="00DC2004" w:rsidP="007B367D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12121"/>
        </w:rPr>
      </w:pPr>
      <w:r w:rsidRPr="007B367D">
        <w:rPr>
          <w:rFonts w:ascii="Garamond" w:hAnsi="Garamond"/>
          <w:color w:val="212121"/>
        </w:rPr>
        <w:t>3. The conclusion also raises some interesting points.</w:t>
      </w:r>
    </w:p>
    <w:p w14:paraId="24240915" w14:textId="77777777" w:rsidR="00DC2004" w:rsidRDefault="00DC2004" w:rsidP="007B367D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12121"/>
        </w:rPr>
      </w:pPr>
      <w:r w:rsidRPr="007B367D">
        <w:rPr>
          <w:rFonts w:ascii="Garamond" w:hAnsi="Garamond"/>
          <w:color w:val="212121"/>
        </w:rPr>
        <w:t>4. The authors have looked at the laws and policies in India. They may not have looked at the PCPNDT Act on purpose. They should reduce the length of the paper.</w:t>
      </w:r>
    </w:p>
    <w:p w14:paraId="7D6F5609" w14:textId="77777777" w:rsidR="00871925" w:rsidRPr="007B367D" w:rsidRDefault="00871925" w:rsidP="007B367D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12121"/>
        </w:rPr>
      </w:pPr>
    </w:p>
    <w:p w14:paraId="157D2AC5" w14:textId="7A46032E" w:rsidR="00A2685F" w:rsidRDefault="00472598" w:rsidP="007B367D">
      <w:pPr>
        <w:pStyle w:val="NormalWeb"/>
        <w:spacing w:before="0" w:beforeAutospacing="0" w:after="0" w:afterAutospacing="0"/>
        <w:jc w:val="both"/>
        <w:rPr>
          <w:rFonts w:ascii="Garamond" w:hAnsi="Garamond"/>
          <w:color w:val="FF0000"/>
        </w:rPr>
      </w:pPr>
      <w:r w:rsidRPr="007B367D">
        <w:rPr>
          <w:rFonts w:ascii="Garamond" w:hAnsi="Garamond"/>
          <w:color w:val="FF0000"/>
        </w:rPr>
        <w:t xml:space="preserve">Yes. We decided </w:t>
      </w:r>
      <w:r w:rsidR="009246ED" w:rsidRPr="007B367D">
        <w:rPr>
          <w:rFonts w:ascii="Garamond" w:hAnsi="Garamond"/>
          <w:color w:val="FF0000"/>
        </w:rPr>
        <w:t>to look at only three legislations and we mention that clearly</w:t>
      </w:r>
      <w:r w:rsidR="00377076">
        <w:rPr>
          <w:rFonts w:ascii="Garamond" w:hAnsi="Garamond"/>
          <w:color w:val="FF0000"/>
        </w:rPr>
        <w:t xml:space="preserve"> in the introduction</w:t>
      </w:r>
      <w:r w:rsidR="009246ED" w:rsidRPr="007B367D">
        <w:rPr>
          <w:rFonts w:ascii="Garamond" w:hAnsi="Garamond"/>
          <w:color w:val="FF0000"/>
        </w:rPr>
        <w:t>.</w:t>
      </w:r>
      <w:r w:rsidR="00871925">
        <w:rPr>
          <w:rFonts w:ascii="Garamond" w:hAnsi="Garamond"/>
          <w:color w:val="FF0000"/>
        </w:rPr>
        <w:t xml:space="preserve"> We have edited the paper to </w:t>
      </w:r>
      <w:r w:rsidR="004B4ECE">
        <w:rPr>
          <w:rFonts w:ascii="Garamond" w:hAnsi="Garamond"/>
          <w:color w:val="FF0000"/>
        </w:rPr>
        <w:t>make it comprehensive.</w:t>
      </w:r>
    </w:p>
    <w:p w14:paraId="3344844B" w14:textId="77777777" w:rsidR="00871925" w:rsidRPr="007B367D" w:rsidRDefault="00871925" w:rsidP="007B367D">
      <w:pPr>
        <w:pStyle w:val="NormalWeb"/>
        <w:spacing w:before="0" w:beforeAutospacing="0" w:after="0" w:afterAutospacing="0"/>
        <w:jc w:val="both"/>
        <w:rPr>
          <w:rFonts w:ascii="Garamond" w:hAnsi="Garamond"/>
          <w:color w:val="FF0000"/>
        </w:rPr>
      </w:pPr>
    </w:p>
    <w:p w14:paraId="5DEC0698" w14:textId="6485FDD6" w:rsidR="00DC2004" w:rsidRDefault="00DC2004" w:rsidP="00871925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12121"/>
        </w:rPr>
      </w:pPr>
      <w:r w:rsidRPr="007B367D">
        <w:rPr>
          <w:rFonts w:ascii="Garamond" w:hAnsi="Garamond"/>
          <w:color w:val="212121"/>
        </w:rPr>
        <w:t>5. The paper does look at the topic holistically and could make an impact.</w:t>
      </w:r>
    </w:p>
    <w:p w14:paraId="0367F15C" w14:textId="77777777" w:rsidR="00871925" w:rsidRPr="007B367D" w:rsidRDefault="00871925" w:rsidP="00871925">
      <w:pPr>
        <w:pStyle w:val="NormalWeb"/>
        <w:spacing w:before="0" w:beforeAutospacing="0" w:after="0" w:afterAutospacing="0"/>
        <w:jc w:val="both"/>
        <w:rPr>
          <w:rFonts w:ascii="Garamond" w:hAnsi="Garamond"/>
          <w:color w:val="212121"/>
        </w:rPr>
      </w:pPr>
    </w:p>
    <w:p w14:paraId="42C5DC8C" w14:textId="77777777" w:rsidR="00DC2004" w:rsidRPr="007B367D" w:rsidRDefault="00DC2004" w:rsidP="007B367D">
      <w:pPr>
        <w:pStyle w:val="NormalWeb"/>
        <w:spacing w:before="0" w:beforeAutospacing="0" w:after="200" w:afterAutospacing="0" w:line="253" w:lineRule="atLeast"/>
        <w:jc w:val="both"/>
        <w:rPr>
          <w:rFonts w:ascii="Garamond" w:hAnsi="Garamond"/>
          <w:color w:val="212121"/>
        </w:rPr>
      </w:pPr>
      <w:r w:rsidRPr="007B367D">
        <w:rPr>
          <w:rFonts w:ascii="Garamond" w:hAnsi="Garamond"/>
          <w:color w:val="212121"/>
          <w:u w:val="single"/>
        </w:rPr>
        <w:t>Reviewer 2:</w:t>
      </w:r>
    </w:p>
    <w:p w14:paraId="3BAAACD8" w14:textId="77777777" w:rsidR="00377076" w:rsidRDefault="00DC2004" w:rsidP="00377076">
      <w:pPr>
        <w:pStyle w:val="NormalWeb"/>
        <w:numPr>
          <w:ilvl w:val="0"/>
          <w:numId w:val="2"/>
        </w:numPr>
        <w:spacing w:before="0" w:beforeAutospacing="0" w:after="0" w:afterAutospacing="0" w:line="253" w:lineRule="atLeast"/>
        <w:jc w:val="both"/>
        <w:rPr>
          <w:rFonts w:ascii="Garamond" w:hAnsi="Garamond" w:cs="Arial"/>
          <w:color w:val="212121"/>
        </w:rPr>
      </w:pPr>
      <w:r w:rsidRPr="007B367D">
        <w:rPr>
          <w:rFonts w:ascii="Garamond" w:hAnsi="Garamond"/>
          <w:color w:val="212121"/>
        </w:rPr>
        <w:t>The article is well written and relevant to medical ethics.</w:t>
      </w:r>
      <w:r w:rsidRPr="007B367D">
        <w:rPr>
          <w:rStyle w:val="apple-converted-space"/>
          <w:rFonts w:ascii="Garamond" w:hAnsi="Garamond"/>
          <w:b/>
          <w:bCs/>
          <w:color w:val="212121"/>
          <w:u w:val="single"/>
        </w:rPr>
        <w:t> </w:t>
      </w:r>
      <w:r w:rsidRPr="007B367D">
        <w:rPr>
          <w:rFonts w:ascii="Garamond" w:hAnsi="Garamond" w:cs="Arial"/>
          <w:color w:val="212121"/>
        </w:rPr>
        <w:t>It could be an initial step in addressing legislative change.</w:t>
      </w:r>
    </w:p>
    <w:p w14:paraId="1DB5A6F9" w14:textId="77777777" w:rsidR="00377076" w:rsidRDefault="00377076" w:rsidP="00377076">
      <w:pPr>
        <w:pStyle w:val="NormalWeb"/>
        <w:spacing w:before="0" w:beforeAutospacing="0" w:after="0" w:afterAutospacing="0" w:line="253" w:lineRule="atLeast"/>
        <w:jc w:val="both"/>
        <w:rPr>
          <w:rFonts w:ascii="Garamond" w:hAnsi="Garamond" w:cs="Arial"/>
          <w:color w:val="212121"/>
        </w:rPr>
      </w:pPr>
    </w:p>
    <w:p w14:paraId="3498D15D" w14:textId="1FC13F94" w:rsidR="00377076" w:rsidRDefault="00DC2004" w:rsidP="00377076">
      <w:pPr>
        <w:pStyle w:val="NormalWeb"/>
        <w:numPr>
          <w:ilvl w:val="0"/>
          <w:numId w:val="2"/>
        </w:numPr>
        <w:spacing w:before="0" w:beforeAutospacing="0" w:after="0" w:afterAutospacing="0" w:line="253" w:lineRule="atLeast"/>
        <w:jc w:val="both"/>
        <w:rPr>
          <w:rFonts w:ascii="Garamond" w:hAnsi="Garamond" w:cs="Arial"/>
          <w:color w:val="212121"/>
        </w:rPr>
      </w:pPr>
      <w:r w:rsidRPr="007B367D">
        <w:rPr>
          <w:rFonts w:ascii="Garamond" w:hAnsi="Garamond" w:cs="Arial"/>
          <w:color w:val="212121"/>
        </w:rPr>
        <w:t>There are articles, blogs etc on the conflicting provisions of POCSO, MTP and the rights of minors. So it is not really new.</w:t>
      </w:r>
    </w:p>
    <w:p w14:paraId="5E98FD34" w14:textId="77777777" w:rsidR="00871925" w:rsidRPr="00871925" w:rsidRDefault="00871925" w:rsidP="00871925">
      <w:pPr>
        <w:pStyle w:val="NormalWeb"/>
        <w:spacing w:before="0" w:beforeAutospacing="0" w:after="0" w:afterAutospacing="0" w:line="253" w:lineRule="atLeast"/>
        <w:jc w:val="both"/>
        <w:rPr>
          <w:rFonts w:ascii="Garamond" w:hAnsi="Garamond" w:cs="Arial"/>
          <w:color w:val="212121"/>
        </w:rPr>
      </w:pPr>
    </w:p>
    <w:p w14:paraId="65A4B50C" w14:textId="083DE8F9" w:rsidR="00377076" w:rsidRDefault="003124E4" w:rsidP="00377076">
      <w:pPr>
        <w:pStyle w:val="NormalWeb"/>
        <w:spacing w:before="0" w:beforeAutospacing="0" w:after="200" w:afterAutospacing="0" w:line="253" w:lineRule="atLeast"/>
        <w:jc w:val="both"/>
        <w:rPr>
          <w:rFonts w:ascii="Garamond" w:hAnsi="Garamond" w:cs="Arial"/>
          <w:color w:val="FF0000"/>
        </w:rPr>
      </w:pPr>
      <w:r w:rsidRPr="007B367D">
        <w:rPr>
          <w:rFonts w:ascii="Garamond" w:hAnsi="Garamond" w:cs="Arial"/>
          <w:color w:val="FF0000"/>
        </w:rPr>
        <w:t xml:space="preserve">While there are blogs on this article, this is </w:t>
      </w:r>
      <w:r w:rsidR="00377076">
        <w:rPr>
          <w:rFonts w:ascii="Garamond" w:hAnsi="Garamond" w:cs="Arial"/>
          <w:color w:val="FF0000"/>
        </w:rPr>
        <w:t>the first</w:t>
      </w:r>
      <w:r w:rsidR="00606C12" w:rsidRPr="007B367D">
        <w:rPr>
          <w:rFonts w:ascii="Garamond" w:hAnsi="Garamond" w:cs="Arial"/>
          <w:color w:val="FF0000"/>
        </w:rPr>
        <w:t xml:space="preserve"> comprehensive article on access to safe abortion of adolescent girls as mentioned by the first reviewer</w:t>
      </w:r>
      <w:r w:rsidR="00377076">
        <w:rPr>
          <w:rFonts w:ascii="Garamond" w:hAnsi="Garamond" w:cs="Arial"/>
          <w:color w:val="FF0000"/>
        </w:rPr>
        <w:t>.</w:t>
      </w:r>
      <w:r w:rsidR="004B4ECE">
        <w:rPr>
          <w:rFonts w:ascii="Garamond" w:hAnsi="Garamond" w:cs="Arial"/>
          <w:color w:val="FF0000"/>
        </w:rPr>
        <w:t xml:space="preserve"> A paragraph has been added in the introduction to emphasize on this aspect. The conclusion has been revised as well. </w:t>
      </w:r>
    </w:p>
    <w:p w14:paraId="34DFF8E5" w14:textId="77777777" w:rsidR="00871925" w:rsidRDefault="00DC2004" w:rsidP="00377076">
      <w:pPr>
        <w:pStyle w:val="NormalWeb"/>
        <w:numPr>
          <w:ilvl w:val="0"/>
          <w:numId w:val="2"/>
        </w:numPr>
        <w:spacing w:before="0" w:beforeAutospacing="0" w:after="200" w:afterAutospacing="0" w:line="253" w:lineRule="atLeast"/>
        <w:jc w:val="both"/>
        <w:rPr>
          <w:rFonts w:ascii="Garamond" w:hAnsi="Garamond" w:cs="Arial"/>
          <w:color w:val="002060"/>
        </w:rPr>
      </w:pPr>
      <w:r w:rsidRPr="007B367D">
        <w:rPr>
          <w:rFonts w:ascii="Garamond" w:hAnsi="Garamond" w:cs="Arial"/>
          <w:color w:val="002060"/>
        </w:rPr>
        <w:t>As this is a legal perspective, mention of a few landmark judgments of the Supreme Court would enhance the article.</w:t>
      </w:r>
    </w:p>
    <w:p w14:paraId="41AF3878" w14:textId="12980438" w:rsidR="00DC2004" w:rsidRPr="00871925" w:rsidRDefault="00460AE0" w:rsidP="00871925">
      <w:pPr>
        <w:pStyle w:val="NormalWeb"/>
        <w:spacing w:before="0" w:beforeAutospacing="0" w:after="200" w:afterAutospacing="0" w:line="253" w:lineRule="atLeast"/>
        <w:jc w:val="both"/>
        <w:rPr>
          <w:rFonts w:ascii="Garamond" w:hAnsi="Garamond" w:cs="Arial"/>
          <w:color w:val="002060"/>
        </w:rPr>
      </w:pPr>
      <w:r w:rsidRPr="00871925">
        <w:rPr>
          <w:rFonts w:ascii="Garamond" w:hAnsi="Garamond" w:cs="Arial"/>
          <w:color w:val="FF0000"/>
        </w:rPr>
        <w:t>A few Supreme Court judgements have been added.</w:t>
      </w:r>
    </w:p>
    <w:p w14:paraId="7A161C92" w14:textId="77777777" w:rsidR="00DC2004" w:rsidRDefault="00DC2004" w:rsidP="00DC2004">
      <w:pPr>
        <w:pStyle w:val="NormalWeb"/>
        <w:spacing w:before="0" w:beforeAutospacing="0" w:after="200" w:afterAutospacing="0" w:line="253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u w:val="single"/>
        </w:rPr>
        <w:t>Editorial comment:</w:t>
      </w:r>
    </w:p>
    <w:p w14:paraId="3D530A18" w14:textId="77777777" w:rsidR="00DC2004" w:rsidRDefault="00DC2004" w:rsidP="00DC2004">
      <w:pPr>
        <w:pStyle w:val="NormalWeb"/>
        <w:spacing w:before="0" w:beforeAutospacing="0" w:after="200" w:afterAutospacing="0" w:line="253" w:lineRule="atLeast"/>
        <w:rPr>
          <w:rFonts w:ascii="Calibri" w:hAnsi="Calibri"/>
          <w:color w:val="21212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B2B2B"/>
          <w:sz w:val="20"/>
          <w:szCs w:val="20"/>
        </w:rPr>
        <w:t>References should be numbered consecutively in the order in which they appear in the text</w:t>
      </w:r>
      <w:r>
        <w:rPr>
          <w:rFonts w:ascii="Arial" w:hAnsi="Arial" w:cs="Arial"/>
          <w:b/>
          <w:bCs/>
          <w:color w:val="2B2B2B"/>
          <w:sz w:val="20"/>
          <w:szCs w:val="20"/>
        </w:rPr>
        <w:t>.</w:t>
      </w:r>
      <w:r w:rsidR="00377076">
        <w:rPr>
          <w:rFonts w:ascii="Arial" w:hAnsi="Arial" w:cs="Arial"/>
          <w:b/>
          <w:bCs/>
          <w:color w:val="2B2B2B"/>
          <w:sz w:val="20"/>
          <w:szCs w:val="20"/>
        </w:rPr>
        <w:t xml:space="preserve"> </w:t>
      </w:r>
      <w:r>
        <w:rPr>
          <w:rFonts w:ascii="Arial" w:hAnsi="Arial" w:cs="Arial"/>
          <w:color w:val="2B2B2B"/>
          <w:sz w:val="20"/>
          <w:szCs w:val="20"/>
        </w:rPr>
        <w:t>They should appear within parentheses in the text, and</w:t>
      </w:r>
      <w:r>
        <w:rPr>
          <w:rStyle w:val="apple-converted-space"/>
          <w:rFonts w:ascii="Arial" w:hAnsi="Arial" w:cs="Arial"/>
          <w:color w:val="2B2B2B"/>
          <w:sz w:val="20"/>
          <w:szCs w:val="20"/>
        </w:rPr>
        <w:t> </w:t>
      </w:r>
      <w:r>
        <w:rPr>
          <w:rFonts w:ascii="Arial" w:hAnsi="Arial" w:cs="Arial"/>
          <w:color w:val="2B2B2B"/>
          <w:sz w:val="20"/>
          <w:szCs w:val="20"/>
          <w:u w:val="single"/>
        </w:rPr>
        <w:t>not in superscript</w:t>
      </w:r>
      <w:r>
        <w:rPr>
          <w:rFonts w:ascii="Arial" w:hAnsi="Arial" w:cs="Arial"/>
          <w:color w:val="2B2B2B"/>
          <w:sz w:val="20"/>
          <w:szCs w:val="20"/>
        </w:rPr>
        <w:t>, with the full list of references at the end of the article. The journal follows the ICMJE’s Uniform Requirements for references.</w:t>
      </w:r>
      <w:r>
        <w:rPr>
          <w:rStyle w:val="apple-converted-space"/>
          <w:rFonts w:ascii="Calibri" w:hAnsi="Calibri"/>
          <w:color w:val="212121"/>
          <w:sz w:val="22"/>
          <w:szCs w:val="22"/>
        </w:rPr>
        <w:t> </w:t>
      </w:r>
      <w:r>
        <w:rPr>
          <w:rFonts w:ascii="Calibri" w:hAnsi="Calibri"/>
          <w:color w:val="212121"/>
          <w:sz w:val="22"/>
          <w:szCs w:val="22"/>
        </w:rPr>
        <w:t>Repeat citation will have the same original number repeated with Section/Para number in brackets eg: (4: Sec 3a)</w:t>
      </w:r>
    </w:p>
    <w:p w14:paraId="35B71AB4" w14:textId="77777777" w:rsidR="007E590C" w:rsidRPr="00377076" w:rsidRDefault="007E590C" w:rsidP="00DC2004">
      <w:pPr>
        <w:pStyle w:val="NormalWeb"/>
        <w:spacing w:before="0" w:beforeAutospacing="0" w:after="200" w:afterAutospacing="0" w:line="253" w:lineRule="atLeast"/>
        <w:rPr>
          <w:rFonts w:ascii="Calibri" w:hAnsi="Calibri"/>
          <w:color w:val="FF0000"/>
          <w:sz w:val="22"/>
          <w:szCs w:val="22"/>
        </w:rPr>
      </w:pPr>
      <w:r w:rsidRPr="00377076">
        <w:rPr>
          <w:rFonts w:ascii="Calibri" w:hAnsi="Calibri"/>
          <w:color w:val="FF0000"/>
          <w:sz w:val="22"/>
          <w:szCs w:val="22"/>
        </w:rPr>
        <w:t xml:space="preserve">The </w:t>
      </w:r>
      <w:r w:rsidR="00377076" w:rsidRPr="00377076">
        <w:rPr>
          <w:rFonts w:ascii="Calibri" w:hAnsi="Calibri"/>
          <w:color w:val="FF0000"/>
          <w:sz w:val="22"/>
          <w:szCs w:val="22"/>
        </w:rPr>
        <w:t>References have been reworked according to the journal format.</w:t>
      </w:r>
    </w:p>
    <w:p w14:paraId="4C883904" w14:textId="77777777" w:rsidR="00B979FB" w:rsidRDefault="00B979FB"/>
    <w:sectPr w:rsidR="00B979FB" w:rsidSect="0076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F26EE"/>
    <w:multiLevelType w:val="hybridMultilevel"/>
    <w:tmpl w:val="77C67EF2"/>
    <w:lvl w:ilvl="0" w:tplc="B8BA57E6">
      <w:start w:val="1"/>
      <w:numFmt w:val="decimal"/>
      <w:lvlText w:val="%1."/>
      <w:lvlJc w:val="left"/>
      <w:pPr>
        <w:ind w:left="1140" w:hanging="420"/>
      </w:pPr>
      <w:rPr>
        <w:rFonts w:ascii="Calibri" w:hAnsi="Calibri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50BC3"/>
    <w:multiLevelType w:val="hybridMultilevel"/>
    <w:tmpl w:val="75FCBC9A"/>
    <w:lvl w:ilvl="0" w:tplc="B8BA57E6">
      <w:start w:val="1"/>
      <w:numFmt w:val="decimal"/>
      <w:lvlText w:val="%1."/>
      <w:lvlJc w:val="left"/>
      <w:pPr>
        <w:ind w:left="1140" w:hanging="420"/>
      </w:pPr>
      <w:rPr>
        <w:rFonts w:ascii="Calibri" w:hAnsi="Calibri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004"/>
    <w:rsid w:val="001C69EE"/>
    <w:rsid w:val="003124E4"/>
    <w:rsid w:val="00377076"/>
    <w:rsid w:val="00460AE0"/>
    <w:rsid w:val="00472598"/>
    <w:rsid w:val="004B4ECE"/>
    <w:rsid w:val="00606C12"/>
    <w:rsid w:val="007451E2"/>
    <w:rsid w:val="007646DD"/>
    <w:rsid w:val="007B367D"/>
    <w:rsid w:val="007E590C"/>
    <w:rsid w:val="00854B28"/>
    <w:rsid w:val="00871925"/>
    <w:rsid w:val="009246ED"/>
    <w:rsid w:val="00A2685F"/>
    <w:rsid w:val="00B979FB"/>
    <w:rsid w:val="00CE31E1"/>
    <w:rsid w:val="00D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3C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004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DC2004"/>
  </w:style>
  <w:style w:type="character" w:styleId="Strong">
    <w:name w:val="Strong"/>
    <w:basedOn w:val="DefaultParagraphFont"/>
    <w:uiPriority w:val="22"/>
    <w:qFormat/>
    <w:rsid w:val="00DC2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Reviewer</cp:lastModifiedBy>
  <cp:revision>2</cp:revision>
  <dcterms:created xsi:type="dcterms:W3CDTF">2019-06-06T03:58:00Z</dcterms:created>
  <dcterms:modified xsi:type="dcterms:W3CDTF">2019-06-06T03:58:00Z</dcterms:modified>
</cp:coreProperties>
</file>