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28260" w14:textId="0A46A04C" w:rsidR="005A4BE2" w:rsidRPr="00056FDA" w:rsidRDefault="00C638A7" w:rsidP="00187158">
      <w:pPr>
        <w:pStyle w:val="NoSpacing"/>
      </w:pPr>
      <w:bookmarkStart w:id="0" w:name="_Toc498629520"/>
      <w:bookmarkStart w:id="1" w:name="_GoBack"/>
      <w:bookmarkEnd w:id="1"/>
      <w:r w:rsidRPr="00056FDA">
        <w:t>Abortion and Law in</w:t>
      </w:r>
      <w:r w:rsidR="003811E6" w:rsidRPr="00056FDA">
        <w:t xml:space="preserve"> India: How Conflicting</w:t>
      </w:r>
      <w:bookmarkEnd w:id="0"/>
      <w:r w:rsidR="003811E6" w:rsidRPr="00056FDA">
        <w:t xml:space="preserve"> </w:t>
      </w:r>
      <w:bookmarkStart w:id="2" w:name="_Toc498629521"/>
      <w:r w:rsidR="003811E6" w:rsidRPr="00056FDA">
        <w:t>L</w:t>
      </w:r>
      <w:r w:rsidR="00B94011" w:rsidRPr="00056FDA">
        <w:t>egislations</w:t>
      </w:r>
      <w:r w:rsidR="003811E6" w:rsidRPr="00056FDA">
        <w:t xml:space="preserve"> Create Unintended Barriers </w:t>
      </w:r>
      <w:r w:rsidRPr="00056FDA">
        <w:t>to</w:t>
      </w:r>
      <w:r w:rsidR="003811E6" w:rsidRPr="00056FDA">
        <w:t xml:space="preserve"> Safe Abortion</w:t>
      </w:r>
      <w:bookmarkEnd w:id="2"/>
      <w:r w:rsidR="00457BC8" w:rsidRPr="00056FDA">
        <w:t xml:space="preserve"> for </w:t>
      </w:r>
      <w:r w:rsidR="009A7B41" w:rsidRPr="00056FDA">
        <w:t>Minor Girls</w:t>
      </w:r>
    </w:p>
    <w:p w14:paraId="7AFEA0DF" w14:textId="32D5C075" w:rsidR="009A7B41" w:rsidRPr="00056FDA" w:rsidRDefault="009A7B41" w:rsidP="008F5BF0">
      <w:pPr>
        <w:jc w:val="center"/>
        <w:rPr>
          <w:rFonts w:cs="Times New Roman"/>
          <w:b/>
          <w:szCs w:val="24"/>
        </w:rPr>
      </w:pPr>
      <w:r w:rsidRPr="00056FDA">
        <w:rPr>
          <w:rFonts w:cs="Times New Roman"/>
          <w:b/>
          <w:szCs w:val="24"/>
        </w:rPr>
        <w:t>Dipika Jain</w:t>
      </w:r>
      <w:r w:rsidR="00A246BF">
        <w:rPr>
          <w:rFonts w:cs="Times New Roman"/>
          <w:b/>
          <w:szCs w:val="24"/>
        </w:rPr>
        <w:t xml:space="preserve"> and Brian Tronic</w:t>
      </w:r>
    </w:p>
    <w:p w14:paraId="30507E6F" w14:textId="77777777" w:rsidR="00945827" w:rsidRPr="00056FDA" w:rsidRDefault="00945827" w:rsidP="00442BCE">
      <w:pPr>
        <w:rPr>
          <w:rFonts w:cs="Times New Roman"/>
          <w:b/>
          <w:smallCaps/>
          <w:szCs w:val="24"/>
        </w:rPr>
      </w:pPr>
    </w:p>
    <w:p w14:paraId="4BCC4D0E" w14:textId="73C6124F" w:rsidR="00442BCE" w:rsidRPr="00056FDA" w:rsidRDefault="00442BCE" w:rsidP="00442BCE">
      <w:pPr>
        <w:rPr>
          <w:rFonts w:cs="Times New Roman"/>
          <w:szCs w:val="24"/>
        </w:rPr>
      </w:pPr>
      <w:r w:rsidRPr="00056FDA">
        <w:rPr>
          <w:rFonts w:cs="Times New Roman"/>
          <w:b/>
          <w:szCs w:val="24"/>
        </w:rPr>
        <w:t>Running Title:</w:t>
      </w:r>
      <w:r w:rsidRPr="00056FDA">
        <w:rPr>
          <w:rFonts w:cs="Times New Roman"/>
          <w:szCs w:val="24"/>
        </w:rPr>
        <w:t xml:space="preserve"> Barriers to Safe Abortion in India</w:t>
      </w:r>
    </w:p>
    <w:p w14:paraId="73C009C6" w14:textId="77777777" w:rsidR="00442BCE" w:rsidRPr="00056FDA" w:rsidRDefault="00442BCE" w:rsidP="00442BCE">
      <w:pPr>
        <w:rPr>
          <w:rFonts w:cs="Times New Roman"/>
          <w:b/>
          <w:szCs w:val="24"/>
        </w:rPr>
      </w:pPr>
    </w:p>
    <w:p w14:paraId="3084784C" w14:textId="79D0A3F2" w:rsidR="001868DE" w:rsidRPr="00056FDA" w:rsidRDefault="008738D8" w:rsidP="00B8676C">
      <w:pPr>
        <w:shd w:val="clear" w:color="auto" w:fill="FFFFFF"/>
        <w:tabs>
          <w:tab w:val="left" w:pos="8087"/>
        </w:tabs>
        <w:rPr>
          <w:rFonts w:eastAsia="Times New Roman" w:cs="Times New Roman"/>
          <w:szCs w:val="24"/>
        </w:rPr>
      </w:pPr>
      <w:r w:rsidRPr="00056FDA">
        <w:rPr>
          <w:rFonts w:eastAsia="Times New Roman" w:cs="Times New Roman"/>
          <w:b/>
          <w:szCs w:val="24"/>
        </w:rPr>
        <w:t>Word Count:</w:t>
      </w:r>
      <w:r w:rsidR="00775BCA">
        <w:rPr>
          <w:rFonts w:eastAsia="Times New Roman" w:cs="Times New Roman"/>
          <w:szCs w:val="24"/>
        </w:rPr>
        <w:t xml:space="preserve"> 5813</w:t>
      </w:r>
    </w:p>
    <w:p w14:paraId="08E90033" w14:textId="77777777" w:rsidR="008738D8" w:rsidRPr="00056FDA" w:rsidRDefault="008738D8" w:rsidP="00B8676C">
      <w:pPr>
        <w:shd w:val="clear" w:color="auto" w:fill="FFFFFF"/>
        <w:tabs>
          <w:tab w:val="left" w:pos="8087"/>
        </w:tabs>
        <w:rPr>
          <w:rFonts w:eastAsia="Times New Roman" w:cs="Times New Roman"/>
          <w:szCs w:val="24"/>
        </w:rPr>
      </w:pPr>
    </w:p>
    <w:p w14:paraId="6507CA0F" w14:textId="77777777" w:rsidR="001868DE" w:rsidRPr="00056FDA" w:rsidRDefault="001868DE" w:rsidP="00B8676C">
      <w:pPr>
        <w:shd w:val="clear" w:color="auto" w:fill="FFFFFF"/>
        <w:tabs>
          <w:tab w:val="left" w:pos="8087"/>
        </w:tabs>
        <w:rPr>
          <w:rFonts w:eastAsia="Times New Roman" w:cs="Times New Roman"/>
          <w:b/>
          <w:szCs w:val="24"/>
        </w:rPr>
      </w:pPr>
      <w:r w:rsidRPr="00056FDA">
        <w:rPr>
          <w:rFonts w:eastAsia="Times New Roman" w:cs="Times New Roman"/>
          <w:b/>
          <w:szCs w:val="24"/>
        </w:rPr>
        <w:t>Abstract</w:t>
      </w:r>
    </w:p>
    <w:p w14:paraId="76DF821B" w14:textId="4EBF200F" w:rsidR="001868DE" w:rsidRPr="00056FDA" w:rsidRDefault="001868DE" w:rsidP="00B8676C">
      <w:pPr>
        <w:shd w:val="clear" w:color="auto" w:fill="FFFFFF"/>
        <w:tabs>
          <w:tab w:val="left" w:pos="2880"/>
        </w:tabs>
        <w:rPr>
          <w:rFonts w:eastAsia="Times New Roman" w:cs="Times New Roman"/>
          <w:szCs w:val="24"/>
        </w:rPr>
      </w:pPr>
      <w:r w:rsidRPr="00056FDA">
        <w:rPr>
          <w:rFonts w:eastAsia="Times New Roman" w:cs="Times New Roman"/>
          <w:szCs w:val="24"/>
        </w:rPr>
        <w:t xml:space="preserve">This article examines the legality of abortion in India, demonstrating how conflicting laws create unintended barriers to safe abortion. It focuses </w:t>
      </w:r>
      <w:r w:rsidR="009A7B41" w:rsidRPr="00056FDA">
        <w:rPr>
          <w:rFonts w:eastAsia="Times New Roman" w:cs="Times New Roman"/>
          <w:szCs w:val="24"/>
        </w:rPr>
        <w:t xml:space="preserve">specifically </w:t>
      </w:r>
      <w:r w:rsidRPr="00056FDA">
        <w:rPr>
          <w:rFonts w:eastAsia="Times New Roman" w:cs="Times New Roman"/>
          <w:szCs w:val="24"/>
        </w:rPr>
        <w:t>on the situation o</w:t>
      </w:r>
      <w:r w:rsidR="00916C96" w:rsidRPr="00056FDA">
        <w:rPr>
          <w:rFonts w:eastAsia="Times New Roman" w:cs="Times New Roman"/>
          <w:szCs w:val="24"/>
        </w:rPr>
        <w:t>f minor girls seeking abortion</w:t>
      </w:r>
      <w:r w:rsidR="00B81E43" w:rsidRPr="00056FDA">
        <w:rPr>
          <w:rFonts w:eastAsia="Times New Roman" w:cs="Times New Roman"/>
          <w:szCs w:val="24"/>
        </w:rPr>
        <w:t>,</w:t>
      </w:r>
      <w:r w:rsidR="00916C96" w:rsidRPr="00056FDA">
        <w:rPr>
          <w:rFonts w:eastAsia="Times New Roman" w:cs="Times New Roman"/>
          <w:szCs w:val="24"/>
        </w:rPr>
        <w:t xml:space="preserve"> showcasing the unintended consequences that arise from the existing lack of clarity in the legal regime.</w:t>
      </w:r>
    </w:p>
    <w:p w14:paraId="095AF2EB" w14:textId="77777777" w:rsidR="009D4CD7" w:rsidRPr="00056FDA" w:rsidRDefault="009D4CD7" w:rsidP="00B8676C">
      <w:pPr>
        <w:shd w:val="clear" w:color="auto" w:fill="FFFFFF"/>
        <w:tabs>
          <w:tab w:val="left" w:pos="2880"/>
        </w:tabs>
        <w:rPr>
          <w:rFonts w:eastAsia="Times New Roman" w:cs="Times New Roman"/>
          <w:szCs w:val="24"/>
        </w:rPr>
      </w:pPr>
    </w:p>
    <w:sdt>
      <w:sdtPr>
        <w:rPr>
          <w:rFonts w:ascii="Times New Roman" w:eastAsiaTheme="minorHAnsi" w:hAnsi="Times New Roman" w:cs="Times New Roman"/>
          <w:b w:val="0"/>
          <w:bCs w:val="0"/>
          <w:color w:val="auto"/>
          <w:sz w:val="24"/>
          <w:szCs w:val="24"/>
        </w:rPr>
        <w:id w:val="9246295"/>
        <w:docPartObj>
          <w:docPartGallery w:val="Table of Contents"/>
          <w:docPartUnique/>
        </w:docPartObj>
      </w:sdtPr>
      <w:sdtEndPr/>
      <w:sdtContent>
        <w:p w14:paraId="778F2BC8" w14:textId="77777777" w:rsidR="003811E6" w:rsidRPr="00056FDA" w:rsidRDefault="003811E6" w:rsidP="00B8676C">
          <w:pPr>
            <w:pStyle w:val="TOCHeading"/>
            <w:jc w:val="both"/>
            <w:rPr>
              <w:rFonts w:ascii="Times New Roman" w:hAnsi="Times New Roman" w:cs="Times New Roman"/>
              <w:color w:val="000000" w:themeColor="text1"/>
              <w:sz w:val="24"/>
              <w:szCs w:val="24"/>
            </w:rPr>
          </w:pPr>
          <w:r w:rsidRPr="00056FDA">
            <w:rPr>
              <w:rFonts w:ascii="Times New Roman" w:hAnsi="Times New Roman" w:cs="Times New Roman"/>
              <w:color w:val="000000" w:themeColor="text1"/>
              <w:sz w:val="24"/>
              <w:szCs w:val="24"/>
            </w:rPr>
            <w:t>Contents</w:t>
          </w:r>
        </w:p>
        <w:p w14:paraId="4A8FA01A" w14:textId="77777777" w:rsidR="003811E6" w:rsidRPr="00056FDA" w:rsidRDefault="003811E6" w:rsidP="00B8676C">
          <w:pPr>
            <w:pStyle w:val="TOC2"/>
            <w:tabs>
              <w:tab w:val="left" w:pos="660"/>
              <w:tab w:val="right" w:leader="dot" w:pos="9350"/>
            </w:tabs>
            <w:rPr>
              <w:rFonts w:eastAsiaTheme="minorEastAsia" w:cs="Times New Roman"/>
              <w:noProof/>
              <w:szCs w:val="24"/>
            </w:rPr>
          </w:pPr>
          <w:r w:rsidRPr="00056FDA">
            <w:rPr>
              <w:rFonts w:cs="Times New Roman"/>
              <w:szCs w:val="24"/>
            </w:rPr>
            <w:fldChar w:fldCharType="begin"/>
          </w:r>
          <w:r w:rsidRPr="00056FDA">
            <w:rPr>
              <w:rFonts w:cs="Times New Roman"/>
              <w:szCs w:val="24"/>
            </w:rPr>
            <w:instrText xml:space="preserve"> TOC \o "1-3" \h \z \u </w:instrText>
          </w:r>
          <w:r w:rsidRPr="00056FDA">
            <w:rPr>
              <w:rFonts w:cs="Times New Roman"/>
              <w:szCs w:val="24"/>
            </w:rPr>
            <w:fldChar w:fldCharType="separate"/>
          </w:r>
          <w:hyperlink w:anchor="_Toc498631710" w:history="1">
            <w:r w:rsidRPr="00056FDA">
              <w:rPr>
                <w:rStyle w:val="Hyperlink"/>
                <w:rFonts w:cs="Times New Roman"/>
                <w:noProof/>
                <w:szCs w:val="24"/>
              </w:rPr>
              <w:t>1.</w:t>
            </w:r>
            <w:r w:rsidRPr="00056FDA">
              <w:rPr>
                <w:rFonts w:eastAsiaTheme="minorEastAsia" w:cs="Times New Roman"/>
                <w:noProof/>
                <w:szCs w:val="24"/>
              </w:rPr>
              <w:tab/>
            </w:r>
            <w:r w:rsidRPr="00056FDA">
              <w:rPr>
                <w:rStyle w:val="Hyperlink"/>
                <w:rFonts w:cs="Times New Roman"/>
                <w:noProof/>
                <w:szCs w:val="24"/>
              </w:rPr>
              <w:t>Introduction</w:t>
            </w:r>
            <w:r w:rsidRPr="00056FDA">
              <w:rPr>
                <w:rFonts w:cs="Times New Roman"/>
                <w:noProof/>
                <w:webHidden/>
                <w:szCs w:val="24"/>
              </w:rPr>
              <w:tab/>
            </w:r>
            <w:r w:rsidRPr="00056FDA">
              <w:rPr>
                <w:rFonts w:cs="Times New Roman"/>
                <w:noProof/>
                <w:webHidden/>
                <w:szCs w:val="24"/>
              </w:rPr>
              <w:fldChar w:fldCharType="begin"/>
            </w:r>
            <w:r w:rsidRPr="00056FDA">
              <w:rPr>
                <w:rFonts w:cs="Times New Roman"/>
                <w:noProof/>
                <w:webHidden/>
                <w:szCs w:val="24"/>
              </w:rPr>
              <w:instrText xml:space="preserve"> PAGEREF _Toc498631710 \h </w:instrText>
            </w:r>
            <w:r w:rsidRPr="00056FDA">
              <w:rPr>
                <w:rFonts w:cs="Times New Roman"/>
                <w:noProof/>
                <w:webHidden/>
                <w:szCs w:val="24"/>
              </w:rPr>
            </w:r>
            <w:r w:rsidRPr="00056FDA">
              <w:rPr>
                <w:rFonts w:cs="Times New Roman"/>
                <w:noProof/>
                <w:webHidden/>
                <w:szCs w:val="24"/>
              </w:rPr>
              <w:fldChar w:fldCharType="separate"/>
            </w:r>
            <w:r w:rsidRPr="00056FDA">
              <w:rPr>
                <w:rFonts w:cs="Times New Roman"/>
                <w:noProof/>
                <w:webHidden/>
                <w:szCs w:val="24"/>
              </w:rPr>
              <w:t>1</w:t>
            </w:r>
            <w:r w:rsidRPr="00056FDA">
              <w:rPr>
                <w:rFonts w:cs="Times New Roman"/>
                <w:noProof/>
                <w:webHidden/>
                <w:szCs w:val="24"/>
              </w:rPr>
              <w:fldChar w:fldCharType="end"/>
            </w:r>
          </w:hyperlink>
        </w:p>
        <w:p w14:paraId="02FDD672" w14:textId="77777777" w:rsidR="003811E6" w:rsidRPr="00056FDA" w:rsidRDefault="008414D5" w:rsidP="00B8676C">
          <w:pPr>
            <w:pStyle w:val="TOC2"/>
            <w:tabs>
              <w:tab w:val="left" w:pos="660"/>
              <w:tab w:val="right" w:leader="dot" w:pos="9350"/>
            </w:tabs>
            <w:rPr>
              <w:rFonts w:eastAsiaTheme="minorEastAsia" w:cs="Times New Roman"/>
              <w:noProof/>
              <w:szCs w:val="24"/>
            </w:rPr>
          </w:pPr>
          <w:hyperlink w:anchor="_Toc498631711" w:history="1">
            <w:r w:rsidR="003811E6" w:rsidRPr="00056FDA">
              <w:rPr>
                <w:rStyle w:val="Hyperlink"/>
                <w:rFonts w:cs="Times New Roman"/>
                <w:noProof/>
                <w:szCs w:val="24"/>
              </w:rPr>
              <w:t>2.</w:t>
            </w:r>
            <w:r w:rsidR="003811E6" w:rsidRPr="00056FDA">
              <w:rPr>
                <w:rFonts w:eastAsiaTheme="minorEastAsia" w:cs="Times New Roman"/>
                <w:noProof/>
                <w:szCs w:val="24"/>
              </w:rPr>
              <w:tab/>
            </w:r>
            <w:r w:rsidR="003811E6" w:rsidRPr="00056FDA">
              <w:rPr>
                <w:rStyle w:val="Hyperlink"/>
                <w:rFonts w:cs="Times New Roman"/>
                <w:noProof/>
                <w:szCs w:val="24"/>
              </w:rPr>
              <w:t>The Legal Framework on Abortion in India</w:t>
            </w:r>
            <w:r w:rsidR="003811E6" w:rsidRPr="00056FDA">
              <w:rPr>
                <w:rFonts w:cs="Times New Roman"/>
                <w:noProof/>
                <w:webHidden/>
                <w:szCs w:val="24"/>
              </w:rPr>
              <w:tab/>
            </w:r>
            <w:r w:rsidR="003811E6" w:rsidRPr="00056FDA">
              <w:rPr>
                <w:rFonts w:cs="Times New Roman"/>
                <w:noProof/>
                <w:webHidden/>
                <w:szCs w:val="24"/>
              </w:rPr>
              <w:fldChar w:fldCharType="begin"/>
            </w:r>
            <w:r w:rsidR="003811E6" w:rsidRPr="00056FDA">
              <w:rPr>
                <w:rFonts w:cs="Times New Roman"/>
                <w:noProof/>
                <w:webHidden/>
                <w:szCs w:val="24"/>
              </w:rPr>
              <w:instrText xml:space="preserve"> PAGEREF _Toc498631711 \h </w:instrText>
            </w:r>
            <w:r w:rsidR="003811E6" w:rsidRPr="00056FDA">
              <w:rPr>
                <w:rFonts w:cs="Times New Roman"/>
                <w:noProof/>
                <w:webHidden/>
                <w:szCs w:val="24"/>
              </w:rPr>
            </w:r>
            <w:r w:rsidR="003811E6" w:rsidRPr="00056FDA">
              <w:rPr>
                <w:rFonts w:cs="Times New Roman"/>
                <w:noProof/>
                <w:webHidden/>
                <w:szCs w:val="24"/>
              </w:rPr>
              <w:fldChar w:fldCharType="separate"/>
            </w:r>
            <w:r w:rsidR="003811E6" w:rsidRPr="00056FDA">
              <w:rPr>
                <w:rFonts w:cs="Times New Roman"/>
                <w:noProof/>
                <w:webHidden/>
                <w:szCs w:val="24"/>
              </w:rPr>
              <w:t>2</w:t>
            </w:r>
            <w:r w:rsidR="003811E6" w:rsidRPr="00056FDA">
              <w:rPr>
                <w:rFonts w:cs="Times New Roman"/>
                <w:noProof/>
                <w:webHidden/>
                <w:szCs w:val="24"/>
              </w:rPr>
              <w:fldChar w:fldCharType="end"/>
            </w:r>
          </w:hyperlink>
        </w:p>
        <w:p w14:paraId="5F189473" w14:textId="77777777" w:rsidR="003811E6" w:rsidRPr="00056FDA" w:rsidRDefault="008414D5" w:rsidP="00B8676C">
          <w:pPr>
            <w:pStyle w:val="TOC2"/>
            <w:tabs>
              <w:tab w:val="left" w:pos="660"/>
              <w:tab w:val="right" w:leader="dot" w:pos="9350"/>
            </w:tabs>
            <w:rPr>
              <w:rFonts w:eastAsiaTheme="minorEastAsia" w:cs="Times New Roman"/>
              <w:noProof/>
              <w:szCs w:val="24"/>
            </w:rPr>
          </w:pPr>
          <w:hyperlink w:anchor="_Toc498631714" w:history="1">
            <w:r w:rsidR="003811E6" w:rsidRPr="00056FDA">
              <w:rPr>
                <w:rStyle w:val="Hyperlink"/>
                <w:rFonts w:cs="Times New Roman"/>
                <w:noProof/>
                <w:szCs w:val="24"/>
              </w:rPr>
              <w:t>3.</w:t>
            </w:r>
            <w:r w:rsidR="003811E6" w:rsidRPr="00056FDA">
              <w:rPr>
                <w:rFonts w:eastAsiaTheme="minorEastAsia" w:cs="Times New Roman"/>
                <w:noProof/>
                <w:szCs w:val="24"/>
              </w:rPr>
              <w:tab/>
            </w:r>
            <w:r w:rsidR="003811E6" w:rsidRPr="00056FDA">
              <w:rPr>
                <w:rStyle w:val="Hyperlink"/>
                <w:rFonts w:cs="Times New Roman"/>
                <w:noProof/>
                <w:szCs w:val="24"/>
              </w:rPr>
              <w:t>The Legal Framework’s Unintended Consequences</w:t>
            </w:r>
            <w:r w:rsidR="003811E6" w:rsidRPr="00056FDA">
              <w:rPr>
                <w:rFonts w:cs="Times New Roman"/>
                <w:noProof/>
                <w:webHidden/>
                <w:szCs w:val="24"/>
              </w:rPr>
              <w:tab/>
            </w:r>
            <w:r w:rsidR="003811E6" w:rsidRPr="00056FDA">
              <w:rPr>
                <w:rFonts w:cs="Times New Roman"/>
                <w:noProof/>
                <w:webHidden/>
                <w:szCs w:val="24"/>
              </w:rPr>
              <w:fldChar w:fldCharType="begin"/>
            </w:r>
            <w:r w:rsidR="003811E6" w:rsidRPr="00056FDA">
              <w:rPr>
                <w:rFonts w:cs="Times New Roman"/>
                <w:noProof/>
                <w:webHidden/>
                <w:szCs w:val="24"/>
              </w:rPr>
              <w:instrText xml:space="preserve"> PAGEREF _Toc498631714 \h </w:instrText>
            </w:r>
            <w:r w:rsidR="003811E6" w:rsidRPr="00056FDA">
              <w:rPr>
                <w:rFonts w:cs="Times New Roman"/>
                <w:noProof/>
                <w:webHidden/>
                <w:szCs w:val="24"/>
              </w:rPr>
            </w:r>
            <w:r w:rsidR="003811E6" w:rsidRPr="00056FDA">
              <w:rPr>
                <w:rFonts w:cs="Times New Roman"/>
                <w:noProof/>
                <w:webHidden/>
                <w:szCs w:val="24"/>
              </w:rPr>
              <w:fldChar w:fldCharType="separate"/>
            </w:r>
            <w:r w:rsidR="003811E6" w:rsidRPr="00056FDA">
              <w:rPr>
                <w:rFonts w:cs="Times New Roman"/>
                <w:noProof/>
                <w:webHidden/>
                <w:szCs w:val="24"/>
              </w:rPr>
              <w:t>3</w:t>
            </w:r>
            <w:r w:rsidR="003811E6" w:rsidRPr="00056FDA">
              <w:rPr>
                <w:rFonts w:cs="Times New Roman"/>
                <w:noProof/>
                <w:webHidden/>
                <w:szCs w:val="24"/>
              </w:rPr>
              <w:fldChar w:fldCharType="end"/>
            </w:r>
          </w:hyperlink>
        </w:p>
        <w:p w14:paraId="4D03F318" w14:textId="77777777" w:rsidR="003811E6" w:rsidRPr="00056FDA" w:rsidRDefault="008414D5" w:rsidP="00B8676C">
          <w:pPr>
            <w:pStyle w:val="TOC3"/>
            <w:tabs>
              <w:tab w:val="right" w:leader="dot" w:pos="9350"/>
            </w:tabs>
            <w:rPr>
              <w:rFonts w:eastAsiaTheme="minorEastAsia" w:cs="Times New Roman"/>
              <w:noProof/>
              <w:szCs w:val="24"/>
            </w:rPr>
          </w:pPr>
          <w:hyperlink w:anchor="_Toc498631716" w:history="1">
            <w:r w:rsidR="003811E6" w:rsidRPr="00056FDA">
              <w:rPr>
                <w:rStyle w:val="Hyperlink"/>
                <w:rFonts w:cs="Times New Roman"/>
                <w:noProof/>
                <w:szCs w:val="24"/>
              </w:rPr>
              <w:t>Respecting a Woman’s Confidentiality</w:t>
            </w:r>
            <w:r w:rsidR="003811E6" w:rsidRPr="00056FDA">
              <w:rPr>
                <w:rFonts w:cs="Times New Roman"/>
                <w:noProof/>
                <w:webHidden/>
                <w:szCs w:val="24"/>
              </w:rPr>
              <w:tab/>
            </w:r>
            <w:r w:rsidR="003811E6" w:rsidRPr="00056FDA">
              <w:rPr>
                <w:rFonts w:cs="Times New Roman"/>
                <w:noProof/>
                <w:webHidden/>
                <w:szCs w:val="24"/>
              </w:rPr>
              <w:fldChar w:fldCharType="begin"/>
            </w:r>
            <w:r w:rsidR="003811E6" w:rsidRPr="00056FDA">
              <w:rPr>
                <w:rFonts w:cs="Times New Roman"/>
                <w:noProof/>
                <w:webHidden/>
                <w:szCs w:val="24"/>
              </w:rPr>
              <w:instrText xml:space="preserve"> PAGEREF _Toc498631716 \h </w:instrText>
            </w:r>
            <w:r w:rsidR="003811E6" w:rsidRPr="00056FDA">
              <w:rPr>
                <w:rFonts w:cs="Times New Roman"/>
                <w:noProof/>
                <w:webHidden/>
                <w:szCs w:val="24"/>
              </w:rPr>
            </w:r>
            <w:r w:rsidR="003811E6" w:rsidRPr="00056FDA">
              <w:rPr>
                <w:rFonts w:cs="Times New Roman"/>
                <w:noProof/>
                <w:webHidden/>
                <w:szCs w:val="24"/>
              </w:rPr>
              <w:fldChar w:fldCharType="separate"/>
            </w:r>
            <w:r w:rsidR="003811E6" w:rsidRPr="00056FDA">
              <w:rPr>
                <w:rFonts w:cs="Times New Roman"/>
                <w:noProof/>
                <w:webHidden/>
                <w:szCs w:val="24"/>
              </w:rPr>
              <w:t>3</w:t>
            </w:r>
            <w:r w:rsidR="003811E6" w:rsidRPr="00056FDA">
              <w:rPr>
                <w:rFonts w:cs="Times New Roman"/>
                <w:noProof/>
                <w:webHidden/>
                <w:szCs w:val="24"/>
              </w:rPr>
              <w:fldChar w:fldCharType="end"/>
            </w:r>
          </w:hyperlink>
        </w:p>
        <w:p w14:paraId="2B91BF1B" w14:textId="77777777" w:rsidR="003811E6" w:rsidRPr="00056FDA" w:rsidRDefault="008414D5" w:rsidP="00B8676C">
          <w:pPr>
            <w:pStyle w:val="TOC3"/>
            <w:tabs>
              <w:tab w:val="right" w:leader="dot" w:pos="9350"/>
            </w:tabs>
            <w:rPr>
              <w:rFonts w:eastAsiaTheme="minorEastAsia" w:cs="Times New Roman"/>
              <w:noProof/>
              <w:szCs w:val="24"/>
            </w:rPr>
          </w:pPr>
          <w:hyperlink w:anchor="_Toc498631717" w:history="1">
            <w:r w:rsidR="003811E6" w:rsidRPr="00056FDA">
              <w:rPr>
                <w:rStyle w:val="Hyperlink"/>
                <w:rFonts w:cs="Times New Roman"/>
                <w:noProof/>
                <w:szCs w:val="24"/>
              </w:rPr>
              <w:t>Criminal Sanction for Healthcare Providers</w:t>
            </w:r>
            <w:r w:rsidR="003811E6" w:rsidRPr="00056FDA">
              <w:rPr>
                <w:rFonts w:cs="Times New Roman"/>
                <w:noProof/>
                <w:webHidden/>
                <w:szCs w:val="24"/>
              </w:rPr>
              <w:tab/>
            </w:r>
            <w:r w:rsidR="003811E6" w:rsidRPr="00056FDA">
              <w:rPr>
                <w:rFonts w:cs="Times New Roman"/>
                <w:noProof/>
                <w:webHidden/>
                <w:szCs w:val="24"/>
              </w:rPr>
              <w:fldChar w:fldCharType="begin"/>
            </w:r>
            <w:r w:rsidR="003811E6" w:rsidRPr="00056FDA">
              <w:rPr>
                <w:rFonts w:cs="Times New Roman"/>
                <w:noProof/>
                <w:webHidden/>
                <w:szCs w:val="24"/>
              </w:rPr>
              <w:instrText xml:space="preserve"> PAGEREF _Toc498631717 \h </w:instrText>
            </w:r>
            <w:r w:rsidR="003811E6" w:rsidRPr="00056FDA">
              <w:rPr>
                <w:rFonts w:cs="Times New Roman"/>
                <w:noProof/>
                <w:webHidden/>
                <w:szCs w:val="24"/>
              </w:rPr>
            </w:r>
            <w:r w:rsidR="003811E6" w:rsidRPr="00056FDA">
              <w:rPr>
                <w:rFonts w:cs="Times New Roman"/>
                <w:noProof/>
                <w:webHidden/>
                <w:szCs w:val="24"/>
              </w:rPr>
              <w:fldChar w:fldCharType="separate"/>
            </w:r>
            <w:r w:rsidR="003811E6" w:rsidRPr="00056FDA">
              <w:rPr>
                <w:rFonts w:cs="Times New Roman"/>
                <w:noProof/>
                <w:webHidden/>
                <w:szCs w:val="24"/>
              </w:rPr>
              <w:t>4</w:t>
            </w:r>
            <w:r w:rsidR="003811E6" w:rsidRPr="00056FDA">
              <w:rPr>
                <w:rFonts w:cs="Times New Roman"/>
                <w:noProof/>
                <w:webHidden/>
                <w:szCs w:val="24"/>
              </w:rPr>
              <w:fldChar w:fldCharType="end"/>
            </w:r>
          </w:hyperlink>
        </w:p>
        <w:p w14:paraId="115D2B0E" w14:textId="77777777" w:rsidR="003811E6" w:rsidRPr="00056FDA" w:rsidRDefault="008414D5" w:rsidP="00B8676C">
          <w:pPr>
            <w:pStyle w:val="TOC2"/>
            <w:tabs>
              <w:tab w:val="left" w:pos="660"/>
              <w:tab w:val="right" w:leader="dot" w:pos="9350"/>
            </w:tabs>
            <w:rPr>
              <w:rFonts w:eastAsiaTheme="minorEastAsia" w:cs="Times New Roman"/>
              <w:noProof/>
              <w:szCs w:val="24"/>
            </w:rPr>
          </w:pPr>
          <w:hyperlink w:anchor="_Toc498631718" w:history="1">
            <w:r w:rsidR="003811E6" w:rsidRPr="00056FDA">
              <w:rPr>
                <w:rStyle w:val="Hyperlink"/>
                <w:rFonts w:cs="Times New Roman"/>
                <w:noProof/>
                <w:szCs w:val="24"/>
              </w:rPr>
              <w:t>4.</w:t>
            </w:r>
            <w:r w:rsidR="003811E6" w:rsidRPr="00056FDA">
              <w:rPr>
                <w:rFonts w:eastAsiaTheme="minorEastAsia" w:cs="Times New Roman"/>
                <w:noProof/>
                <w:szCs w:val="24"/>
              </w:rPr>
              <w:tab/>
            </w:r>
            <w:r w:rsidR="003811E6" w:rsidRPr="00056FDA">
              <w:rPr>
                <w:rStyle w:val="Hyperlink"/>
                <w:rFonts w:cs="Times New Roman"/>
                <w:noProof/>
                <w:szCs w:val="24"/>
              </w:rPr>
              <w:t>Implications</w:t>
            </w:r>
            <w:r w:rsidR="003811E6" w:rsidRPr="00056FDA">
              <w:rPr>
                <w:rFonts w:cs="Times New Roman"/>
                <w:noProof/>
                <w:webHidden/>
                <w:szCs w:val="24"/>
              </w:rPr>
              <w:tab/>
            </w:r>
            <w:r w:rsidR="003811E6" w:rsidRPr="00056FDA">
              <w:rPr>
                <w:rFonts w:cs="Times New Roman"/>
                <w:noProof/>
                <w:webHidden/>
                <w:szCs w:val="24"/>
              </w:rPr>
              <w:fldChar w:fldCharType="begin"/>
            </w:r>
            <w:r w:rsidR="003811E6" w:rsidRPr="00056FDA">
              <w:rPr>
                <w:rFonts w:cs="Times New Roman"/>
                <w:noProof/>
                <w:webHidden/>
                <w:szCs w:val="24"/>
              </w:rPr>
              <w:instrText xml:space="preserve"> PAGEREF _Toc498631718 \h </w:instrText>
            </w:r>
            <w:r w:rsidR="003811E6" w:rsidRPr="00056FDA">
              <w:rPr>
                <w:rFonts w:cs="Times New Roman"/>
                <w:noProof/>
                <w:webHidden/>
                <w:szCs w:val="24"/>
              </w:rPr>
            </w:r>
            <w:r w:rsidR="003811E6" w:rsidRPr="00056FDA">
              <w:rPr>
                <w:rFonts w:cs="Times New Roman"/>
                <w:noProof/>
                <w:webHidden/>
                <w:szCs w:val="24"/>
              </w:rPr>
              <w:fldChar w:fldCharType="separate"/>
            </w:r>
            <w:r w:rsidR="003811E6" w:rsidRPr="00056FDA">
              <w:rPr>
                <w:rFonts w:cs="Times New Roman"/>
                <w:noProof/>
                <w:webHidden/>
                <w:szCs w:val="24"/>
              </w:rPr>
              <w:t>5</w:t>
            </w:r>
            <w:r w:rsidR="003811E6" w:rsidRPr="00056FDA">
              <w:rPr>
                <w:rFonts w:cs="Times New Roman"/>
                <w:noProof/>
                <w:webHidden/>
                <w:szCs w:val="24"/>
              </w:rPr>
              <w:fldChar w:fldCharType="end"/>
            </w:r>
          </w:hyperlink>
        </w:p>
        <w:p w14:paraId="3E496D10" w14:textId="77777777" w:rsidR="003811E6" w:rsidRPr="00056FDA" w:rsidRDefault="008414D5" w:rsidP="00B8676C">
          <w:pPr>
            <w:pStyle w:val="TOC2"/>
            <w:tabs>
              <w:tab w:val="left" w:pos="660"/>
              <w:tab w:val="right" w:leader="dot" w:pos="9350"/>
            </w:tabs>
            <w:rPr>
              <w:rFonts w:eastAsiaTheme="minorEastAsia" w:cs="Times New Roman"/>
              <w:noProof/>
              <w:szCs w:val="24"/>
            </w:rPr>
          </w:pPr>
          <w:hyperlink w:anchor="_Toc498631719" w:history="1">
            <w:r w:rsidR="003811E6" w:rsidRPr="00056FDA">
              <w:rPr>
                <w:rStyle w:val="Hyperlink"/>
                <w:rFonts w:cs="Times New Roman"/>
                <w:noProof/>
                <w:szCs w:val="24"/>
              </w:rPr>
              <w:t>5.</w:t>
            </w:r>
            <w:r w:rsidR="003811E6" w:rsidRPr="00056FDA">
              <w:rPr>
                <w:rFonts w:eastAsiaTheme="minorEastAsia" w:cs="Times New Roman"/>
                <w:noProof/>
                <w:szCs w:val="24"/>
              </w:rPr>
              <w:tab/>
            </w:r>
            <w:r w:rsidR="003811E6" w:rsidRPr="00056FDA">
              <w:rPr>
                <w:rStyle w:val="Hyperlink"/>
                <w:rFonts w:cs="Times New Roman"/>
                <w:noProof/>
                <w:szCs w:val="24"/>
              </w:rPr>
              <w:t>Addressing concerns regarding abortion for minor girls</w:t>
            </w:r>
            <w:r w:rsidR="003811E6" w:rsidRPr="00056FDA">
              <w:rPr>
                <w:rFonts w:cs="Times New Roman"/>
                <w:noProof/>
                <w:webHidden/>
                <w:szCs w:val="24"/>
              </w:rPr>
              <w:tab/>
            </w:r>
            <w:r w:rsidR="003811E6" w:rsidRPr="00056FDA">
              <w:rPr>
                <w:rFonts w:cs="Times New Roman"/>
                <w:noProof/>
                <w:webHidden/>
                <w:szCs w:val="24"/>
              </w:rPr>
              <w:fldChar w:fldCharType="begin"/>
            </w:r>
            <w:r w:rsidR="003811E6" w:rsidRPr="00056FDA">
              <w:rPr>
                <w:rFonts w:cs="Times New Roman"/>
                <w:noProof/>
                <w:webHidden/>
                <w:szCs w:val="24"/>
              </w:rPr>
              <w:instrText xml:space="preserve"> PAGEREF _Toc498631719 \h </w:instrText>
            </w:r>
            <w:r w:rsidR="003811E6" w:rsidRPr="00056FDA">
              <w:rPr>
                <w:rFonts w:cs="Times New Roman"/>
                <w:noProof/>
                <w:webHidden/>
                <w:szCs w:val="24"/>
              </w:rPr>
            </w:r>
            <w:r w:rsidR="003811E6" w:rsidRPr="00056FDA">
              <w:rPr>
                <w:rFonts w:cs="Times New Roman"/>
                <w:noProof/>
                <w:webHidden/>
                <w:szCs w:val="24"/>
              </w:rPr>
              <w:fldChar w:fldCharType="separate"/>
            </w:r>
            <w:r w:rsidR="003811E6" w:rsidRPr="00056FDA">
              <w:rPr>
                <w:rFonts w:cs="Times New Roman"/>
                <w:noProof/>
                <w:webHidden/>
                <w:szCs w:val="24"/>
              </w:rPr>
              <w:t>7</w:t>
            </w:r>
            <w:r w:rsidR="003811E6" w:rsidRPr="00056FDA">
              <w:rPr>
                <w:rFonts w:cs="Times New Roman"/>
                <w:noProof/>
                <w:webHidden/>
                <w:szCs w:val="24"/>
              </w:rPr>
              <w:fldChar w:fldCharType="end"/>
            </w:r>
          </w:hyperlink>
        </w:p>
        <w:p w14:paraId="21E9C266" w14:textId="77777777" w:rsidR="003811E6" w:rsidRPr="00056FDA" w:rsidRDefault="008414D5" w:rsidP="00B8676C">
          <w:pPr>
            <w:pStyle w:val="TOC3"/>
            <w:tabs>
              <w:tab w:val="right" w:leader="dot" w:pos="9350"/>
            </w:tabs>
            <w:rPr>
              <w:rFonts w:eastAsiaTheme="minorEastAsia" w:cs="Times New Roman"/>
              <w:noProof/>
              <w:szCs w:val="24"/>
            </w:rPr>
          </w:pPr>
          <w:hyperlink w:anchor="_Toc498631720" w:history="1">
            <w:r w:rsidR="003811E6" w:rsidRPr="00056FDA">
              <w:rPr>
                <w:rStyle w:val="Hyperlink"/>
                <w:rFonts w:cs="Times New Roman"/>
                <w:noProof/>
                <w:szCs w:val="24"/>
              </w:rPr>
              <w:t>MLC preparation before provision of abortion service not mandatory</w:t>
            </w:r>
            <w:r w:rsidR="003811E6" w:rsidRPr="00056FDA">
              <w:rPr>
                <w:rFonts w:cs="Times New Roman"/>
                <w:noProof/>
                <w:webHidden/>
                <w:szCs w:val="24"/>
              </w:rPr>
              <w:tab/>
            </w:r>
            <w:r w:rsidR="003811E6" w:rsidRPr="00056FDA">
              <w:rPr>
                <w:rFonts w:cs="Times New Roman"/>
                <w:noProof/>
                <w:webHidden/>
                <w:szCs w:val="24"/>
              </w:rPr>
              <w:fldChar w:fldCharType="begin"/>
            </w:r>
            <w:r w:rsidR="003811E6" w:rsidRPr="00056FDA">
              <w:rPr>
                <w:rFonts w:cs="Times New Roman"/>
                <w:noProof/>
                <w:webHidden/>
                <w:szCs w:val="24"/>
              </w:rPr>
              <w:instrText xml:space="preserve"> PAGEREF _Toc498631720 \h </w:instrText>
            </w:r>
            <w:r w:rsidR="003811E6" w:rsidRPr="00056FDA">
              <w:rPr>
                <w:rFonts w:cs="Times New Roman"/>
                <w:noProof/>
                <w:webHidden/>
                <w:szCs w:val="24"/>
              </w:rPr>
            </w:r>
            <w:r w:rsidR="003811E6" w:rsidRPr="00056FDA">
              <w:rPr>
                <w:rFonts w:cs="Times New Roman"/>
                <w:noProof/>
                <w:webHidden/>
                <w:szCs w:val="24"/>
              </w:rPr>
              <w:fldChar w:fldCharType="separate"/>
            </w:r>
            <w:r w:rsidR="003811E6" w:rsidRPr="00056FDA">
              <w:rPr>
                <w:rFonts w:cs="Times New Roman"/>
                <w:noProof/>
                <w:webHidden/>
                <w:szCs w:val="24"/>
              </w:rPr>
              <w:t>8</w:t>
            </w:r>
            <w:r w:rsidR="003811E6" w:rsidRPr="00056FDA">
              <w:rPr>
                <w:rFonts w:cs="Times New Roman"/>
                <w:noProof/>
                <w:webHidden/>
                <w:szCs w:val="24"/>
              </w:rPr>
              <w:fldChar w:fldCharType="end"/>
            </w:r>
          </w:hyperlink>
        </w:p>
        <w:p w14:paraId="1FD396C0" w14:textId="77777777" w:rsidR="003811E6" w:rsidRPr="00056FDA" w:rsidRDefault="008414D5" w:rsidP="00B8676C">
          <w:pPr>
            <w:pStyle w:val="TOC3"/>
            <w:tabs>
              <w:tab w:val="right" w:leader="dot" w:pos="9350"/>
            </w:tabs>
            <w:rPr>
              <w:rFonts w:eastAsiaTheme="minorEastAsia" w:cs="Times New Roman"/>
              <w:noProof/>
              <w:szCs w:val="24"/>
            </w:rPr>
          </w:pPr>
          <w:hyperlink w:anchor="_Toc498631721" w:history="1">
            <w:r w:rsidR="003811E6" w:rsidRPr="00056FDA">
              <w:rPr>
                <w:rStyle w:val="Hyperlink"/>
                <w:rFonts w:cs="Times New Roman"/>
                <w:noProof/>
                <w:szCs w:val="24"/>
              </w:rPr>
              <w:t>Procedure for reporting case to the appropriate authority</w:t>
            </w:r>
            <w:r w:rsidR="003811E6" w:rsidRPr="00056FDA">
              <w:rPr>
                <w:rFonts w:cs="Times New Roman"/>
                <w:noProof/>
                <w:webHidden/>
                <w:szCs w:val="24"/>
              </w:rPr>
              <w:tab/>
            </w:r>
            <w:r w:rsidR="003811E6" w:rsidRPr="00056FDA">
              <w:rPr>
                <w:rFonts w:cs="Times New Roman"/>
                <w:noProof/>
                <w:webHidden/>
                <w:szCs w:val="24"/>
              </w:rPr>
              <w:fldChar w:fldCharType="begin"/>
            </w:r>
            <w:r w:rsidR="003811E6" w:rsidRPr="00056FDA">
              <w:rPr>
                <w:rFonts w:cs="Times New Roman"/>
                <w:noProof/>
                <w:webHidden/>
                <w:szCs w:val="24"/>
              </w:rPr>
              <w:instrText xml:space="preserve"> PAGEREF _Toc498631721 \h </w:instrText>
            </w:r>
            <w:r w:rsidR="003811E6" w:rsidRPr="00056FDA">
              <w:rPr>
                <w:rFonts w:cs="Times New Roman"/>
                <w:noProof/>
                <w:webHidden/>
                <w:szCs w:val="24"/>
              </w:rPr>
            </w:r>
            <w:r w:rsidR="003811E6" w:rsidRPr="00056FDA">
              <w:rPr>
                <w:rFonts w:cs="Times New Roman"/>
                <w:noProof/>
                <w:webHidden/>
                <w:szCs w:val="24"/>
              </w:rPr>
              <w:fldChar w:fldCharType="separate"/>
            </w:r>
            <w:r w:rsidR="003811E6" w:rsidRPr="00056FDA">
              <w:rPr>
                <w:rFonts w:cs="Times New Roman"/>
                <w:noProof/>
                <w:webHidden/>
                <w:szCs w:val="24"/>
              </w:rPr>
              <w:t>9</w:t>
            </w:r>
            <w:r w:rsidR="003811E6" w:rsidRPr="00056FDA">
              <w:rPr>
                <w:rFonts w:cs="Times New Roman"/>
                <w:noProof/>
                <w:webHidden/>
                <w:szCs w:val="24"/>
              </w:rPr>
              <w:fldChar w:fldCharType="end"/>
            </w:r>
          </w:hyperlink>
        </w:p>
        <w:p w14:paraId="134B1979" w14:textId="77777777" w:rsidR="003811E6" w:rsidRPr="00056FDA" w:rsidRDefault="008414D5" w:rsidP="00B8676C">
          <w:pPr>
            <w:pStyle w:val="TOC3"/>
            <w:tabs>
              <w:tab w:val="right" w:leader="dot" w:pos="9350"/>
            </w:tabs>
            <w:rPr>
              <w:rFonts w:eastAsiaTheme="minorEastAsia" w:cs="Times New Roman"/>
              <w:noProof/>
              <w:szCs w:val="24"/>
            </w:rPr>
          </w:pPr>
          <w:hyperlink w:anchor="_Toc498631722" w:history="1">
            <w:r w:rsidR="003811E6" w:rsidRPr="00056FDA">
              <w:rPr>
                <w:rStyle w:val="Hyperlink"/>
                <w:rFonts w:cs="Times New Roman"/>
                <w:noProof/>
                <w:szCs w:val="24"/>
              </w:rPr>
              <w:t>Guardian competent to consent on minor’s behalf</w:t>
            </w:r>
            <w:r w:rsidR="003811E6" w:rsidRPr="00056FDA">
              <w:rPr>
                <w:rFonts w:cs="Times New Roman"/>
                <w:noProof/>
                <w:webHidden/>
                <w:szCs w:val="24"/>
              </w:rPr>
              <w:tab/>
            </w:r>
            <w:r w:rsidR="003811E6" w:rsidRPr="00056FDA">
              <w:rPr>
                <w:rFonts w:cs="Times New Roman"/>
                <w:noProof/>
                <w:webHidden/>
                <w:szCs w:val="24"/>
              </w:rPr>
              <w:fldChar w:fldCharType="begin"/>
            </w:r>
            <w:r w:rsidR="003811E6" w:rsidRPr="00056FDA">
              <w:rPr>
                <w:rFonts w:cs="Times New Roman"/>
                <w:noProof/>
                <w:webHidden/>
                <w:szCs w:val="24"/>
              </w:rPr>
              <w:instrText xml:space="preserve"> PAGEREF _Toc498631722 \h </w:instrText>
            </w:r>
            <w:r w:rsidR="003811E6" w:rsidRPr="00056FDA">
              <w:rPr>
                <w:rFonts w:cs="Times New Roman"/>
                <w:noProof/>
                <w:webHidden/>
                <w:szCs w:val="24"/>
              </w:rPr>
            </w:r>
            <w:r w:rsidR="003811E6" w:rsidRPr="00056FDA">
              <w:rPr>
                <w:rFonts w:cs="Times New Roman"/>
                <w:noProof/>
                <w:webHidden/>
                <w:szCs w:val="24"/>
              </w:rPr>
              <w:fldChar w:fldCharType="separate"/>
            </w:r>
            <w:r w:rsidR="003811E6" w:rsidRPr="00056FDA">
              <w:rPr>
                <w:rFonts w:cs="Times New Roman"/>
                <w:noProof/>
                <w:webHidden/>
                <w:szCs w:val="24"/>
              </w:rPr>
              <w:t>10</w:t>
            </w:r>
            <w:r w:rsidR="003811E6" w:rsidRPr="00056FDA">
              <w:rPr>
                <w:rFonts w:cs="Times New Roman"/>
                <w:noProof/>
                <w:webHidden/>
                <w:szCs w:val="24"/>
              </w:rPr>
              <w:fldChar w:fldCharType="end"/>
            </w:r>
          </w:hyperlink>
        </w:p>
        <w:p w14:paraId="431CE2A4" w14:textId="542BB98C" w:rsidR="003811E6" w:rsidRPr="00056FDA" w:rsidRDefault="003811E6" w:rsidP="00B8676C">
          <w:pPr>
            <w:rPr>
              <w:rFonts w:cs="Times New Roman"/>
              <w:szCs w:val="24"/>
            </w:rPr>
          </w:pPr>
          <w:r w:rsidRPr="00056FDA">
            <w:rPr>
              <w:rFonts w:cs="Times New Roman"/>
              <w:szCs w:val="24"/>
            </w:rPr>
            <w:fldChar w:fldCharType="end"/>
          </w:r>
        </w:p>
      </w:sdtContent>
    </w:sdt>
    <w:p w14:paraId="2B44B593" w14:textId="58174298" w:rsidR="009D0922" w:rsidRDefault="009D0922" w:rsidP="009D0922">
      <w:pPr>
        <w:rPr>
          <w:szCs w:val="24"/>
        </w:rPr>
      </w:pPr>
      <w:bookmarkStart w:id="3" w:name="_Toc498631660"/>
      <w:bookmarkStart w:id="4" w:name="_Toc498631708"/>
      <w:bookmarkStart w:id="5" w:name="_Toc498631661"/>
      <w:bookmarkStart w:id="6" w:name="_Toc498631709"/>
      <w:bookmarkStart w:id="7" w:name="_Toc498629522"/>
      <w:bookmarkStart w:id="8" w:name="_Toc498631710"/>
      <w:bookmarkEnd w:id="3"/>
      <w:bookmarkEnd w:id="4"/>
      <w:bookmarkEnd w:id="5"/>
      <w:bookmarkEnd w:id="6"/>
    </w:p>
    <w:p w14:paraId="64AEB0B9" w14:textId="77777777" w:rsidR="00056FDA" w:rsidRPr="00056FDA" w:rsidRDefault="00056FDA" w:rsidP="009D0922">
      <w:pPr>
        <w:rPr>
          <w:szCs w:val="24"/>
        </w:rPr>
      </w:pPr>
    </w:p>
    <w:p w14:paraId="462F8372" w14:textId="215DD2CF" w:rsidR="00B24027" w:rsidRPr="00056FDA" w:rsidRDefault="00D50045" w:rsidP="001C5B3D">
      <w:pPr>
        <w:pStyle w:val="Heading2"/>
        <w:spacing w:before="0" w:after="0" w:line="480" w:lineRule="auto"/>
        <w:ind w:firstLine="0"/>
        <w:contextualSpacing w:val="0"/>
      </w:pPr>
      <w:r w:rsidRPr="00056FDA">
        <w:t>Introduction</w:t>
      </w:r>
      <w:bookmarkEnd w:id="7"/>
      <w:bookmarkEnd w:id="8"/>
    </w:p>
    <w:p w14:paraId="0781E282" w14:textId="77777777" w:rsidR="008738D8" w:rsidRPr="00056FDA" w:rsidRDefault="008738D8" w:rsidP="008738D8">
      <w:pPr>
        <w:rPr>
          <w:szCs w:val="24"/>
        </w:rPr>
      </w:pPr>
    </w:p>
    <w:p w14:paraId="79D6BE04" w14:textId="77777777" w:rsidR="008F5BF0" w:rsidRPr="00056FDA" w:rsidRDefault="009836DD" w:rsidP="001C5B3D">
      <w:pPr>
        <w:shd w:val="clear" w:color="auto" w:fill="FFFFFF"/>
        <w:spacing w:before="0" w:after="0" w:line="480" w:lineRule="auto"/>
        <w:rPr>
          <w:rFonts w:cs="Times New Roman"/>
          <w:szCs w:val="24"/>
        </w:rPr>
      </w:pPr>
      <w:r w:rsidRPr="00056FDA">
        <w:rPr>
          <w:rFonts w:cs="Times New Roman"/>
          <w:szCs w:val="24"/>
        </w:rPr>
        <w:t xml:space="preserve">In the past ten years, India has made remarkable progress in reducing its maternal mortality </w:t>
      </w:r>
      <w:r w:rsidR="00E700F9" w:rsidRPr="00056FDA">
        <w:rPr>
          <w:rFonts w:cs="Times New Roman"/>
          <w:szCs w:val="24"/>
        </w:rPr>
        <w:t>ratio</w:t>
      </w:r>
      <w:r w:rsidRPr="00056FDA">
        <w:rPr>
          <w:rFonts w:cs="Times New Roman"/>
          <w:szCs w:val="24"/>
        </w:rPr>
        <w:t xml:space="preserve">—in 2005, the </w:t>
      </w:r>
      <w:r w:rsidR="00E700F9" w:rsidRPr="00056FDA">
        <w:rPr>
          <w:rFonts w:cs="Times New Roman"/>
          <w:szCs w:val="24"/>
        </w:rPr>
        <w:t xml:space="preserve">ratio </w:t>
      </w:r>
      <w:r w:rsidRPr="00056FDA">
        <w:rPr>
          <w:rFonts w:cs="Times New Roman"/>
          <w:szCs w:val="24"/>
        </w:rPr>
        <w:t xml:space="preserve">was 280 per 100,000 live births, but </w:t>
      </w:r>
      <w:r w:rsidR="003D6944" w:rsidRPr="00056FDA">
        <w:rPr>
          <w:rFonts w:cs="Times New Roman"/>
          <w:szCs w:val="24"/>
        </w:rPr>
        <w:t xml:space="preserve">by </w:t>
      </w:r>
      <w:r w:rsidRPr="00056FDA">
        <w:rPr>
          <w:rFonts w:cs="Times New Roman"/>
          <w:szCs w:val="24"/>
        </w:rPr>
        <w:t>2015, it was reduced to 174</w:t>
      </w:r>
      <w:r w:rsidR="00EE51B6" w:rsidRPr="00056FDA">
        <w:rPr>
          <w:rFonts w:cs="Times New Roman"/>
          <w:szCs w:val="24"/>
        </w:rPr>
        <w:t xml:space="preserve"> (</w:t>
      </w:r>
      <w:r w:rsidR="00156BD1" w:rsidRPr="00056FDA">
        <w:rPr>
          <w:rFonts w:cs="Times New Roman"/>
          <w:szCs w:val="24"/>
        </w:rPr>
        <w:t xml:space="preserve">and </w:t>
      </w:r>
      <w:r w:rsidR="00EE51B6" w:rsidRPr="00056FDA">
        <w:rPr>
          <w:rFonts w:cs="Times New Roman"/>
          <w:szCs w:val="24"/>
        </w:rPr>
        <w:t xml:space="preserve">the </w:t>
      </w:r>
      <w:r w:rsidR="00EE51B6" w:rsidRPr="00056FDA">
        <w:rPr>
          <w:rFonts w:cs="Times New Roman"/>
          <w:szCs w:val="24"/>
        </w:rPr>
        <w:lastRenderedPageBreak/>
        <w:t>government’s data suggests even lower figures)</w:t>
      </w:r>
      <w:r w:rsidRPr="00056FDA">
        <w:rPr>
          <w:rFonts w:cs="Times New Roman"/>
          <w:szCs w:val="24"/>
        </w:rPr>
        <w:t>.</w:t>
      </w:r>
      <w:r w:rsidRPr="00056FDA">
        <w:rPr>
          <w:rStyle w:val="FootnoteReference"/>
          <w:rFonts w:cs="Times New Roman"/>
          <w:szCs w:val="24"/>
        </w:rPr>
        <w:footnoteReference w:id="1"/>
      </w:r>
      <w:r w:rsidRPr="00056FDA">
        <w:rPr>
          <w:rFonts w:cs="Times New Roman"/>
          <w:szCs w:val="24"/>
        </w:rPr>
        <w:t xml:space="preserve"> However, India still has the </w:t>
      </w:r>
      <w:r w:rsidR="00FF32E0" w:rsidRPr="00056FDA">
        <w:rPr>
          <w:rFonts w:cs="Times New Roman"/>
          <w:szCs w:val="24"/>
        </w:rPr>
        <w:t>second-</w:t>
      </w:r>
      <w:r w:rsidRPr="00056FDA">
        <w:rPr>
          <w:rFonts w:cs="Times New Roman"/>
          <w:szCs w:val="24"/>
        </w:rPr>
        <w:t>highest number of maternal deaths in th</w:t>
      </w:r>
      <w:r w:rsidR="00C07DE1" w:rsidRPr="00056FDA">
        <w:rPr>
          <w:rFonts w:cs="Times New Roman"/>
          <w:szCs w:val="24"/>
        </w:rPr>
        <w:t>e world, accounting for about 1</w:t>
      </w:r>
      <w:r w:rsidR="00FF32E0" w:rsidRPr="00056FDA">
        <w:rPr>
          <w:rFonts w:cs="Times New Roman"/>
          <w:szCs w:val="24"/>
        </w:rPr>
        <w:t>5</w:t>
      </w:r>
      <w:r w:rsidRPr="00056FDA">
        <w:rPr>
          <w:rFonts w:cs="Times New Roman"/>
          <w:szCs w:val="24"/>
        </w:rPr>
        <w:t xml:space="preserve">% of all maternal deaths </w:t>
      </w:r>
      <w:r w:rsidR="00111F96" w:rsidRPr="00056FDA">
        <w:rPr>
          <w:rFonts w:cs="Times New Roman"/>
          <w:szCs w:val="24"/>
        </w:rPr>
        <w:t>in 2015</w:t>
      </w:r>
      <w:r w:rsidRPr="00056FDA">
        <w:rPr>
          <w:rFonts w:cs="Times New Roman"/>
          <w:szCs w:val="24"/>
        </w:rPr>
        <w:t>.</w:t>
      </w:r>
      <w:r w:rsidRPr="00056FDA">
        <w:rPr>
          <w:rStyle w:val="FootnoteReference"/>
          <w:rFonts w:cs="Times New Roman"/>
          <w:szCs w:val="24"/>
        </w:rPr>
        <w:footnoteReference w:id="2"/>
      </w:r>
      <w:r w:rsidR="004B2E2A" w:rsidRPr="00056FDA">
        <w:rPr>
          <w:rFonts w:cs="Times New Roman"/>
          <w:szCs w:val="24"/>
        </w:rPr>
        <w:t xml:space="preserve"> </w:t>
      </w:r>
      <w:r w:rsidR="006628A1" w:rsidRPr="00056FDA">
        <w:rPr>
          <w:rFonts w:cs="Times New Roman"/>
          <w:szCs w:val="24"/>
        </w:rPr>
        <w:t xml:space="preserve">Unsafe abortions </w:t>
      </w:r>
      <w:r w:rsidR="004D12EF" w:rsidRPr="00056FDA">
        <w:rPr>
          <w:rFonts w:cs="Times New Roman"/>
          <w:szCs w:val="24"/>
        </w:rPr>
        <w:t xml:space="preserve">are a significant </w:t>
      </w:r>
      <w:r w:rsidR="00E91C3B" w:rsidRPr="00056FDA">
        <w:rPr>
          <w:rFonts w:cs="Times New Roman"/>
          <w:szCs w:val="24"/>
        </w:rPr>
        <w:t xml:space="preserve">contributor to this—it is estimated that complications due to unsafe abortions </w:t>
      </w:r>
      <w:r w:rsidR="00DC0634" w:rsidRPr="00056FDA">
        <w:rPr>
          <w:rFonts w:cs="Times New Roman"/>
          <w:szCs w:val="24"/>
        </w:rPr>
        <w:t xml:space="preserve">are responsible for 9% of </w:t>
      </w:r>
      <w:r w:rsidR="005A0996" w:rsidRPr="00056FDA">
        <w:rPr>
          <w:rFonts w:cs="Times New Roman"/>
          <w:szCs w:val="24"/>
        </w:rPr>
        <w:t>India’s maternal mortality.</w:t>
      </w:r>
      <w:r w:rsidR="008265D1" w:rsidRPr="00056FDA">
        <w:rPr>
          <w:rStyle w:val="FootnoteReference"/>
          <w:rFonts w:cs="Times New Roman"/>
          <w:szCs w:val="24"/>
        </w:rPr>
        <w:footnoteReference w:id="3"/>
      </w:r>
      <w:r w:rsidR="000E446F" w:rsidRPr="00056FDA">
        <w:rPr>
          <w:rFonts w:cs="Times New Roman"/>
          <w:szCs w:val="24"/>
        </w:rPr>
        <w:t xml:space="preserve"> By some estimates, </w:t>
      </w:r>
      <w:r w:rsidR="00345788" w:rsidRPr="00056FDA">
        <w:rPr>
          <w:rFonts w:cs="Times New Roman"/>
          <w:szCs w:val="24"/>
        </w:rPr>
        <w:t xml:space="preserve">a woman in India dies </w:t>
      </w:r>
      <w:r w:rsidR="00F52DE5" w:rsidRPr="00056FDA">
        <w:rPr>
          <w:rFonts w:cs="Times New Roman"/>
          <w:szCs w:val="24"/>
        </w:rPr>
        <w:t xml:space="preserve">every two hours </w:t>
      </w:r>
      <w:r w:rsidR="00345788" w:rsidRPr="00056FDA">
        <w:rPr>
          <w:rFonts w:cs="Times New Roman"/>
          <w:szCs w:val="24"/>
        </w:rPr>
        <w:t>from an unsafe abortion.</w:t>
      </w:r>
      <w:r w:rsidR="00345788" w:rsidRPr="00056FDA">
        <w:rPr>
          <w:rStyle w:val="FootnoteReference"/>
          <w:rFonts w:cs="Times New Roman"/>
          <w:szCs w:val="24"/>
        </w:rPr>
        <w:footnoteReference w:id="4"/>
      </w:r>
    </w:p>
    <w:p w14:paraId="705ECDDE" w14:textId="77777777" w:rsidR="008738D8" w:rsidRPr="00056FDA" w:rsidRDefault="008738D8" w:rsidP="001C5B3D">
      <w:pPr>
        <w:shd w:val="clear" w:color="auto" w:fill="FFFFFF"/>
        <w:spacing w:before="0" w:after="0" w:line="480" w:lineRule="auto"/>
        <w:rPr>
          <w:rFonts w:cs="Times New Roman"/>
          <w:szCs w:val="24"/>
        </w:rPr>
      </w:pPr>
    </w:p>
    <w:p w14:paraId="494ADDF1" w14:textId="3E44AB32" w:rsidR="002B5A25" w:rsidRPr="00056FDA" w:rsidRDefault="00B21514" w:rsidP="001C5B3D">
      <w:pPr>
        <w:shd w:val="clear" w:color="auto" w:fill="FFFFFF"/>
        <w:spacing w:before="0" w:after="0" w:line="480" w:lineRule="auto"/>
        <w:rPr>
          <w:rFonts w:cs="Times New Roman"/>
          <w:szCs w:val="24"/>
        </w:rPr>
      </w:pPr>
      <w:r w:rsidRPr="00056FDA">
        <w:rPr>
          <w:rFonts w:cs="Times New Roman"/>
          <w:szCs w:val="24"/>
        </w:rPr>
        <w:t xml:space="preserve">Unfortunately, </w:t>
      </w:r>
      <w:r w:rsidR="001542CE" w:rsidRPr="00056FDA">
        <w:rPr>
          <w:rFonts w:cs="Times New Roman"/>
          <w:szCs w:val="24"/>
        </w:rPr>
        <w:t>r</w:t>
      </w:r>
      <w:r w:rsidR="001C015E" w:rsidRPr="00056FDA">
        <w:rPr>
          <w:rFonts w:cs="Times New Roman"/>
          <w:szCs w:val="24"/>
        </w:rPr>
        <w:t xml:space="preserve">ecently enacted </w:t>
      </w:r>
      <w:r w:rsidR="004E761D" w:rsidRPr="00056FDA">
        <w:rPr>
          <w:rFonts w:cs="Times New Roman"/>
          <w:szCs w:val="24"/>
        </w:rPr>
        <w:t xml:space="preserve">laws </w:t>
      </w:r>
      <w:r w:rsidR="00555813" w:rsidRPr="00056FDA">
        <w:rPr>
          <w:rFonts w:cs="Times New Roman"/>
          <w:szCs w:val="24"/>
        </w:rPr>
        <w:t xml:space="preserve">and amendments </w:t>
      </w:r>
      <w:r w:rsidR="00FB6AC5" w:rsidRPr="00056FDA">
        <w:rPr>
          <w:rFonts w:cs="Times New Roman"/>
          <w:szCs w:val="24"/>
        </w:rPr>
        <w:t xml:space="preserve">that were </w:t>
      </w:r>
      <w:r w:rsidR="004E761D" w:rsidRPr="00056FDA">
        <w:rPr>
          <w:rFonts w:cs="Times New Roman"/>
          <w:szCs w:val="24"/>
        </w:rPr>
        <w:t xml:space="preserve">intended to </w:t>
      </w:r>
      <w:r w:rsidR="00555813" w:rsidRPr="00056FDA">
        <w:rPr>
          <w:rFonts w:cs="Times New Roman"/>
          <w:szCs w:val="24"/>
        </w:rPr>
        <w:t>protect women and</w:t>
      </w:r>
      <w:r w:rsidR="001542CE" w:rsidRPr="00056FDA">
        <w:rPr>
          <w:rFonts w:cs="Times New Roman"/>
          <w:szCs w:val="24"/>
        </w:rPr>
        <w:t xml:space="preserve"> children have unforeseen consequences when applied to minor girls seeking abortion.</w:t>
      </w:r>
      <w:r w:rsidR="009B55D6" w:rsidRPr="00056FDA">
        <w:rPr>
          <w:rFonts w:cs="Times New Roman"/>
          <w:szCs w:val="24"/>
        </w:rPr>
        <w:t xml:space="preserve"> As it exists today, India’s legal framework </w:t>
      </w:r>
      <w:r w:rsidR="00E2676D" w:rsidRPr="00056FDA">
        <w:rPr>
          <w:rFonts w:cs="Times New Roman"/>
          <w:szCs w:val="24"/>
        </w:rPr>
        <w:t>provide</w:t>
      </w:r>
      <w:r w:rsidR="009B55D6" w:rsidRPr="00056FDA">
        <w:rPr>
          <w:rFonts w:cs="Times New Roman"/>
          <w:szCs w:val="24"/>
        </w:rPr>
        <w:t>s</w:t>
      </w:r>
      <w:r w:rsidR="00E2676D" w:rsidRPr="00056FDA">
        <w:rPr>
          <w:rFonts w:cs="Times New Roman"/>
          <w:szCs w:val="24"/>
        </w:rPr>
        <w:t xml:space="preserve"> conflicting guidance to medical providers, </w:t>
      </w:r>
      <w:r w:rsidR="002B5A25" w:rsidRPr="00056FDA">
        <w:rPr>
          <w:rFonts w:cs="Times New Roman"/>
          <w:szCs w:val="24"/>
        </w:rPr>
        <w:t xml:space="preserve">does not </w:t>
      </w:r>
      <w:r w:rsidR="001C09DC" w:rsidRPr="00056FDA">
        <w:rPr>
          <w:rFonts w:cs="Times New Roman"/>
          <w:szCs w:val="24"/>
        </w:rPr>
        <w:t xml:space="preserve">adequately </w:t>
      </w:r>
      <w:r w:rsidR="00E71E04" w:rsidRPr="00056FDA">
        <w:rPr>
          <w:rFonts w:cs="Times New Roman"/>
          <w:szCs w:val="24"/>
        </w:rPr>
        <w:t xml:space="preserve">protect confidentiality, </w:t>
      </w:r>
      <w:r w:rsidR="006C152C" w:rsidRPr="00056FDA">
        <w:rPr>
          <w:rFonts w:cs="Times New Roman"/>
          <w:szCs w:val="24"/>
        </w:rPr>
        <w:t>require</w:t>
      </w:r>
      <w:r w:rsidR="00BC11D0" w:rsidRPr="00056FDA">
        <w:rPr>
          <w:rFonts w:cs="Times New Roman"/>
          <w:szCs w:val="24"/>
        </w:rPr>
        <w:t>s</w:t>
      </w:r>
      <w:r w:rsidR="006C152C" w:rsidRPr="00056FDA">
        <w:rPr>
          <w:rFonts w:cs="Times New Roman"/>
          <w:szCs w:val="24"/>
        </w:rPr>
        <w:t xml:space="preserve"> parental consent (with no exceptions), </w:t>
      </w:r>
      <w:r w:rsidR="007C3719" w:rsidRPr="00056FDA">
        <w:rPr>
          <w:rFonts w:cs="Times New Roman"/>
          <w:szCs w:val="24"/>
        </w:rPr>
        <w:t>treat</w:t>
      </w:r>
      <w:r w:rsidR="00BC11D0" w:rsidRPr="00056FDA">
        <w:rPr>
          <w:rFonts w:cs="Times New Roman"/>
          <w:szCs w:val="24"/>
        </w:rPr>
        <w:t>s</w:t>
      </w:r>
      <w:r w:rsidR="007C3719" w:rsidRPr="00056FDA">
        <w:rPr>
          <w:rFonts w:cs="Times New Roman"/>
          <w:szCs w:val="24"/>
        </w:rPr>
        <w:t xml:space="preserve"> all pregnant </w:t>
      </w:r>
      <w:r w:rsidR="00BC11D0" w:rsidRPr="00056FDA">
        <w:rPr>
          <w:rFonts w:cs="Times New Roman"/>
          <w:szCs w:val="24"/>
        </w:rPr>
        <w:t xml:space="preserve">minors </w:t>
      </w:r>
      <w:r w:rsidR="007C3719" w:rsidRPr="00056FDA">
        <w:rPr>
          <w:rFonts w:cs="Times New Roman"/>
          <w:szCs w:val="24"/>
        </w:rPr>
        <w:t xml:space="preserve">as rape victims, </w:t>
      </w:r>
      <w:r w:rsidR="0069594A" w:rsidRPr="00056FDA">
        <w:rPr>
          <w:rFonts w:cs="Times New Roman"/>
          <w:szCs w:val="24"/>
        </w:rPr>
        <w:t xml:space="preserve">and </w:t>
      </w:r>
      <w:r w:rsidR="00FF5360" w:rsidRPr="00056FDA">
        <w:rPr>
          <w:rFonts w:cs="Times New Roman"/>
          <w:szCs w:val="24"/>
        </w:rPr>
        <w:t>m</w:t>
      </w:r>
      <w:r w:rsidR="00DE6C7F" w:rsidRPr="00056FDA">
        <w:rPr>
          <w:rFonts w:cs="Times New Roman"/>
          <w:szCs w:val="24"/>
        </w:rPr>
        <w:t>andate</w:t>
      </w:r>
      <w:r w:rsidR="00BC11D0" w:rsidRPr="00056FDA">
        <w:rPr>
          <w:rFonts w:cs="Times New Roman"/>
          <w:szCs w:val="24"/>
        </w:rPr>
        <w:t>s</w:t>
      </w:r>
      <w:r w:rsidR="00DE6C7F" w:rsidRPr="00056FDA">
        <w:rPr>
          <w:rFonts w:cs="Times New Roman"/>
          <w:szCs w:val="24"/>
        </w:rPr>
        <w:t xml:space="preserve"> involvement</w:t>
      </w:r>
      <w:r w:rsidR="008C2DCD" w:rsidRPr="00056FDA">
        <w:rPr>
          <w:rFonts w:cs="Times New Roman"/>
          <w:szCs w:val="24"/>
        </w:rPr>
        <w:t xml:space="preserve"> of the criminal justice system</w:t>
      </w:r>
      <w:r w:rsidR="002D0DC6" w:rsidRPr="00056FDA">
        <w:rPr>
          <w:rFonts w:cs="Times New Roman"/>
          <w:szCs w:val="24"/>
        </w:rPr>
        <w:t>.</w:t>
      </w:r>
      <w:r w:rsidR="00125DF0" w:rsidRPr="00056FDA">
        <w:rPr>
          <w:rFonts w:cs="Times New Roman"/>
          <w:szCs w:val="24"/>
        </w:rPr>
        <w:t xml:space="preserve"> </w:t>
      </w:r>
      <w:r w:rsidR="00874995" w:rsidRPr="00056FDA">
        <w:rPr>
          <w:rFonts w:cs="Times New Roman"/>
          <w:szCs w:val="24"/>
        </w:rPr>
        <w:t>These problemati</w:t>
      </w:r>
      <w:r w:rsidR="00E51C31" w:rsidRPr="00056FDA">
        <w:rPr>
          <w:rFonts w:cs="Times New Roman"/>
          <w:szCs w:val="24"/>
        </w:rPr>
        <w:t xml:space="preserve">c consequences, together with </w:t>
      </w:r>
      <w:r w:rsidR="004F0C75" w:rsidRPr="00056FDA">
        <w:rPr>
          <w:rFonts w:cs="Times New Roman"/>
          <w:szCs w:val="24"/>
        </w:rPr>
        <w:t xml:space="preserve">abortion-related stigma and </w:t>
      </w:r>
      <w:r w:rsidR="000749CB" w:rsidRPr="00056FDA">
        <w:rPr>
          <w:rFonts w:cs="Times New Roman"/>
          <w:szCs w:val="24"/>
        </w:rPr>
        <w:t>conservative v</w:t>
      </w:r>
      <w:r w:rsidR="00FC22AF" w:rsidRPr="00056FDA">
        <w:rPr>
          <w:rFonts w:cs="Times New Roman"/>
          <w:szCs w:val="24"/>
        </w:rPr>
        <w:t>iews regarding pre-marital sex,</w:t>
      </w:r>
      <w:r w:rsidR="008243A4" w:rsidRPr="00056FDA">
        <w:rPr>
          <w:rFonts w:cs="Times New Roman"/>
          <w:szCs w:val="24"/>
        </w:rPr>
        <w:t xml:space="preserve"> </w:t>
      </w:r>
      <w:r w:rsidR="002D2E4B" w:rsidRPr="00056FDA">
        <w:rPr>
          <w:rFonts w:cs="Times New Roman"/>
          <w:szCs w:val="24"/>
        </w:rPr>
        <w:t xml:space="preserve">force many </w:t>
      </w:r>
      <w:r w:rsidR="0090147A" w:rsidRPr="00056FDA">
        <w:rPr>
          <w:rFonts w:cs="Times New Roman"/>
          <w:szCs w:val="24"/>
        </w:rPr>
        <w:t>minor girls</w:t>
      </w:r>
      <w:r w:rsidR="00BD21D5" w:rsidRPr="00056FDA">
        <w:rPr>
          <w:rFonts w:cs="Times New Roman"/>
          <w:szCs w:val="24"/>
        </w:rPr>
        <w:t xml:space="preserve"> to seek </w:t>
      </w:r>
      <w:r w:rsidR="006E1266" w:rsidRPr="00056FDA">
        <w:rPr>
          <w:rFonts w:cs="Times New Roman"/>
          <w:szCs w:val="24"/>
        </w:rPr>
        <w:t>abortion</w:t>
      </w:r>
      <w:r w:rsidR="0090147A" w:rsidRPr="00056FDA">
        <w:rPr>
          <w:rFonts w:cs="Times New Roman"/>
          <w:szCs w:val="24"/>
        </w:rPr>
        <w:t xml:space="preserve"> </w:t>
      </w:r>
      <w:r w:rsidR="00DD0BE6" w:rsidRPr="00056FDA">
        <w:rPr>
          <w:rFonts w:cs="Times New Roman"/>
          <w:szCs w:val="24"/>
        </w:rPr>
        <w:t xml:space="preserve">from </w:t>
      </w:r>
      <w:r w:rsidR="0090147A" w:rsidRPr="00056FDA">
        <w:rPr>
          <w:rFonts w:cs="Times New Roman"/>
          <w:szCs w:val="24"/>
        </w:rPr>
        <w:t>unlicensed or unqualified providers outside the mainstream health system</w:t>
      </w:r>
      <w:r w:rsidR="005C47D6" w:rsidRPr="00056FDA">
        <w:rPr>
          <w:rFonts w:cs="Times New Roman"/>
          <w:szCs w:val="24"/>
        </w:rPr>
        <w:t>, or in the absence of healthcare services, continue unwanted pregnancies to term</w:t>
      </w:r>
      <w:r w:rsidR="00306225" w:rsidRPr="00056FDA">
        <w:rPr>
          <w:rFonts w:cs="Times New Roman"/>
          <w:szCs w:val="24"/>
        </w:rPr>
        <w:t xml:space="preserve">. </w:t>
      </w:r>
      <w:r w:rsidR="006E1266" w:rsidRPr="00056FDA">
        <w:rPr>
          <w:rFonts w:cs="Times New Roman"/>
          <w:szCs w:val="24"/>
        </w:rPr>
        <w:t xml:space="preserve">This </w:t>
      </w:r>
      <w:r w:rsidR="0090147A" w:rsidRPr="00056FDA">
        <w:rPr>
          <w:rFonts w:cs="Times New Roman"/>
          <w:szCs w:val="24"/>
        </w:rPr>
        <w:t>leads directly to unnecessary complications and death</w:t>
      </w:r>
      <w:r w:rsidR="00C45A2F" w:rsidRPr="00056FDA">
        <w:rPr>
          <w:rFonts w:cs="Times New Roman"/>
          <w:szCs w:val="24"/>
        </w:rPr>
        <w:t xml:space="preserve">, apart from aggravated financial burdens, </w:t>
      </w:r>
      <w:r w:rsidR="0085602E" w:rsidRPr="00056FDA">
        <w:rPr>
          <w:rFonts w:cs="Times New Roman"/>
          <w:szCs w:val="24"/>
        </w:rPr>
        <w:t xml:space="preserve">and </w:t>
      </w:r>
      <w:r w:rsidR="00C45A2F" w:rsidRPr="00056FDA">
        <w:rPr>
          <w:rFonts w:cs="Times New Roman"/>
          <w:szCs w:val="24"/>
        </w:rPr>
        <w:t>psychological and mental health consequences.</w:t>
      </w:r>
      <w:r w:rsidR="0090147A" w:rsidRPr="00056FDA">
        <w:rPr>
          <w:rFonts w:cs="Times New Roman"/>
          <w:szCs w:val="24"/>
        </w:rPr>
        <w:t xml:space="preserve"> This report will review the legal framework </w:t>
      </w:r>
      <w:r w:rsidR="0062637C" w:rsidRPr="00056FDA">
        <w:rPr>
          <w:rFonts w:cs="Times New Roman"/>
          <w:szCs w:val="24"/>
        </w:rPr>
        <w:t>relating to</w:t>
      </w:r>
      <w:r w:rsidR="00E15F8E" w:rsidRPr="00056FDA">
        <w:rPr>
          <w:rFonts w:cs="Times New Roman"/>
          <w:szCs w:val="24"/>
        </w:rPr>
        <w:t xml:space="preserve"> abortion in India, </w:t>
      </w:r>
      <w:r w:rsidR="0090147A" w:rsidRPr="00056FDA">
        <w:rPr>
          <w:rFonts w:cs="Times New Roman"/>
          <w:szCs w:val="24"/>
        </w:rPr>
        <w:t xml:space="preserve">explain how </w:t>
      </w:r>
      <w:r w:rsidR="0085602E" w:rsidRPr="00056FDA">
        <w:rPr>
          <w:rFonts w:cs="Times New Roman"/>
          <w:szCs w:val="24"/>
        </w:rPr>
        <w:t>conflicting laws</w:t>
      </w:r>
      <w:r w:rsidR="0090147A" w:rsidRPr="00056FDA">
        <w:rPr>
          <w:rFonts w:cs="Times New Roman"/>
          <w:szCs w:val="24"/>
        </w:rPr>
        <w:t xml:space="preserve"> negatively </w:t>
      </w:r>
      <w:r w:rsidR="00930D38" w:rsidRPr="00056FDA">
        <w:rPr>
          <w:rFonts w:cs="Times New Roman"/>
          <w:szCs w:val="24"/>
        </w:rPr>
        <w:lastRenderedPageBreak/>
        <w:t>impact</w:t>
      </w:r>
      <w:r w:rsidR="0090147A" w:rsidRPr="00056FDA">
        <w:rPr>
          <w:rFonts w:cs="Times New Roman"/>
          <w:szCs w:val="24"/>
        </w:rPr>
        <w:t xml:space="preserve"> the health of </w:t>
      </w:r>
      <w:r w:rsidR="00930D38" w:rsidRPr="00056FDA">
        <w:rPr>
          <w:rFonts w:cs="Times New Roman"/>
          <w:szCs w:val="24"/>
        </w:rPr>
        <w:t>minor girls</w:t>
      </w:r>
      <w:r w:rsidR="00E15F8E" w:rsidRPr="00056FDA">
        <w:rPr>
          <w:rFonts w:cs="Times New Roman"/>
          <w:szCs w:val="24"/>
        </w:rPr>
        <w:t xml:space="preserve">, </w:t>
      </w:r>
      <w:r w:rsidR="00DD379A" w:rsidRPr="00056FDA">
        <w:rPr>
          <w:rFonts w:cs="Times New Roman"/>
          <w:szCs w:val="24"/>
        </w:rPr>
        <w:t xml:space="preserve">provide </w:t>
      </w:r>
      <w:r w:rsidR="002026A0" w:rsidRPr="00056FDA">
        <w:rPr>
          <w:rFonts w:cs="Times New Roman"/>
          <w:szCs w:val="24"/>
        </w:rPr>
        <w:t xml:space="preserve">guidance regarding </w:t>
      </w:r>
      <w:r w:rsidR="001A796F" w:rsidRPr="00056FDA">
        <w:rPr>
          <w:rFonts w:cs="Times New Roman"/>
          <w:szCs w:val="24"/>
        </w:rPr>
        <w:t>the law’s requirements, and highlight important issues that deserve further consideration and discussion.</w:t>
      </w:r>
    </w:p>
    <w:p w14:paraId="6B686DDC" w14:textId="77777777" w:rsidR="008F5BF0" w:rsidRPr="00056FDA" w:rsidRDefault="008F5BF0" w:rsidP="001C5B3D">
      <w:pPr>
        <w:shd w:val="clear" w:color="auto" w:fill="FFFFFF"/>
        <w:spacing w:before="0" w:after="0" w:line="480" w:lineRule="auto"/>
        <w:rPr>
          <w:rFonts w:cs="Times New Roman"/>
          <w:szCs w:val="24"/>
        </w:rPr>
      </w:pPr>
    </w:p>
    <w:p w14:paraId="5831537F" w14:textId="22F7662E" w:rsidR="00BE6039" w:rsidRPr="00056FDA" w:rsidRDefault="00BE6039" w:rsidP="001C5B3D">
      <w:pPr>
        <w:pStyle w:val="Heading2"/>
        <w:spacing w:before="0" w:after="0" w:line="480" w:lineRule="auto"/>
        <w:ind w:firstLine="0"/>
        <w:contextualSpacing w:val="0"/>
      </w:pPr>
      <w:bookmarkStart w:id="9" w:name="_Toc498629523"/>
      <w:bookmarkStart w:id="10" w:name="_Toc498631711"/>
      <w:r w:rsidRPr="00056FDA">
        <w:t>The Legal Framework on Abortion in India</w:t>
      </w:r>
      <w:bookmarkEnd w:id="9"/>
      <w:bookmarkEnd w:id="10"/>
    </w:p>
    <w:p w14:paraId="1FFD5600" w14:textId="77777777" w:rsidR="008738D8" w:rsidRPr="00056FDA" w:rsidRDefault="008738D8" w:rsidP="008738D8">
      <w:pPr>
        <w:rPr>
          <w:szCs w:val="24"/>
        </w:rPr>
      </w:pPr>
    </w:p>
    <w:p w14:paraId="775D0D05" w14:textId="6114FFD4" w:rsidR="006E1D5E" w:rsidRPr="00056FDA" w:rsidRDefault="00BE6039" w:rsidP="001C5B3D">
      <w:pPr>
        <w:spacing w:before="0" w:after="0" w:line="480" w:lineRule="auto"/>
        <w:rPr>
          <w:rFonts w:eastAsia="Times New Roman" w:cs="Times New Roman"/>
          <w:szCs w:val="24"/>
        </w:rPr>
      </w:pPr>
      <w:r w:rsidRPr="00056FDA">
        <w:rPr>
          <w:rFonts w:eastAsia="Times New Roman" w:cs="Times New Roman"/>
          <w:szCs w:val="24"/>
        </w:rPr>
        <w:t>In India, several laws relate, directly or indirectly, to abortion. Before the enactment of a special law on abortion, sections 312 to 316 of</w:t>
      </w:r>
      <w:r w:rsidR="001C5B3D" w:rsidRPr="00056FDA">
        <w:rPr>
          <w:rFonts w:eastAsia="Times New Roman" w:cs="Times New Roman"/>
          <w:szCs w:val="24"/>
        </w:rPr>
        <w:t xml:space="preserve"> the Indian Penal Code, 1860 </w:t>
      </w:r>
      <w:r w:rsidRPr="00056FDA">
        <w:rPr>
          <w:rFonts w:eastAsia="Times New Roman" w:cs="Times New Roman"/>
          <w:szCs w:val="24"/>
        </w:rPr>
        <w:t xml:space="preserve">criminalized all forms of abortion except to save the life of the pregnant woman, as well as inducement of abortion.  </w:t>
      </w:r>
    </w:p>
    <w:p w14:paraId="2A0BC124" w14:textId="77777777" w:rsidR="008738D8" w:rsidRPr="00056FDA" w:rsidRDefault="008738D8" w:rsidP="001C5B3D">
      <w:pPr>
        <w:spacing w:before="0" w:after="0" w:line="480" w:lineRule="auto"/>
        <w:rPr>
          <w:rFonts w:eastAsia="Times New Roman" w:cs="Times New Roman"/>
          <w:szCs w:val="24"/>
        </w:rPr>
      </w:pPr>
    </w:p>
    <w:p w14:paraId="47C96982" w14:textId="24388A06" w:rsidR="00BE6039" w:rsidRPr="00056FDA" w:rsidRDefault="00BE6039" w:rsidP="001C5B3D">
      <w:pPr>
        <w:spacing w:before="0" w:after="0" w:line="480" w:lineRule="auto"/>
        <w:rPr>
          <w:rFonts w:cs="Times New Roman"/>
          <w:szCs w:val="24"/>
        </w:rPr>
      </w:pPr>
      <w:r w:rsidRPr="00056FDA">
        <w:rPr>
          <w:rFonts w:cs="Times New Roman"/>
          <w:szCs w:val="24"/>
        </w:rPr>
        <w:t>The Medical Termination of Pregnancy (MTP) Act was enacted in 1971 to provide for specific exceptions to the prohibition of abortion as set out in the IPC, primarily in response to concerns about India’s high population growth rate</w:t>
      </w:r>
      <w:r w:rsidR="005C47D6" w:rsidRPr="00056FDA">
        <w:rPr>
          <w:rFonts w:cs="Times New Roman"/>
          <w:szCs w:val="24"/>
        </w:rPr>
        <w:t>, and lack of safe abortion services that resulted in high rates of maternal mortality</w:t>
      </w:r>
      <w:r w:rsidRPr="00056FDA">
        <w:rPr>
          <w:rFonts w:cs="Times New Roman"/>
          <w:szCs w:val="24"/>
        </w:rPr>
        <w:t xml:space="preserve">. </w:t>
      </w:r>
      <w:r w:rsidR="00503398" w:rsidRPr="00056FDA">
        <w:rPr>
          <w:rFonts w:cs="Times New Roman"/>
          <w:szCs w:val="24"/>
        </w:rPr>
        <w:t xml:space="preserve">The Statement of Objects and Reasons specifically bases termination of pregnancy in mental and physical health, humanitarian and eugenic grounds. </w:t>
      </w:r>
      <w:r w:rsidR="00071AA4" w:rsidRPr="00056FDA">
        <w:rPr>
          <w:rFonts w:cs="Times New Roman"/>
          <w:szCs w:val="24"/>
        </w:rPr>
        <w:t xml:space="preserve">The </w:t>
      </w:r>
      <w:r w:rsidR="00237BA5" w:rsidRPr="00056FDA">
        <w:rPr>
          <w:rFonts w:cs="Times New Roman"/>
          <w:szCs w:val="24"/>
        </w:rPr>
        <w:t xml:space="preserve">MTP Act </w:t>
      </w:r>
      <w:r w:rsidRPr="00056FDA">
        <w:rPr>
          <w:rFonts w:cs="Times New Roman"/>
          <w:szCs w:val="24"/>
        </w:rPr>
        <w:t>allows women to obtain abortions up to twenty weeks where continuing the pregnancy would involve a risk of grave injury to the women’s physical or mental health or there is a substantial risk that the child would be born with a serious handicap. Section 5 of the Act allows for abortion after twenty weeks of gestation, but only to save the life of the pregnant woman. This ground has come to be widely interpreted by courts</w:t>
      </w:r>
      <w:r w:rsidR="005C47D6" w:rsidRPr="00056FDA">
        <w:rPr>
          <w:rFonts w:cs="Times New Roman"/>
          <w:szCs w:val="24"/>
        </w:rPr>
        <w:t xml:space="preserve"> and may be said</w:t>
      </w:r>
      <w:r w:rsidRPr="00056FDA">
        <w:rPr>
          <w:rFonts w:cs="Times New Roman"/>
          <w:szCs w:val="24"/>
        </w:rPr>
        <w:t xml:space="preserve"> to include</w:t>
      </w:r>
      <w:r w:rsidR="005C47D6" w:rsidRPr="00056FDA">
        <w:rPr>
          <w:rFonts w:cs="Times New Roman"/>
          <w:szCs w:val="24"/>
        </w:rPr>
        <w:t xml:space="preserve"> the pregnant woman’s</w:t>
      </w:r>
      <w:r w:rsidRPr="00056FDA">
        <w:rPr>
          <w:rFonts w:cs="Times New Roman"/>
          <w:szCs w:val="24"/>
        </w:rPr>
        <w:t xml:space="preserve"> mental health</w:t>
      </w:r>
      <w:r w:rsidR="00DE18FB" w:rsidRPr="00056FDA">
        <w:rPr>
          <w:rFonts w:cs="Times New Roman"/>
          <w:szCs w:val="24"/>
        </w:rPr>
        <w:t>.</w:t>
      </w:r>
      <w:r w:rsidRPr="00056FDA">
        <w:rPr>
          <w:rStyle w:val="FootnoteReference"/>
          <w:rFonts w:cs="Times New Roman"/>
          <w:szCs w:val="24"/>
        </w:rPr>
        <w:footnoteReference w:id="5"/>
      </w:r>
      <w:r w:rsidR="005C47D6" w:rsidRPr="00056FDA">
        <w:rPr>
          <w:rFonts w:cs="Times New Roman"/>
          <w:szCs w:val="24"/>
        </w:rPr>
        <w:t xml:space="preserve"> </w:t>
      </w:r>
      <w:r w:rsidRPr="00056FDA">
        <w:rPr>
          <w:rFonts w:cs="Times New Roman"/>
          <w:szCs w:val="24"/>
        </w:rPr>
        <w:t xml:space="preserve"> The MTP Regulations, 2003 set forth </w:t>
      </w:r>
      <w:r w:rsidR="00F94BED" w:rsidRPr="00056FDA">
        <w:rPr>
          <w:rFonts w:cs="Times New Roman"/>
          <w:szCs w:val="24"/>
        </w:rPr>
        <w:t xml:space="preserve">the </w:t>
      </w:r>
      <w:r w:rsidRPr="00056FDA">
        <w:rPr>
          <w:rFonts w:cs="Times New Roman"/>
          <w:szCs w:val="24"/>
        </w:rPr>
        <w:t xml:space="preserve">conditions and procedures for implementing the Act. </w:t>
      </w:r>
    </w:p>
    <w:p w14:paraId="54D90242" w14:textId="77777777" w:rsidR="008738D8" w:rsidRPr="00056FDA" w:rsidRDefault="008738D8" w:rsidP="001C5B3D">
      <w:pPr>
        <w:spacing w:before="0" w:after="0" w:line="480" w:lineRule="auto"/>
        <w:rPr>
          <w:rFonts w:cs="Times New Roman"/>
          <w:szCs w:val="24"/>
        </w:rPr>
      </w:pPr>
    </w:p>
    <w:p w14:paraId="14E18143" w14:textId="73671727" w:rsidR="006E1D5E" w:rsidRPr="00056FDA" w:rsidRDefault="00BE6039" w:rsidP="001C5B3D">
      <w:pPr>
        <w:spacing w:before="0" w:after="0" w:line="480" w:lineRule="auto"/>
        <w:rPr>
          <w:rFonts w:cs="Times New Roman"/>
          <w:szCs w:val="24"/>
        </w:rPr>
      </w:pPr>
      <w:r w:rsidRPr="00056FDA">
        <w:rPr>
          <w:rFonts w:cs="Times New Roman"/>
          <w:szCs w:val="24"/>
        </w:rPr>
        <w:lastRenderedPageBreak/>
        <w:t>The Protection of Children from Sexual Offences (POCSO) Act, 2012</w:t>
      </w:r>
      <w:r w:rsidR="00503398" w:rsidRPr="00056FDA">
        <w:rPr>
          <w:rFonts w:cs="Times New Roman"/>
          <w:szCs w:val="24"/>
        </w:rPr>
        <w:t>, while specifically aimed at protecting children from offences of sexual assault, sexual harassment and pornography,</w:t>
      </w:r>
      <w:r w:rsidR="001419C3" w:rsidRPr="00056FDA">
        <w:rPr>
          <w:rFonts w:cs="Times New Roman"/>
          <w:szCs w:val="24"/>
        </w:rPr>
        <w:t xml:space="preserve"> is built</w:t>
      </w:r>
      <w:r w:rsidR="00503398" w:rsidRPr="00056FDA">
        <w:rPr>
          <w:rFonts w:cs="Times New Roman"/>
          <w:szCs w:val="24"/>
        </w:rPr>
        <w:t xml:space="preserve"> around a</w:t>
      </w:r>
      <w:r w:rsidR="001419C3" w:rsidRPr="00056FDA">
        <w:rPr>
          <w:rFonts w:cs="Times New Roman"/>
          <w:szCs w:val="24"/>
        </w:rPr>
        <w:t>n overarching</w:t>
      </w:r>
      <w:r w:rsidR="00503398" w:rsidRPr="00056FDA">
        <w:rPr>
          <w:rFonts w:cs="Times New Roman"/>
          <w:szCs w:val="24"/>
        </w:rPr>
        <w:t xml:space="preserve"> framework that regards the best interests and wellbeing of the child to be of paramount importance. The Act</w:t>
      </w:r>
      <w:r w:rsidRPr="00056FDA">
        <w:rPr>
          <w:rFonts w:cs="Times New Roman"/>
          <w:szCs w:val="24"/>
        </w:rPr>
        <w:t xml:space="preserve"> defines certain sexual offenses against minors</w:t>
      </w:r>
      <w:r w:rsidR="00DE18FB" w:rsidRPr="00056FDA">
        <w:rPr>
          <w:rFonts w:cs="Times New Roman"/>
          <w:szCs w:val="24"/>
        </w:rPr>
        <w:t>, i.e. those below the age of 18 years,</w:t>
      </w:r>
      <w:r w:rsidRPr="00056FDA">
        <w:rPr>
          <w:rFonts w:cs="Times New Roman"/>
          <w:szCs w:val="24"/>
        </w:rPr>
        <w:t xml:space="preserve"> and imposes reporting requirements for anyone who knows that an offense has been or is likely to be committed. The Code of Criminal Procedure (CrPC) has a similar reporting requirement for hospitals regarding sexual offenses under the Indian Penal Code (IPC). </w:t>
      </w:r>
    </w:p>
    <w:p w14:paraId="03E4226E" w14:textId="77777777" w:rsidR="003747A7" w:rsidRPr="00056FDA" w:rsidRDefault="003747A7" w:rsidP="001C5B3D">
      <w:pPr>
        <w:spacing w:before="0" w:after="0" w:line="480" w:lineRule="auto"/>
        <w:rPr>
          <w:rFonts w:cs="Times New Roman"/>
          <w:szCs w:val="24"/>
        </w:rPr>
      </w:pPr>
    </w:p>
    <w:p w14:paraId="54F020A3" w14:textId="1B82D8D1" w:rsidR="001419C3" w:rsidRPr="00056FDA" w:rsidRDefault="001419C3" w:rsidP="001C5B3D">
      <w:pPr>
        <w:spacing w:before="0" w:after="0" w:line="480" w:lineRule="auto"/>
        <w:rPr>
          <w:rFonts w:cs="Times New Roman"/>
          <w:szCs w:val="24"/>
        </w:rPr>
      </w:pPr>
      <w:r w:rsidRPr="00056FDA">
        <w:rPr>
          <w:rFonts w:cs="Times New Roman"/>
          <w:szCs w:val="24"/>
        </w:rPr>
        <w:t xml:space="preserve">The Juvenile Justice (Care and Protection of Children) Act, 2015 (JJ Act) was enacted subsequently with the intent to provide basic needs to children in conflict with law and children in need of care and protection by adopting a child-friendly approach that secures the best interests of the child. </w:t>
      </w:r>
    </w:p>
    <w:p w14:paraId="620986D0" w14:textId="77777777" w:rsidR="003747A7" w:rsidRPr="00056FDA" w:rsidRDefault="003747A7" w:rsidP="001C5B3D">
      <w:pPr>
        <w:spacing w:before="0" w:after="0" w:line="480" w:lineRule="auto"/>
        <w:rPr>
          <w:rFonts w:cs="Times New Roman"/>
          <w:szCs w:val="24"/>
        </w:rPr>
      </w:pPr>
    </w:p>
    <w:p w14:paraId="6801F626" w14:textId="3A32AD42" w:rsidR="007B7A12" w:rsidRPr="00056FDA" w:rsidRDefault="008A17CD" w:rsidP="001C5B3D">
      <w:pPr>
        <w:spacing w:before="0" w:after="0" w:line="480" w:lineRule="auto"/>
        <w:rPr>
          <w:rFonts w:cs="Times New Roman"/>
          <w:szCs w:val="24"/>
        </w:rPr>
      </w:pPr>
      <w:r w:rsidRPr="00056FDA">
        <w:rPr>
          <w:rFonts w:cs="Times New Roman"/>
          <w:szCs w:val="24"/>
        </w:rPr>
        <w:t xml:space="preserve">A brief overview of the intent behind enactment of the above laws is necessary to contextualize the operation of these laws in practice and their conflicting aspects, which </w:t>
      </w:r>
      <w:r w:rsidR="00BE6039" w:rsidRPr="00056FDA">
        <w:rPr>
          <w:rFonts w:cs="Times New Roman"/>
          <w:szCs w:val="24"/>
        </w:rPr>
        <w:t>will be discussed in detail b</w:t>
      </w:r>
      <w:r w:rsidR="00535CF0" w:rsidRPr="00056FDA">
        <w:rPr>
          <w:rFonts w:cs="Times New Roman"/>
          <w:szCs w:val="24"/>
        </w:rPr>
        <w:t>e</w:t>
      </w:r>
      <w:r w:rsidR="00BE6039" w:rsidRPr="00056FDA">
        <w:rPr>
          <w:rFonts w:cs="Times New Roman"/>
          <w:szCs w:val="24"/>
        </w:rPr>
        <w:t>low.</w:t>
      </w:r>
      <w:r w:rsidR="00832F3D" w:rsidRPr="00056FDA">
        <w:rPr>
          <w:rFonts w:cs="Times New Roman"/>
          <w:szCs w:val="24"/>
        </w:rPr>
        <w:t xml:space="preserve"> </w:t>
      </w:r>
      <w:r w:rsidR="003310F9" w:rsidRPr="00056FDA">
        <w:rPr>
          <w:rFonts w:cs="Times New Roman"/>
          <w:szCs w:val="24"/>
        </w:rPr>
        <w:t xml:space="preserve">But this dialogue will remain incomplete without taking note of the orientation of this report. Not only does this report center the conversation relating to conflicting laws on unintended consequences of such conflicts, but further aims to establish that a majority of these conflicts and ambiguities can be </w:t>
      </w:r>
      <w:r w:rsidR="007B7A12" w:rsidRPr="00056FDA">
        <w:rPr>
          <w:rFonts w:cs="Times New Roman"/>
          <w:szCs w:val="24"/>
        </w:rPr>
        <w:t xml:space="preserve">potentially </w:t>
      </w:r>
      <w:r w:rsidR="003310F9" w:rsidRPr="00056FDA">
        <w:rPr>
          <w:rFonts w:cs="Times New Roman"/>
          <w:szCs w:val="24"/>
        </w:rPr>
        <w:t xml:space="preserve">resolved by resorting to the standard that prescribes best interests of the child to be of paramount </w:t>
      </w:r>
      <w:r w:rsidR="007B275B" w:rsidRPr="00056FDA">
        <w:rPr>
          <w:rFonts w:cs="Times New Roman"/>
          <w:szCs w:val="24"/>
        </w:rPr>
        <w:t>importance</w:t>
      </w:r>
      <w:r w:rsidR="003310F9" w:rsidRPr="00056FDA">
        <w:rPr>
          <w:rFonts w:cs="Times New Roman"/>
          <w:szCs w:val="24"/>
        </w:rPr>
        <w:t>. Article 3.1 of the UN Convention on the Rights of the Child (CRC) requires “the best interests of the child” to be the “primary consideration…in all actions concerning children, whether undertaken by public or private social welfare institutions, courts of law, administrative authorities or legislative bodies.” Child rights jurisprudence has attempted to resolve the problem of indeterminacy of the best interest standard by building a core set of inviolable rights that must be taken into consideration to assess the best interest of a child, and by incorporating a child’s participation in decision making as key to such as assessment.</w:t>
      </w:r>
      <w:r w:rsidR="003310F9" w:rsidRPr="00056FDA">
        <w:rPr>
          <w:rStyle w:val="FootnoteReference"/>
          <w:rFonts w:cs="Times New Roman"/>
          <w:szCs w:val="24"/>
        </w:rPr>
        <w:footnoteReference w:id="6"/>
      </w:r>
      <w:r w:rsidR="003310F9" w:rsidRPr="00056FDA">
        <w:rPr>
          <w:rFonts w:cs="Times New Roman"/>
          <w:szCs w:val="24"/>
        </w:rPr>
        <w:t xml:space="preserve">  The CRC has further urged states to review their legislation in order to guarantee the “best interests of pregnant adolescents and ensure that their views are always heard and respected in abortion-related decisions.” The CRC has also called on states to ensure that “girls can make autonomous and informed decisions on their reproductive health”. Incorporating such principles in an assessment of best interests of a pregnant minor, and in particular a pregnant adolescent, would build strong foundations for a human rights and autonomy-centric child rights jurisprudence in India. </w:t>
      </w:r>
    </w:p>
    <w:p w14:paraId="2285C3E3" w14:textId="77777777" w:rsidR="003747A7" w:rsidRPr="00056FDA" w:rsidRDefault="003747A7" w:rsidP="001C5B3D">
      <w:pPr>
        <w:spacing w:before="0" w:after="0" w:line="480" w:lineRule="auto"/>
        <w:rPr>
          <w:rFonts w:cs="Times New Roman"/>
          <w:szCs w:val="24"/>
        </w:rPr>
      </w:pPr>
    </w:p>
    <w:p w14:paraId="6AEE54A9" w14:textId="7DA759AE" w:rsidR="00832F3D" w:rsidRPr="00056FDA" w:rsidRDefault="009A7B41" w:rsidP="001C5B3D">
      <w:pPr>
        <w:spacing w:before="0" w:after="0" w:line="480" w:lineRule="auto"/>
        <w:rPr>
          <w:rFonts w:cs="Times New Roman"/>
          <w:szCs w:val="24"/>
        </w:rPr>
      </w:pPr>
      <w:r w:rsidRPr="00056FDA">
        <w:rPr>
          <w:rFonts w:cs="Times New Roman"/>
          <w:szCs w:val="24"/>
        </w:rPr>
        <w:t xml:space="preserve">The landmark judgment in the case of </w:t>
      </w:r>
      <w:r w:rsidRPr="00056FDA">
        <w:rPr>
          <w:rFonts w:cs="Times New Roman"/>
          <w:i/>
          <w:szCs w:val="24"/>
        </w:rPr>
        <w:t>Suchitra Srivastava &amp; Another v. Chandigarh Administration</w:t>
      </w:r>
      <w:r w:rsidRPr="00056FDA">
        <w:rPr>
          <w:rFonts w:cs="Times New Roman"/>
          <w:szCs w:val="24"/>
        </w:rPr>
        <w:t xml:space="preserve"> was the first to determine whether a rape victim could undergo abortion by relying on the “best interests” standard.</w:t>
      </w:r>
      <w:r w:rsidRPr="00056FDA">
        <w:rPr>
          <w:rStyle w:val="FootnoteReference"/>
          <w:rFonts w:cs="Times New Roman"/>
          <w:szCs w:val="24"/>
        </w:rPr>
        <w:footnoteReference w:id="7"/>
      </w:r>
      <w:r w:rsidRPr="00056FDA">
        <w:rPr>
          <w:rFonts w:cs="Times New Roman"/>
          <w:szCs w:val="24"/>
        </w:rPr>
        <w:t xml:space="preserve"> The High Court held that the process of ascertaining which course of action would serve the best interests of the victim was to be decided upon by giving due consideration to “medical opinion on the feasibility of the pregnancy as well as social circumstances faced by the victim”. </w:t>
      </w:r>
      <w:r w:rsidR="0021087C" w:rsidRPr="00056FDA">
        <w:rPr>
          <w:rFonts w:cs="Times New Roman"/>
          <w:szCs w:val="24"/>
        </w:rPr>
        <w:t xml:space="preserve">The Court is to be guided by the interests of the victim alone, and not those of the guardian or other stakeholders. It is this lens that </w:t>
      </w:r>
      <w:r w:rsidR="007B275B" w:rsidRPr="00056FDA">
        <w:rPr>
          <w:rFonts w:cs="Times New Roman"/>
          <w:szCs w:val="24"/>
        </w:rPr>
        <w:t xml:space="preserve">informs the structural and ideological framework of the report, </w:t>
      </w:r>
      <w:r w:rsidR="0021087C" w:rsidRPr="00056FDA">
        <w:rPr>
          <w:rFonts w:cs="Times New Roman"/>
          <w:szCs w:val="24"/>
        </w:rPr>
        <w:t xml:space="preserve">and </w:t>
      </w:r>
      <w:r w:rsidR="007B275B" w:rsidRPr="00056FDA">
        <w:rPr>
          <w:rFonts w:cs="Times New Roman"/>
          <w:szCs w:val="24"/>
        </w:rPr>
        <w:t xml:space="preserve">without which compassionate debate on access to abortion services for pregnant minors may not be possible. </w:t>
      </w:r>
    </w:p>
    <w:p w14:paraId="1828571C" w14:textId="77777777" w:rsidR="001C5B3D" w:rsidRPr="00056FDA" w:rsidRDefault="001C5B3D" w:rsidP="001C5B3D">
      <w:pPr>
        <w:spacing w:before="0" w:after="0" w:line="480" w:lineRule="auto"/>
        <w:rPr>
          <w:rFonts w:cs="Times New Roman"/>
          <w:szCs w:val="24"/>
        </w:rPr>
      </w:pPr>
    </w:p>
    <w:p w14:paraId="0A92F967" w14:textId="77777777" w:rsidR="00443F6C" w:rsidRPr="00056FDA" w:rsidRDefault="003811E6" w:rsidP="001C5B3D">
      <w:pPr>
        <w:pStyle w:val="Heading2"/>
        <w:spacing w:before="0" w:after="0" w:line="480" w:lineRule="auto"/>
        <w:ind w:firstLine="0"/>
        <w:contextualSpacing w:val="0"/>
      </w:pPr>
      <w:bookmarkStart w:id="11" w:name="_Toc498631664"/>
      <w:bookmarkStart w:id="12" w:name="_Toc498631712"/>
      <w:bookmarkStart w:id="13" w:name="_Toc498631665"/>
      <w:bookmarkStart w:id="14" w:name="_Toc498631713"/>
      <w:bookmarkEnd w:id="11"/>
      <w:bookmarkEnd w:id="12"/>
      <w:bookmarkEnd w:id="13"/>
      <w:bookmarkEnd w:id="14"/>
      <w:r w:rsidRPr="00056FDA">
        <w:t>Inconsistencies in the Legal Framework</w:t>
      </w:r>
    </w:p>
    <w:p w14:paraId="00B8ABA4" w14:textId="77777777" w:rsidR="003747A7" w:rsidRPr="00056FDA" w:rsidRDefault="003747A7" w:rsidP="003747A7">
      <w:pPr>
        <w:rPr>
          <w:szCs w:val="24"/>
        </w:rPr>
      </w:pPr>
    </w:p>
    <w:p w14:paraId="43769100" w14:textId="452D82E2" w:rsidR="00D60819" w:rsidRPr="00056FDA" w:rsidRDefault="005D1330" w:rsidP="001C5B3D">
      <w:pPr>
        <w:spacing w:before="0" w:after="0" w:line="480" w:lineRule="auto"/>
        <w:rPr>
          <w:rFonts w:cs="Times New Roman"/>
          <w:szCs w:val="24"/>
        </w:rPr>
      </w:pPr>
      <w:r w:rsidRPr="00056FDA">
        <w:rPr>
          <w:rFonts w:cs="Times New Roman"/>
          <w:szCs w:val="24"/>
        </w:rPr>
        <w:t>The multiple laws that relate to abortion were enacted with different purposes. Some were intended to protect minor girls from sexual abuse, while others were intended to facilitate access to abortion</w:t>
      </w:r>
      <w:r w:rsidR="00276102" w:rsidRPr="00056FDA">
        <w:rPr>
          <w:rFonts w:cs="Times New Roman"/>
          <w:szCs w:val="24"/>
        </w:rPr>
        <w:t xml:space="preserve"> for women that qualify</w:t>
      </w:r>
      <w:r w:rsidRPr="00056FDA">
        <w:rPr>
          <w:rFonts w:cs="Times New Roman"/>
          <w:szCs w:val="24"/>
        </w:rPr>
        <w:t>.</w:t>
      </w:r>
      <w:r w:rsidR="00190DC1" w:rsidRPr="00056FDA">
        <w:rPr>
          <w:rFonts w:cs="Times New Roman"/>
          <w:szCs w:val="24"/>
        </w:rPr>
        <w:t xml:space="preserve"> However, in certain circumstances, </w:t>
      </w:r>
      <w:r w:rsidR="00807691" w:rsidRPr="00056FDA">
        <w:rPr>
          <w:rFonts w:cs="Times New Roman"/>
          <w:szCs w:val="24"/>
        </w:rPr>
        <w:t xml:space="preserve">minors who undergo </w:t>
      </w:r>
      <w:r w:rsidR="00190DC1" w:rsidRPr="00056FDA">
        <w:rPr>
          <w:rFonts w:cs="Times New Roman"/>
          <w:szCs w:val="24"/>
        </w:rPr>
        <w:t>abortions</w:t>
      </w:r>
      <w:r w:rsidR="00630483" w:rsidRPr="00056FDA">
        <w:rPr>
          <w:rFonts w:cs="Times New Roman"/>
          <w:szCs w:val="24"/>
        </w:rPr>
        <w:t xml:space="preserve"> can fall under both</w:t>
      </w:r>
      <w:r w:rsidR="00EB2D78" w:rsidRPr="00056FDA">
        <w:rPr>
          <w:rFonts w:cs="Times New Roman"/>
          <w:szCs w:val="24"/>
        </w:rPr>
        <w:t xml:space="preserve"> </w:t>
      </w:r>
      <w:r w:rsidR="00276102" w:rsidRPr="00056FDA">
        <w:rPr>
          <w:rFonts w:cs="Times New Roman"/>
          <w:szCs w:val="24"/>
        </w:rPr>
        <w:t xml:space="preserve">sets of laws, and this leads to inconsistencies. </w:t>
      </w:r>
      <w:r w:rsidR="008A17CD" w:rsidRPr="00056FDA">
        <w:rPr>
          <w:rFonts w:cs="Times New Roman"/>
          <w:szCs w:val="24"/>
        </w:rPr>
        <w:t>For instance, given the branding of all minors as children,</w:t>
      </w:r>
      <w:r w:rsidR="008A17CD" w:rsidRPr="00056FDA">
        <w:rPr>
          <w:rStyle w:val="FootnoteReference"/>
          <w:rFonts w:cs="Times New Roman"/>
          <w:szCs w:val="24"/>
        </w:rPr>
        <w:footnoteReference w:id="8"/>
      </w:r>
      <w:r w:rsidR="008A17CD" w:rsidRPr="00056FDA">
        <w:rPr>
          <w:rFonts w:cs="Times New Roman"/>
          <w:szCs w:val="24"/>
        </w:rPr>
        <w:t xml:space="preserve"> irrespective of age and evolving capacities,</w:t>
      </w:r>
      <w:r w:rsidR="008A17CD" w:rsidRPr="00056FDA">
        <w:rPr>
          <w:rStyle w:val="FootnoteReference"/>
          <w:rFonts w:cs="Times New Roman"/>
          <w:szCs w:val="24"/>
        </w:rPr>
        <w:footnoteReference w:id="9"/>
      </w:r>
      <w:r w:rsidR="008A17CD" w:rsidRPr="00056FDA">
        <w:rPr>
          <w:rFonts w:cs="Times New Roman"/>
          <w:szCs w:val="24"/>
        </w:rPr>
        <w:t xml:space="preserve"> under the POCSO Act, all sexual contact involving a minor is a sexual offence. This policy position is also reflected in the IPC, where the age of consent was raised to 18 years in 2013.</w:t>
      </w:r>
      <w:r w:rsidR="008A17CD" w:rsidRPr="00056FDA">
        <w:rPr>
          <w:rStyle w:val="FootnoteReference"/>
          <w:rFonts w:cs="Times New Roman"/>
          <w:szCs w:val="24"/>
        </w:rPr>
        <w:footnoteReference w:id="10"/>
      </w:r>
      <w:r w:rsidR="008A17CD" w:rsidRPr="00056FDA">
        <w:rPr>
          <w:rFonts w:cs="Times New Roman"/>
          <w:szCs w:val="24"/>
        </w:rPr>
        <w:t xml:space="preserve"> As such, a minor seeking an abortion may be considered a victim of crime, and therefore, a child in need of care and protection under the JJ Act.</w:t>
      </w:r>
      <w:r w:rsidR="008A17CD" w:rsidRPr="00056FDA">
        <w:rPr>
          <w:rStyle w:val="FootnoteReference"/>
          <w:rFonts w:cs="Times New Roman"/>
          <w:szCs w:val="24"/>
        </w:rPr>
        <w:footnoteReference w:id="11"/>
      </w:r>
      <w:r w:rsidR="008A17CD" w:rsidRPr="00056FDA">
        <w:rPr>
          <w:rFonts w:cs="Times New Roman"/>
          <w:szCs w:val="24"/>
        </w:rPr>
        <w:t xml:space="preserve"> Further notable inconsistencies are also evident in cases of </w:t>
      </w:r>
      <w:r w:rsidR="00276102" w:rsidRPr="00056FDA">
        <w:rPr>
          <w:rFonts w:cs="Times New Roman"/>
          <w:szCs w:val="24"/>
        </w:rPr>
        <w:t xml:space="preserve">medical confidentiality and </w:t>
      </w:r>
      <w:r w:rsidR="006163ED" w:rsidRPr="00056FDA">
        <w:rPr>
          <w:rFonts w:cs="Times New Roman"/>
          <w:szCs w:val="24"/>
        </w:rPr>
        <w:t>when a doctor can perform an abortion without facing criminal sanctions.</w:t>
      </w:r>
    </w:p>
    <w:p w14:paraId="479D73B1" w14:textId="77777777" w:rsidR="003747A7" w:rsidRPr="00056FDA" w:rsidRDefault="003747A7" w:rsidP="001C5B3D">
      <w:pPr>
        <w:spacing w:before="0" w:after="0" w:line="480" w:lineRule="auto"/>
        <w:rPr>
          <w:rFonts w:cs="Times New Roman"/>
          <w:szCs w:val="24"/>
        </w:rPr>
      </w:pPr>
    </w:p>
    <w:bookmarkStart w:id="15" w:name="_Toc498629524"/>
    <w:bookmarkStart w:id="16" w:name="_Toc498631716"/>
    <w:p w14:paraId="0839D5C3" w14:textId="5B2850D2" w:rsidR="001C5B3D" w:rsidRPr="00056FDA" w:rsidRDefault="002870AF" w:rsidP="001C5B3D">
      <w:pPr>
        <w:pStyle w:val="Heading3"/>
        <w:numPr>
          <w:ilvl w:val="0"/>
          <w:numId w:val="21"/>
        </w:numPr>
        <w:spacing w:before="0" w:after="0" w:line="480" w:lineRule="auto"/>
        <w:ind w:firstLine="0"/>
        <w:rPr>
          <w:rFonts w:cs="Times New Roman"/>
          <w:b/>
          <w:i/>
          <w:sz w:val="24"/>
          <w:szCs w:val="24"/>
        </w:rPr>
      </w:pPr>
      <w:r w:rsidRPr="00056FDA">
        <w:rPr>
          <w:rFonts w:cs="Times New Roman"/>
          <w:b/>
          <w:i/>
          <w:noProof/>
          <w:sz w:val="24"/>
          <w:szCs w:val="24"/>
        </w:rPr>
        <mc:AlternateContent>
          <mc:Choice Requires="wpi">
            <w:drawing>
              <wp:anchor distT="0" distB="0" distL="114300" distR="114300" simplePos="0" relativeHeight="251659264" behindDoc="0" locked="0" layoutInCell="1" allowOverlap="1" wp14:anchorId="710BFD15" wp14:editId="0919F673">
                <wp:simplePos x="0" y="0"/>
                <wp:positionH relativeFrom="column">
                  <wp:posOffset>6577560</wp:posOffset>
                </wp:positionH>
                <wp:positionV relativeFrom="paragraph">
                  <wp:posOffset>383564</wp:posOffset>
                </wp:positionV>
                <wp:extent cx="37440" cy="12600"/>
                <wp:effectExtent l="25400" t="25400" r="26670" b="26035"/>
                <wp:wrapNone/>
                <wp:docPr id="2" name="Ink 2"/>
                <wp:cNvGraphicFramePr/>
                <a:graphic xmlns:a="http://schemas.openxmlformats.org/drawingml/2006/main">
                  <a:graphicData uri="http://schemas.microsoft.com/office/word/2010/wordprocessingInk">
                    <w14:contentPart bwMode="auto" r:id="rId13">
                      <w14:nvContentPartPr>
                        <w14:cNvContentPartPr/>
                      </w14:nvContentPartPr>
                      <w14:xfrm>
                        <a:off x="0" y="0"/>
                        <a:ext cx="37440" cy="12600"/>
                      </w14:xfrm>
                    </w14:contentPart>
                  </a:graphicData>
                </a:graphic>
              </wp:anchor>
            </w:drawing>
          </mc:Choice>
          <mc:Fallback xmlns:mv="urn:schemas-microsoft-com:mac:vml" xmlns:mo="http://schemas.microsoft.com/office/mac/office/2008/main">
            <w:pict>
              <v:shapetype w14:anchorId="7E8A157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517.9pt;margin-top:30.2pt;width:3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">
                <v:imagedata r:id="rId17" o:title="" cropleft="-1130f"/>
              </v:shape>
            </w:pict>
          </mc:Fallback>
        </mc:AlternateContent>
      </w:r>
      <w:r w:rsidR="007942C9" w:rsidRPr="00056FDA">
        <w:rPr>
          <w:rFonts w:cs="Times New Roman"/>
          <w:b/>
          <w:i/>
          <w:sz w:val="24"/>
          <w:szCs w:val="24"/>
        </w:rPr>
        <w:t xml:space="preserve">Respecting a Woman’s </w:t>
      </w:r>
      <w:r w:rsidR="008930D6" w:rsidRPr="00056FDA">
        <w:rPr>
          <w:rFonts w:cs="Times New Roman"/>
          <w:b/>
          <w:i/>
          <w:sz w:val="24"/>
          <w:szCs w:val="24"/>
        </w:rPr>
        <w:t>Confidentiality</w:t>
      </w:r>
      <w:bookmarkEnd w:id="15"/>
      <w:bookmarkEnd w:id="16"/>
    </w:p>
    <w:p w14:paraId="2312A88F" w14:textId="77777777" w:rsidR="003747A7" w:rsidRPr="00056FDA" w:rsidRDefault="003747A7" w:rsidP="003747A7">
      <w:pPr>
        <w:rPr>
          <w:szCs w:val="24"/>
        </w:rPr>
      </w:pPr>
    </w:p>
    <w:p w14:paraId="07A2D2BD" w14:textId="2DCA4EAA" w:rsidR="00CF3F44" w:rsidRPr="00056FDA" w:rsidRDefault="008930D6" w:rsidP="001C5B3D">
      <w:pPr>
        <w:pStyle w:val="Heading3"/>
        <w:spacing w:before="0" w:after="0" w:line="480" w:lineRule="auto"/>
        <w:rPr>
          <w:rFonts w:cs="Times New Roman"/>
          <w:sz w:val="24"/>
          <w:szCs w:val="24"/>
          <w:vertAlign w:val="superscript"/>
        </w:rPr>
      </w:pPr>
      <w:r w:rsidRPr="00056FDA">
        <w:rPr>
          <w:rFonts w:cs="Times New Roman"/>
          <w:sz w:val="24"/>
          <w:szCs w:val="24"/>
        </w:rPr>
        <w:t>The MTP Regulations contain strict confidentiality protections for women who have an abortion. For example, each abortion provider must maintain a register with the details of all the women who are admitted,</w:t>
      </w:r>
      <w:r w:rsidRPr="00056FDA">
        <w:rPr>
          <w:rStyle w:val="FootnoteReference"/>
          <w:rFonts w:cs="Times New Roman"/>
          <w:sz w:val="24"/>
          <w:szCs w:val="24"/>
        </w:rPr>
        <w:footnoteReference w:id="12"/>
      </w:r>
      <w:r w:rsidRPr="00056FDA">
        <w:rPr>
          <w:rFonts w:cs="Times New Roman"/>
          <w:sz w:val="24"/>
          <w:szCs w:val="24"/>
        </w:rPr>
        <w:t xml:space="preserve"> and the register must be kept “</w:t>
      </w:r>
      <w:r w:rsidRPr="00056FDA">
        <w:rPr>
          <w:rFonts w:cs="Times New Roman"/>
          <w:i/>
          <w:sz w:val="24"/>
          <w:szCs w:val="24"/>
        </w:rPr>
        <w:t>secret</w:t>
      </w:r>
      <w:r w:rsidRPr="00056FDA">
        <w:rPr>
          <w:rFonts w:cs="Times New Roman"/>
          <w:sz w:val="24"/>
          <w:szCs w:val="24"/>
        </w:rPr>
        <w:t>”—its information “</w:t>
      </w:r>
      <w:r w:rsidRPr="00056FDA">
        <w:rPr>
          <w:rFonts w:cs="Times New Roman"/>
          <w:i/>
          <w:sz w:val="24"/>
          <w:szCs w:val="24"/>
        </w:rPr>
        <w:t>shall not be disclosed to any person</w:t>
      </w:r>
      <w:r w:rsidRPr="00056FDA">
        <w:rPr>
          <w:rFonts w:cs="Times New Roman"/>
          <w:sz w:val="24"/>
          <w:szCs w:val="24"/>
        </w:rPr>
        <w:t>” and it can only be inspected under the authority of law.</w:t>
      </w:r>
      <w:r w:rsidRPr="00056FDA">
        <w:rPr>
          <w:rStyle w:val="FootnoteReference"/>
          <w:rFonts w:cs="Times New Roman"/>
          <w:sz w:val="24"/>
          <w:szCs w:val="24"/>
        </w:rPr>
        <w:footnoteReference w:id="13"/>
      </w:r>
      <w:r w:rsidRPr="00056FDA">
        <w:rPr>
          <w:rFonts w:cs="Times New Roman"/>
          <w:sz w:val="24"/>
          <w:szCs w:val="24"/>
          <w:vertAlign w:val="superscript"/>
        </w:rPr>
        <w:t xml:space="preserve"> </w:t>
      </w:r>
      <w:r w:rsidR="00177537" w:rsidRPr="00056FDA">
        <w:rPr>
          <w:rFonts w:cs="Times New Roman"/>
          <w:sz w:val="24"/>
          <w:szCs w:val="24"/>
          <w:vertAlign w:val="superscript"/>
        </w:rPr>
        <w:t xml:space="preserve"> </w:t>
      </w:r>
    </w:p>
    <w:p w14:paraId="1DD937F7" w14:textId="77777777" w:rsidR="003747A7" w:rsidRPr="00056FDA" w:rsidRDefault="003747A7" w:rsidP="003747A7">
      <w:pPr>
        <w:rPr>
          <w:szCs w:val="24"/>
        </w:rPr>
      </w:pPr>
    </w:p>
    <w:p w14:paraId="0C7B486C" w14:textId="35A97020" w:rsidR="008930D6" w:rsidRPr="00056FDA" w:rsidRDefault="008930D6" w:rsidP="001C5B3D">
      <w:pPr>
        <w:tabs>
          <w:tab w:val="left" w:pos="3901"/>
          <w:tab w:val="left" w:pos="4230"/>
        </w:tabs>
        <w:spacing w:before="0" w:after="0" w:line="480" w:lineRule="auto"/>
        <w:rPr>
          <w:rFonts w:cs="Times New Roman"/>
          <w:szCs w:val="24"/>
        </w:rPr>
      </w:pPr>
      <w:r w:rsidRPr="00056FDA">
        <w:rPr>
          <w:rFonts w:cs="Times New Roman"/>
          <w:szCs w:val="24"/>
        </w:rPr>
        <w:t>However, the POCSO Act</w:t>
      </w:r>
      <w:r w:rsidR="00D25804" w:rsidRPr="00056FDA">
        <w:rPr>
          <w:rFonts w:cs="Times New Roman"/>
          <w:szCs w:val="24"/>
        </w:rPr>
        <w:t xml:space="preserve"> </w:t>
      </w:r>
      <w:r w:rsidR="00960F52" w:rsidRPr="00056FDA">
        <w:rPr>
          <w:rFonts w:cs="Times New Roman"/>
          <w:szCs w:val="24"/>
        </w:rPr>
        <w:t xml:space="preserve">appears to conflict with this confidentiality—it </w:t>
      </w:r>
      <w:r w:rsidRPr="00056FDA">
        <w:rPr>
          <w:rFonts w:cs="Times New Roman"/>
          <w:szCs w:val="24"/>
        </w:rPr>
        <w:t>requires anyone who knows that a sexual offense has been committed to report this to the police, who in turn must report it to the Child Welfare Committee and the Special Court (or Court</w:t>
      </w:r>
      <w:r w:rsidR="0090405B" w:rsidRPr="00056FDA">
        <w:rPr>
          <w:rFonts w:cs="Times New Roman"/>
          <w:szCs w:val="24"/>
        </w:rPr>
        <w:t xml:space="preserve"> </w:t>
      </w:r>
      <w:r w:rsidRPr="00056FDA">
        <w:rPr>
          <w:rFonts w:cs="Times New Roman"/>
          <w:szCs w:val="24"/>
        </w:rPr>
        <w:t>of Session) within 24 hours.</w:t>
      </w:r>
      <w:r w:rsidRPr="00056FDA">
        <w:rPr>
          <w:rStyle w:val="FootnoteReference"/>
          <w:rFonts w:cs="Times New Roman"/>
          <w:szCs w:val="24"/>
        </w:rPr>
        <w:footnoteReference w:id="14"/>
      </w:r>
      <w:r w:rsidRPr="00056FDA">
        <w:rPr>
          <w:rFonts w:cs="Times New Roman"/>
          <w:szCs w:val="24"/>
        </w:rPr>
        <w:t xml:space="preserve"> Under the POCSO Act, having sex with a minor girl (under 18) is a crime, even if it is consensual</w:t>
      </w:r>
      <w:r w:rsidR="00807691" w:rsidRPr="00056FDA">
        <w:rPr>
          <w:rFonts w:cs="Times New Roman"/>
          <w:szCs w:val="24"/>
        </w:rPr>
        <w:t>, as the law doesn’t recognise a minor’s capacity to consent to sexual acts</w:t>
      </w:r>
      <w:r w:rsidR="00852A64" w:rsidRPr="00056FDA">
        <w:rPr>
          <w:rFonts w:cs="Times New Roman"/>
          <w:szCs w:val="24"/>
        </w:rPr>
        <w:t xml:space="preserve"> and so, precludes the possibility of consensual sex between persons below the age of 18</w:t>
      </w:r>
      <w:r w:rsidRPr="00056FDA">
        <w:rPr>
          <w:rFonts w:cs="Times New Roman"/>
          <w:szCs w:val="24"/>
        </w:rPr>
        <w:t>.</w:t>
      </w:r>
      <w:r w:rsidRPr="00056FDA">
        <w:rPr>
          <w:rStyle w:val="FootnoteReference"/>
          <w:rFonts w:cs="Times New Roman"/>
          <w:szCs w:val="24"/>
        </w:rPr>
        <w:footnoteReference w:id="15"/>
      </w:r>
      <w:r w:rsidRPr="00056FDA">
        <w:rPr>
          <w:rFonts w:cs="Times New Roman"/>
          <w:szCs w:val="24"/>
        </w:rPr>
        <w:t xml:space="preserve"> Therefore, if a pregnant </w:t>
      </w:r>
      <w:r w:rsidR="00107765" w:rsidRPr="00056FDA">
        <w:rPr>
          <w:rFonts w:cs="Times New Roman"/>
          <w:szCs w:val="24"/>
        </w:rPr>
        <w:t xml:space="preserve">minor </w:t>
      </w:r>
      <w:r w:rsidRPr="00056FDA">
        <w:rPr>
          <w:rFonts w:cs="Times New Roman"/>
          <w:szCs w:val="24"/>
        </w:rPr>
        <w:t xml:space="preserve">girl approaches a doctor seeking an abortion, the doctor must report the girl to </w:t>
      </w:r>
      <w:r w:rsidR="00576DBE" w:rsidRPr="00056FDA">
        <w:rPr>
          <w:rFonts w:cs="Times New Roman"/>
          <w:szCs w:val="24"/>
        </w:rPr>
        <w:t xml:space="preserve">the </w:t>
      </w:r>
      <w:r w:rsidRPr="00056FDA">
        <w:rPr>
          <w:rFonts w:cs="Times New Roman"/>
          <w:szCs w:val="24"/>
        </w:rPr>
        <w:t>police as a victim of sexual assault, even if this goes against the girl’s wishes. Anyone who knowingly fails to make this report can be punished with up to 6 months in prison.</w:t>
      </w:r>
      <w:r w:rsidRPr="00056FDA">
        <w:rPr>
          <w:rStyle w:val="FootnoteReference"/>
          <w:rFonts w:cs="Times New Roman"/>
          <w:szCs w:val="24"/>
        </w:rPr>
        <w:footnoteReference w:id="16"/>
      </w:r>
    </w:p>
    <w:p w14:paraId="3144B32E" w14:textId="77777777" w:rsidR="003747A7" w:rsidRPr="00056FDA" w:rsidRDefault="003747A7" w:rsidP="001C5B3D">
      <w:pPr>
        <w:tabs>
          <w:tab w:val="left" w:pos="3901"/>
          <w:tab w:val="left" w:pos="4230"/>
        </w:tabs>
        <w:spacing w:before="0" w:after="0" w:line="480" w:lineRule="auto"/>
        <w:rPr>
          <w:rFonts w:cs="Times New Roman"/>
          <w:szCs w:val="24"/>
        </w:rPr>
      </w:pPr>
    </w:p>
    <w:p w14:paraId="70960DB4" w14:textId="69BD9E0B" w:rsidR="00C43F79" w:rsidRPr="00056FDA" w:rsidRDefault="00EA7572" w:rsidP="001C5B3D">
      <w:pPr>
        <w:spacing w:before="0" w:after="0" w:line="480" w:lineRule="auto"/>
        <w:rPr>
          <w:rFonts w:cs="Times New Roman"/>
          <w:szCs w:val="24"/>
        </w:rPr>
      </w:pPr>
      <w:r w:rsidRPr="00056FDA">
        <w:rPr>
          <w:rFonts w:cs="Times New Roman"/>
          <w:szCs w:val="24"/>
        </w:rPr>
        <w:t>The same issues arise under</w:t>
      </w:r>
      <w:r w:rsidR="00C54DCB" w:rsidRPr="00056FDA">
        <w:rPr>
          <w:rFonts w:cs="Times New Roman"/>
          <w:szCs w:val="24"/>
        </w:rPr>
        <w:t xml:space="preserve"> the </w:t>
      </w:r>
      <w:r w:rsidR="00832F3D" w:rsidRPr="00056FDA">
        <w:rPr>
          <w:rFonts w:cs="Times New Roman"/>
          <w:szCs w:val="24"/>
        </w:rPr>
        <w:t>CrPC</w:t>
      </w:r>
      <w:r w:rsidR="00C54DCB" w:rsidRPr="00056FDA">
        <w:rPr>
          <w:rFonts w:cs="Times New Roman"/>
          <w:szCs w:val="24"/>
        </w:rPr>
        <w:t xml:space="preserve">, which </w:t>
      </w:r>
      <w:r w:rsidR="000F136F" w:rsidRPr="00056FDA">
        <w:rPr>
          <w:rFonts w:cs="Times New Roman"/>
          <w:szCs w:val="24"/>
        </w:rPr>
        <w:t>r</w:t>
      </w:r>
      <w:r w:rsidR="008930D6" w:rsidRPr="00056FDA">
        <w:rPr>
          <w:rFonts w:cs="Times New Roman"/>
          <w:szCs w:val="24"/>
        </w:rPr>
        <w:t>equires all hospitals to immediately report incidents of rape to the police.</w:t>
      </w:r>
      <w:r w:rsidR="008930D6" w:rsidRPr="00056FDA">
        <w:rPr>
          <w:rStyle w:val="FootnoteReference"/>
          <w:rFonts w:cs="Times New Roman"/>
          <w:szCs w:val="24"/>
        </w:rPr>
        <w:footnoteReference w:id="17"/>
      </w:r>
      <w:r w:rsidR="008930D6" w:rsidRPr="00056FDA">
        <w:rPr>
          <w:rFonts w:cs="Times New Roman"/>
          <w:szCs w:val="24"/>
        </w:rPr>
        <w:t xml:space="preserve"> Under the </w:t>
      </w:r>
      <w:r w:rsidR="00F8433B" w:rsidRPr="00056FDA">
        <w:rPr>
          <w:rFonts w:cs="Times New Roman"/>
          <w:szCs w:val="24"/>
        </w:rPr>
        <w:t>IPC and</w:t>
      </w:r>
      <w:r w:rsidR="00254D45" w:rsidRPr="00056FDA">
        <w:rPr>
          <w:rFonts w:cs="Times New Roman"/>
          <w:szCs w:val="24"/>
        </w:rPr>
        <w:t xml:space="preserve"> the</w:t>
      </w:r>
      <w:r w:rsidR="00F8433B" w:rsidRPr="00056FDA">
        <w:rPr>
          <w:rFonts w:cs="Times New Roman"/>
          <w:szCs w:val="24"/>
        </w:rPr>
        <w:t xml:space="preserve"> POCSO</w:t>
      </w:r>
      <w:r w:rsidR="00254D45" w:rsidRPr="00056FDA">
        <w:rPr>
          <w:rFonts w:cs="Times New Roman"/>
          <w:szCs w:val="24"/>
        </w:rPr>
        <w:t xml:space="preserve"> Act</w:t>
      </w:r>
      <w:r w:rsidR="008930D6" w:rsidRPr="00056FDA">
        <w:rPr>
          <w:rFonts w:cs="Times New Roman"/>
          <w:szCs w:val="24"/>
        </w:rPr>
        <w:t>, even consensual sex with a girl under 18 constitutes rape.</w:t>
      </w:r>
      <w:r w:rsidR="008930D6" w:rsidRPr="00056FDA">
        <w:rPr>
          <w:rStyle w:val="FootnoteReference"/>
          <w:rFonts w:cs="Times New Roman"/>
          <w:szCs w:val="24"/>
        </w:rPr>
        <w:footnoteReference w:id="18"/>
      </w:r>
      <w:r w:rsidR="008930D6" w:rsidRPr="00056FDA">
        <w:rPr>
          <w:rFonts w:cs="Times New Roman"/>
          <w:szCs w:val="24"/>
        </w:rPr>
        <w:t xml:space="preserve"> Therefore, if a pregnant </w:t>
      </w:r>
      <w:r w:rsidR="00BC5DC4" w:rsidRPr="00056FDA">
        <w:rPr>
          <w:rFonts w:cs="Times New Roman"/>
          <w:szCs w:val="24"/>
        </w:rPr>
        <w:t xml:space="preserve">minor </w:t>
      </w:r>
      <w:r w:rsidR="008930D6" w:rsidRPr="00056FDA">
        <w:rPr>
          <w:rFonts w:cs="Times New Roman"/>
          <w:szCs w:val="24"/>
        </w:rPr>
        <w:t>girl seeks an abortion from a hospital, the hospital must report her to the police as a r</w:t>
      </w:r>
      <w:r w:rsidR="00464A5A" w:rsidRPr="00056FDA">
        <w:rPr>
          <w:rFonts w:cs="Times New Roman"/>
          <w:szCs w:val="24"/>
        </w:rPr>
        <w:t>ape victim, and failure to do so i</w:t>
      </w:r>
      <w:r w:rsidR="00576DBE" w:rsidRPr="00056FDA">
        <w:rPr>
          <w:rFonts w:cs="Times New Roman"/>
          <w:szCs w:val="24"/>
        </w:rPr>
        <w:t>s</w:t>
      </w:r>
      <w:r w:rsidR="00464A5A" w:rsidRPr="00056FDA">
        <w:rPr>
          <w:rFonts w:cs="Times New Roman"/>
          <w:szCs w:val="24"/>
        </w:rPr>
        <w:t xml:space="preserve"> punishable </w:t>
      </w:r>
      <w:r w:rsidR="00576DBE" w:rsidRPr="00056FDA">
        <w:rPr>
          <w:rFonts w:cs="Times New Roman"/>
          <w:szCs w:val="24"/>
        </w:rPr>
        <w:t>with</w:t>
      </w:r>
      <w:r w:rsidR="00464A5A" w:rsidRPr="00056FDA">
        <w:rPr>
          <w:rFonts w:cs="Times New Roman"/>
          <w:szCs w:val="24"/>
        </w:rPr>
        <w:t xml:space="preserve"> up to one year imprisonment (for the person who runs the hospital).</w:t>
      </w:r>
      <w:r w:rsidR="00A53B17" w:rsidRPr="00056FDA">
        <w:rPr>
          <w:rStyle w:val="FootnoteReference"/>
          <w:rFonts w:cs="Times New Roman"/>
          <w:szCs w:val="24"/>
        </w:rPr>
        <w:footnoteReference w:id="19"/>
      </w:r>
    </w:p>
    <w:p w14:paraId="339ACB3F" w14:textId="77777777" w:rsidR="003747A7" w:rsidRPr="00056FDA" w:rsidRDefault="003747A7" w:rsidP="001C5B3D">
      <w:pPr>
        <w:spacing w:before="0" w:after="0" w:line="480" w:lineRule="auto"/>
        <w:rPr>
          <w:rFonts w:cs="Times New Roman"/>
          <w:szCs w:val="24"/>
        </w:rPr>
      </w:pPr>
    </w:p>
    <w:p w14:paraId="4798B49E" w14:textId="170583D5" w:rsidR="00BE6039" w:rsidRPr="00056FDA" w:rsidRDefault="00BE6039" w:rsidP="001C5B3D">
      <w:pPr>
        <w:pStyle w:val="Heading3"/>
        <w:numPr>
          <w:ilvl w:val="0"/>
          <w:numId w:val="21"/>
        </w:numPr>
        <w:spacing w:before="0" w:after="0" w:line="480" w:lineRule="auto"/>
        <w:ind w:firstLine="0"/>
        <w:rPr>
          <w:rFonts w:cs="Times New Roman"/>
          <w:b/>
          <w:sz w:val="24"/>
          <w:szCs w:val="24"/>
        </w:rPr>
      </w:pPr>
      <w:bookmarkStart w:id="17" w:name="_Toc498629525"/>
      <w:bookmarkStart w:id="18" w:name="_Toc498631717"/>
      <w:r w:rsidRPr="00056FDA">
        <w:rPr>
          <w:rFonts w:cs="Times New Roman"/>
          <w:b/>
          <w:sz w:val="24"/>
          <w:szCs w:val="24"/>
        </w:rPr>
        <w:t>Criminal Sanction for Healthcare Providers</w:t>
      </w:r>
      <w:bookmarkEnd w:id="17"/>
      <w:bookmarkEnd w:id="18"/>
    </w:p>
    <w:p w14:paraId="2F0B41DC" w14:textId="77777777" w:rsidR="003747A7" w:rsidRPr="00056FDA" w:rsidRDefault="003747A7" w:rsidP="003747A7">
      <w:pPr>
        <w:rPr>
          <w:szCs w:val="24"/>
        </w:rPr>
      </w:pPr>
    </w:p>
    <w:p w14:paraId="0FF266B1" w14:textId="3EF1F8C1" w:rsidR="001A4BB2" w:rsidRPr="00056FDA" w:rsidRDefault="006A4897" w:rsidP="001C5B3D">
      <w:pPr>
        <w:spacing w:before="0" w:after="0" w:line="480" w:lineRule="auto"/>
        <w:rPr>
          <w:rFonts w:cs="Times New Roman"/>
          <w:szCs w:val="24"/>
        </w:rPr>
      </w:pPr>
      <w:r w:rsidRPr="00056FDA">
        <w:rPr>
          <w:rFonts w:cs="Times New Roman"/>
          <w:szCs w:val="24"/>
        </w:rPr>
        <w:t xml:space="preserve">The </w:t>
      </w:r>
      <w:r w:rsidR="001A4BB2" w:rsidRPr="00056FDA">
        <w:rPr>
          <w:rFonts w:cs="Times New Roman"/>
          <w:szCs w:val="24"/>
        </w:rPr>
        <w:t>wide definition of sexual</w:t>
      </w:r>
      <w:r w:rsidR="006734B0" w:rsidRPr="00056FDA">
        <w:rPr>
          <w:rFonts w:cs="Times New Roman"/>
          <w:szCs w:val="24"/>
        </w:rPr>
        <w:t xml:space="preserve"> intercourse under the amended S</w:t>
      </w:r>
      <w:r w:rsidR="001A4BB2" w:rsidRPr="00056FDA">
        <w:rPr>
          <w:rFonts w:cs="Times New Roman"/>
          <w:szCs w:val="24"/>
        </w:rPr>
        <w:t xml:space="preserve">ection 375 of the IPC and the POCSO Act has induced fear amongst healthcare professionals that abortion procedures may amount to rape and attract criminal liability. However, a fundamental element of a criminal offence is the presence of mens rea, or simply a guilty mind or intention to commit a particular offence. To clarify, a service provider who terminates a pregnancy without this requisite intention will not be criminally liable. </w:t>
      </w:r>
    </w:p>
    <w:p w14:paraId="5DEA4FD0" w14:textId="77777777" w:rsidR="003747A7" w:rsidRPr="00056FDA" w:rsidRDefault="003747A7" w:rsidP="001C5B3D">
      <w:pPr>
        <w:spacing w:before="0" w:after="0" w:line="480" w:lineRule="auto"/>
        <w:rPr>
          <w:rFonts w:cs="Times New Roman"/>
          <w:szCs w:val="24"/>
        </w:rPr>
      </w:pPr>
    </w:p>
    <w:p w14:paraId="339CF566" w14:textId="77777777" w:rsidR="006734B0" w:rsidRPr="00056FDA" w:rsidRDefault="006734B0" w:rsidP="001C5B3D">
      <w:pPr>
        <w:tabs>
          <w:tab w:val="left" w:pos="3901"/>
          <w:tab w:val="left" w:pos="8460"/>
        </w:tabs>
        <w:spacing w:before="0" w:after="0" w:line="480" w:lineRule="auto"/>
        <w:rPr>
          <w:rFonts w:cs="Times New Roman"/>
          <w:szCs w:val="24"/>
        </w:rPr>
      </w:pPr>
      <w:r w:rsidRPr="00056FDA">
        <w:rPr>
          <w:rFonts w:cs="Times New Roman"/>
          <w:szCs w:val="24"/>
        </w:rPr>
        <w:t>The MTP Act shields medical providers from criminal liability as long as the pregnancy is terminated in accordance with the Act.</w:t>
      </w:r>
      <w:r w:rsidRPr="00056FDA">
        <w:rPr>
          <w:rStyle w:val="FootnoteReference"/>
          <w:rFonts w:cs="Times New Roman"/>
          <w:szCs w:val="24"/>
        </w:rPr>
        <w:footnoteReference w:id="20"/>
      </w:r>
      <w:r w:rsidRPr="00056FDA">
        <w:rPr>
          <w:rFonts w:cs="Times New Roman"/>
          <w:szCs w:val="24"/>
        </w:rPr>
        <w:t xml:space="preserve"> Given the intrusive nature of abortion procedures, informed consent of the woman undergoing an abortion is critical.</w:t>
      </w:r>
      <w:r w:rsidRPr="00056FDA">
        <w:rPr>
          <w:rStyle w:val="FootnoteReference"/>
          <w:rFonts w:cs="Times New Roman"/>
          <w:szCs w:val="24"/>
        </w:rPr>
        <w:footnoteReference w:id="21"/>
      </w:r>
      <w:r w:rsidRPr="00056FDA">
        <w:rPr>
          <w:rFonts w:cs="Times New Roman"/>
          <w:szCs w:val="24"/>
        </w:rPr>
        <w:t xml:space="preserve"> In the case of </w:t>
      </w:r>
      <w:r w:rsidRPr="00056FDA">
        <w:rPr>
          <w:rFonts w:cs="Times New Roman"/>
          <w:i/>
          <w:szCs w:val="24"/>
        </w:rPr>
        <w:t>Samira Kohli</w:t>
      </w:r>
      <w:r w:rsidRPr="00056FDA">
        <w:rPr>
          <w:rFonts w:cs="Times New Roman"/>
          <w:szCs w:val="24"/>
        </w:rPr>
        <w:t xml:space="preserve"> v. </w:t>
      </w:r>
      <w:r w:rsidRPr="00056FDA">
        <w:rPr>
          <w:rFonts w:cs="Times New Roman"/>
          <w:i/>
          <w:szCs w:val="24"/>
        </w:rPr>
        <w:t>Prabha Manchanda</w:t>
      </w:r>
      <w:r w:rsidRPr="00056FDA">
        <w:rPr>
          <w:rFonts w:cs="Times New Roman"/>
          <w:szCs w:val="24"/>
        </w:rPr>
        <w:t xml:space="preserve">, the Supreme Court of India held that for consent to qualify as informed consent, </w:t>
      </w:r>
    </w:p>
    <w:p w14:paraId="277F25D8" w14:textId="77777777" w:rsidR="006734B0" w:rsidRPr="00056FDA" w:rsidRDefault="006734B0" w:rsidP="001C5B3D">
      <w:pPr>
        <w:tabs>
          <w:tab w:val="left" w:pos="3901"/>
          <w:tab w:val="left" w:pos="8460"/>
        </w:tabs>
        <w:spacing w:before="0" w:after="0" w:line="480" w:lineRule="auto"/>
        <w:ind w:left="1134"/>
        <w:rPr>
          <w:rFonts w:cs="Times New Roman"/>
          <w:szCs w:val="24"/>
        </w:rPr>
      </w:pPr>
      <w:r w:rsidRPr="00056FDA">
        <w:rPr>
          <w:rFonts w:cs="Times New Roman"/>
          <w:szCs w:val="24"/>
        </w:rPr>
        <w:t>“The consent … should be real and valid, which means that: the patient should have the capacity and competence to consent; his consent should be voluntary; and his consent should be on the basis of adequate information concerning the nature of the treatment procedure, so that he knows what [he] is consenting to.”</w:t>
      </w:r>
    </w:p>
    <w:p w14:paraId="0104D5ED" w14:textId="77777777" w:rsidR="003747A7" w:rsidRPr="00056FDA" w:rsidRDefault="003747A7" w:rsidP="001C5B3D">
      <w:pPr>
        <w:tabs>
          <w:tab w:val="left" w:pos="3901"/>
          <w:tab w:val="left" w:pos="8460"/>
        </w:tabs>
        <w:spacing w:before="0" w:after="0" w:line="480" w:lineRule="auto"/>
        <w:ind w:left="1134"/>
        <w:rPr>
          <w:rFonts w:cs="Times New Roman"/>
          <w:szCs w:val="24"/>
        </w:rPr>
      </w:pPr>
    </w:p>
    <w:p w14:paraId="53DB9680" w14:textId="62F750B1" w:rsidR="006734B0" w:rsidRPr="00056FDA" w:rsidRDefault="006734B0" w:rsidP="001C5B3D">
      <w:pPr>
        <w:tabs>
          <w:tab w:val="left" w:pos="3901"/>
          <w:tab w:val="left" w:pos="8460"/>
        </w:tabs>
        <w:spacing w:before="0" w:after="0" w:line="480" w:lineRule="auto"/>
        <w:rPr>
          <w:rFonts w:cs="Times New Roman"/>
          <w:szCs w:val="24"/>
        </w:rPr>
      </w:pPr>
      <w:r w:rsidRPr="00056FDA">
        <w:rPr>
          <w:rFonts w:cs="Times New Roman"/>
          <w:szCs w:val="24"/>
        </w:rPr>
        <w:t xml:space="preserve">One of the requirements of the </w:t>
      </w:r>
      <w:r w:rsidR="00941F01" w:rsidRPr="00056FDA">
        <w:rPr>
          <w:rFonts w:cs="Times New Roman"/>
          <w:szCs w:val="24"/>
        </w:rPr>
        <w:t>MTP</w:t>
      </w:r>
      <w:r w:rsidRPr="00056FDA">
        <w:rPr>
          <w:rFonts w:cs="Times New Roman"/>
          <w:szCs w:val="24"/>
        </w:rPr>
        <w:t xml:space="preserve"> Act is to get written consent from a minor girl’s guardian before terminating a pregnancy.</w:t>
      </w:r>
      <w:r w:rsidRPr="00056FDA">
        <w:rPr>
          <w:rStyle w:val="FootnoteReference"/>
          <w:rFonts w:cs="Times New Roman"/>
          <w:szCs w:val="24"/>
        </w:rPr>
        <w:footnoteReference w:id="22"/>
      </w:r>
      <w:r w:rsidRPr="00056FDA">
        <w:rPr>
          <w:rFonts w:cs="Times New Roman"/>
          <w:szCs w:val="24"/>
        </w:rPr>
        <w:t xml:space="preserve"> Section 41 of the POCSO Act on the other hand indicates that, for a medical procedure to be exempt from its criminal provisions, the girl’s “parents or guardian” must consent. This suggests that the guardian may not necessarily be the parent of the minor. There is a potential ambiguity as to whether consent can be provided by only a legally recognised guardian or a de facto guardian as well; however, this issue is discussed and resolved later in the report.</w:t>
      </w:r>
    </w:p>
    <w:p w14:paraId="318FA623" w14:textId="77777777" w:rsidR="003747A7" w:rsidRPr="00056FDA" w:rsidRDefault="003747A7" w:rsidP="001C5B3D">
      <w:pPr>
        <w:tabs>
          <w:tab w:val="left" w:pos="3901"/>
          <w:tab w:val="left" w:pos="8460"/>
        </w:tabs>
        <w:spacing w:before="0" w:after="0" w:line="480" w:lineRule="auto"/>
        <w:rPr>
          <w:rFonts w:cs="Times New Roman"/>
          <w:szCs w:val="24"/>
        </w:rPr>
      </w:pPr>
    </w:p>
    <w:p w14:paraId="338DA2DA" w14:textId="77777777" w:rsidR="006734B0" w:rsidRPr="00056FDA" w:rsidRDefault="006734B0" w:rsidP="001C5B3D">
      <w:pPr>
        <w:tabs>
          <w:tab w:val="left" w:pos="3901"/>
          <w:tab w:val="left" w:pos="8460"/>
        </w:tabs>
        <w:spacing w:before="0" w:after="0" w:line="480" w:lineRule="auto"/>
        <w:rPr>
          <w:rFonts w:cs="Times New Roman"/>
          <w:szCs w:val="24"/>
        </w:rPr>
      </w:pPr>
      <w:r w:rsidRPr="00056FDA">
        <w:rPr>
          <w:rFonts w:cs="Times New Roman"/>
          <w:szCs w:val="24"/>
        </w:rPr>
        <w:t xml:space="preserve">Secondly, a provider who fails to get the guardian’s consent would </w:t>
      </w:r>
      <w:r w:rsidRPr="00056FDA">
        <w:rPr>
          <w:rFonts w:cs="Times New Roman"/>
          <w:i/>
          <w:szCs w:val="24"/>
        </w:rPr>
        <w:t xml:space="preserve">not </w:t>
      </w:r>
      <w:r w:rsidRPr="00056FDA">
        <w:rPr>
          <w:rFonts w:cs="Times New Roman"/>
          <w:szCs w:val="24"/>
        </w:rPr>
        <w:t>be liable under the IPC despite the fact that Section 375 (the rape statute) also prohibits inserting any object or any body part into a child’s vagina.</w:t>
      </w:r>
      <w:r w:rsidRPr="00056FDA">
        <w:rPr>
          <w:rStyle w:val="FootnoteReference"/>
          <w:rFonts w:cs="Times New Roman"/>
          <w:szCs w:val="24"/>
        </w:rPr>
        <w:footnoteReference w:id="23"/>
      </w:r>
      <w:r w:rsidRPr="00056FDA">
        <w:rPr>
          <w:rFonts w:cs="Times New Roman"/>
          <w:szCs w:val="24"/>
        </w:rPr>
        <w:t xml:space="preserve"> The reason for this is that Section 375 provides that “A medical procedure or intervention shall not constitute rape” without requiring consent of the parents or guardian for the medical procedure.</w:t>
      </w:r>
      <w:r w:rsidRPr="00056FDA">
        <w:rPr>
          <w:rStyle w:val="FootnoteReference"/>
          <w:rFonts w:cs="Times New Roman"/>
          <w:szCs w:val="24"/>
        </w:rPr>
        <w:footnoteReference w:id="24"/>
      </w:r>
      <w:r w:rsidRPr="00056FDA">
        <w:rPr>
          <w:rFonts w:cs="Times New Roman"/>
          <w:szCs w:val="24"/>
        </w:rPr>
        <w:t xml:space="preserve"> Abortion is likely a “medical procedure” under Section 375—the Ministry of Health and Family Welfare has stated that the right to treatment of sexual assault victim includes emergency contraception and the POCSO Rules require medical practitioners to discuss emergency contraception with child victims.</w:t>
      </w:r>
      <w:r w:rsidRPr="00056FDA">
        <w:rPr>
          <w:rStyle w:val="FootnoteReference"/>
          <w:rFonts w:cs="Times New Roman"/>
          <w:szCs w:val="24"/>
        </w:rPr>
        <w:footnoteReference w:id="25"/>
      </w:r>
    </w:p>
    <w:p w14:paraId="6EE559AA" w14:textId="77777777" w:rsidR="003747A7" w:rsidRPr="00056FDA" w:rsidRDefault="003747A7" w:rsidP="001C5B3D">
      <w:pPr>
        <w:tabs>
          <w:tab w:val="left" w:pos="3901"/>
          <w:tab w:val="left" w:pos="8460"/>
        </w:tabs>
        <w:spacing w:before="0" w:after="0" w:line="480" w:lineRule="auto"/>
        <w:rPr>
          <w:rFonts w:cs="Times New Roman"/>
          <w:szCs w:val="24"/>
        </w:rPr>
      </w:pPr>
    </w:p>
    <w:p w14:paraId="5EDBA89D" w14:textId="3D589BD9" w:rsidR="00DD6BA6" w:rsidRPr="00056FDA" w:rsidRDefault="00DD6BA6" w:rsidP="001C5B3D">
      <w:pPr>
        <w:tabs>
          <w:tab w:val="left" w:pos="3901"/>
          <w:tab w:val="left" w:pos="8460"/>
        </w:tabs>
        <w:spacing w:before="0" w:after="0" w:line="480" w:lineRule="auto"/>
        <w:rPr>
          <w:rFonts w:eastAsia="Times New Roman" w:cs="Times New Roman"/>
          <w:szCs w:val="24"/>
        </w:rPr>
      </w:pPr>
      <w:r w:rsidRPr="00056FDA">
        <w:rPr>
          <w:rFonts w:cs="Times New Roman"/>
          <w:szCs w:val="24"/>
        </w:rPr>
        <w:t xml:space="preserve">At this point, it may be useful to address a common misperception about the role of Child Welfare Committees </w:t>
      </w:r>
      <w:r w:rsidR="00941F01" w:rsidRPr="00056FDA">
        <w:rPr>
          <w:rFonts w:cs="Times New Roman"/>
          <w:szCs w:val="24"/>
        </w:rPr>
        <w:t xml:space="preserve">(CWC) </w:t>
      </w:r>
      <w:r w:rsidRPr="00056FDA">
        <w:rPr>
          <w:rFonts w:cs="Times New Roman"/>
          <w:szCs w:val="24"/>
        </w:rPr>
        <w:t xml:space="preserve">established under the JJ Act. To counter the widespread belief amongst service providers that it is imperative for them to take permission from the CWC before terminating a pregnancy, reliance must be placed on the specific roles designated to the CWC for dealing with minor rape victims, who are termed as children in need of care and protection. </w:t>
      </w:r>
      <w:r w:rsidR="00EE6118" w:rsidRPr="00056FDA">
        <w:rPr>
          <w:rFonts w:cs="Times New Roman"/>
          <w:szCs w:val="24"/>
        </w:rPr>
        <w:t>Section 30 of the JJ Act that otherwise outlines the powers and functions of the CWC makes no mention of the power to give consent and/or permission for a minor rape victim to undergo an abortion.</w:t>
      </w:r>
      <w:r w:rsidR="00941F01" w:rsidRPr="00056FDA">
        <w:rPr>
          <w:rFonts w:cs="Times New Roman"/>
          <w:szCs w:val="24"/>
        </w:rPr>
        <w:t xml:space="preserve"> </w:t>
      </w:r>
      <w:r w:rsidR="009F158D" w:rsidRPr="00056FDA">
        <w:rPr>
          <w:rFonts w:eastAsia="Times New Roman" w:cs="Times New Roman"/>
          <w:szCs w:val="24"/>
        </w:rPr>
        <w:t xml:space="preserve">In the case of </w:t>
      </w:r>
      <w:r w:rsidR="009F158D" w:rsidRPr="00056FDA">
        <w:rPr>
          <w:rFonts w:eastAsia="Times New Roman" w:cs="Times New Roman"/>
          <w:i/>
          <w:szCs w:val="24"/>
        </w:rPr>
        <w:t>Halo Bi v. State of Madhya Pradesh</w:t>
      </w:r>
      <w:r w:rsidR="009F158D" w:rsidRPr="00056FDA">
        <w:rPr>
          <w:rFonts w:eastAsia="Times New Roman" w:cs="Times New Roman"/>
          <w:szCs w:val="24"/>
        </w:rPr>
        <w:t>, the High Court has further held that there is no need for the doctors to seek permission of jail authorities or the Magistrate to perform an abortion either.</w:t>
      </w:r>
      <w:r w:rsidR="009F158D" w:rsidRPr="00056FDA">
        <w:rPr>
          <w:rStyle w:val="FootnoteReference"/>
          <w:rFonts w:eastAsia="Times New Roman" w:cs="Times New Roman"/>
          <w:szCs w:val="24"/>
        </w:rPr>
        <w:footnoteReference w:id="26"/>
      </w:r>
      <w:r w:rsidR="009F158D" w:rsidRPr="00056FDA">
        <w:rPr>
          <w:rFonts w:eastAsia="Times New Roman" w:cs="Times New Roman"/>
          <w:szCs w:val="24"/>
        </w:rPr>
        <w:t xml:space="preserve"> </w:t>
      </w:r>
    </w:p>
    <w:p w14:paraId="6FADC900" w14:textId="77777777" w:rsidR="003747A7" w:rsidRPr="00056FDA" w:rsidRDefault="003747A7" w:rsidP="001C5B3D">
      <w:pPr>
        <w:tabs>
          <w:tab w:val="left" w:pos="3901"/>
          <w:tab w:val="left" w:pos="8460"/>
        </w:tabs>
        <w:spacing w:before="0" w:after="0" w:line="480" w:lineRule="auto"/>
        <w:rPr>
          <w:rFonts w:cs="Times New Roman"/>
          <w:szCs w:val="24"/>
        </w:rPr>
      </w:pPr>
    </w:p>
    <w:p w14:paraId="5BF7A32D" w14:textId="77777777" w:rsidR="003747A7" w:rsidRPr="00056FDA" w:rsidRDefault="001A4BB2" w:rsidP="003747A7">
      <w:pPr>
        <w:spacing w:before="0" w:after="0" w:line="480" w:lineRule="auto"/>
        <w:rPr>
          <w:rFonts w:cs="Times New Roman"/>
          <w:szCs w:val="24"/>
        </w:rPr>
      </w:pPr>
      <w:r w:rsidRPr="00056FDA">
        <w:rPr>
          <w:rFonts w:cs="Times New Roman"/>
          <w:szCs w:val="24"/>
        </w:rPr>
        <w:t xml:space="preserve">Another fear amongst service providers relates to the offence of statutory rape under section 375 of the IPC, that does not view intention as relevant to determining criminal liability. The particular fear here is that penetration of the vagina, regardless of </w:t>
      </w:r>
      <w:r w:rsidR="00151ED9" w:rsidRPr="00056FDA">
        <w:rPr>
          <w:rFonts w:cs="Times New Roman"/>
          <w:szCs w:val="24"/>
        </w:rPr>
        <w:t xml:space="preserve">the </w:t>
      </w:r>
      <w:r w:rsidRPr="00056FDA">
        <w:rPr>
          <w:rFonts w:cs="Times New Roman"/>
          <w:szCs w:val="24"/>
        </w:rPr>
        <w:t xml:space="preserve">absence of a guilty mind on the part of the provider, may leave </w:t>
      </w:r>
      <w:r w:rsidR="00151ED9" w:rsidRPr="00056FDA">
        <w:rPr>
          <w:rFonts w:cs="Times New Roman"/>
          <w:szCs w:val="24"/>
        </w:rPr>
        <w:t>the latter</w:t>
      </w:r>
      <w:r w:rsidRPr="00056FDA">
        <w:rPr>
          <w:rFonts w:cs="Times New Roman"/>
          <w:szCs w:val="24"/>
        </w:rPr>
        <w:t xml:space="preserve"> liable for criminal prosecution and punishment. </w:t>
      </w:r>
      <w:r w:rsidR="00151ED9" w:rsidRPr="00056FDA">
        <w:rPr>
          <w:rFonts w:cs="Times New Roman"/>
          <w:szCs w:val="24"/>
        </w:rPr>
        <w:t>However, the MTP Act provides sufficient guidance in such situations too. Section 8 of the MTP Act reads</w:t>
      </w:r>
      <w:r w:rsidR="00782251" w:rsidRPr="00056FDA">
        <w:rPr>
          <w:rFonts w:cs="Times New Roman"/>
          <w:szCs w:val="24"/>
        </w:rPr>
        <w:t xml:space="preserve"> as under</w:t>
      </w:r>
      <w:r w:rsidR="00151ED9" w:rsidRPr="00056FDA">
        <w:rPr>
          <w:rFonts w:cs="Times New Roman"/>
          <w:szCs w:val="24"/>
        </w:rPr>
        <w:t xml:space="preserve">: </w:t>
      </w:r>
    </w:p>
    <w:p w14:paraId="4B2E3CC6" w14:textId="463BCF90" w:rsidR="00151ED9" w:rsidRPr="00056FDA" w:rsidRDefault="00151ED9" w:rsidP="003747A7">
      <w:pPr>
        <w:spacing w:before="0" w:after="0" w:line="480" w:lineRule="auto"/>
        <w:ind w:left="720"/>
        <w:rPr>
          <w:rFonts w:eastAsia="Times New Roman" w:cs="Times New Roman"/>
          <w:szCs w:val="24"/>
        </w:rPr>
      </w:pPr>
      <w:r w:rsidRPr="00056FDA">
        <w:rPr>
          <w:rFonts w:eastAsia="Times New Roman" w:cs="Times New Roman"/>
          <w:szCs w:val="24"/>
        </w:rPr>
        <w:t>No suit or other legal proceedings shall lie against any registered medical practitioner for any damage caused likely to be caused by anything which is in good faith done or intended to be done under this act.</w:t>
      </w:r>
    </w:p>
    <w:p w14:paraId="7F969576" w14:textId="77777777" w:rsidR="003747A7" w:rsidRPr="00056FDA" w:rsidRDefault="003747A7" w:rsidP="003747A7">
      <w:pPr>
        <w:spacing w:before="0" w:after="0" w:line="480" w:lineRule="auto"/>
        <w:ind w:left="720"/>
        <w:rPr>
          <w:rFonts w:cs="Times New Roman"/>
          <w:szCs w:val="24"/>
        </w:rPr>
      </w:pPr>
    </w:p>
    <w:p w14:paraId="7F8DA1CB" w14:textId="48549493" w:rsidR="00151ED9" w:rsidRPr="00056FDA" w:rsidRDefault="00151ED9" w:rsidP="001C5B3D">
      <w:pPr>
        <w:spacing w:before="0" w:after="0" w:line="480" w:lineRule="auto"/>
        <w:rPr>
          <w:rFonts w:eastAsia="Times New Roman" w:cs="Times New Roman"/>
          <w:szCs w:val="24"/>
        </w:rPr>
      </w:pPr>
      <w:r w:rsidRPr="00056FDA">
        <w:rPr>
          <w:rFonts w:eastAsia="Times New Roman" w:cs="Times New Roman"/>
          <w:szCs w:val="24"/>
        </w:rPr>
        <w:t xml:space="preserve">The good faith exception contained in the MTP Act saves medical practitioners from being sued or prosecuted under the IPC. The MTP Act, as a specific legislation, must be read harmoniously with the general IPC to conclude that </w:t>
      </w:r>
      <w:r w:rsidR="00B04E97" w:rsidRPr="00056FDA">
        <w:rPr>
          <w:rFonts w:eastAsia="Times New Roman" w:cs="Times New Roman"/>
          <w:szCs w:val="24"/>
        </w:rPr>
        <w:t xml:space="preserve">bonafide </w:t>
      </w:r>
      <w:r w:rsidRPr="00056FDA">
        <w:rPr>
          <w:rFonts w:eastAsia="Times New Roman" w:cs="Times New Roman"/>
          <w:szCs w:val="24"/>
        </w:rPr>
        <w:t xml:space="preserve">acts done or intended to be done by medical professionals in the process of terminating a pregnancy will not attract criminal liability. </w:t>
      </w:r>
      <w:r w:rsidR="00B938F1" w:rsidRPr="00056FDA">
        <w:rPr>
          <w:rFonts w:eastAsia="Times New Roman" w:cs="Times New Roman"/>
          <w:szCs w:val="24"/>
        </w:rPr>
        <w:t xml:space="preserve">To shed further light on the principle of ‘good faith’, </w:t>
      </w:r>
      <w:r w:rsidR="00203DAA" w:rsidRPr="00056FDA">
        <w:rPr>
          <w:rFonts w:eastAsia="Times New Roman" w:cs="Times New Roman"/>
          <w:szCs w:val="24"/>
        </w:rPr>
        <w:t xml:space="preserve">reliance must be placed on the definition of </w:t>
      </w:r>
      <w:r w:rsidR="007B7A12" w:rsidRPr="00056FDA">
        <w:rPr>
          <w:rFonts w:eastAsia="Times New Roman" w:cs="Times New Roman"/>
          <w:szCs w:val="24"/>
        </w:rPr>
        <w:t>‘</w:t>
      </w:r>
      <w:r w:rsidR="00203DAA" w:rsidRPr="00056FDA">
        <w:rPr>
          <w:rFonts w:eastAsia="Times New Roman" w:cs="Times New Roman"/>
          <w:szCs w:val="24"/>
        </w:rPr>
        <w:t>good faith</w:t>
      </w:r>
      <w:r w:rsidR="007B7A12" w:rsidRPr="00056FDA">
        <w:rPr>
          <w:rFonts w:eastAsia="Times New Roman" w:cs="Times New Roman"/>
          <w:szCs w:val="24"/>
        </w:rPr>
        <w:t>’</w:t>
      </w:r>
      <w:r w:rsidR="00203DAA" w:rsidRPr="00056FDA">
        <w:rPr>
          <w:rFonts w:eastAsia="Times New Roman" w:cs="Times New Roman"/>
          <w:szCs w:val="24"/>
        </w:rPr>
        <w:t xml:space="preserve"> under section 52 of the IPC and section 3(22) of the General Clauses Act 1897. The IPC suggests that an act is done without good faith if it is done “without due care and attention”. The General Clauses Act defines an act done in good faith to be one that is “in fact done honestly, whether it is done negligently or not”. </w:t>
      </w:r>
      <w:r w:rsidR="007B7A12" w:rsidRPr="00056FDA">
        <w:rPr>
          <w:rFonts w:eastAsia="Times New Roman" w:cs="Times New Roman"/>
          <w:szCs w:val="24"/>
        </w:rPr>
        <w:t xml:space="preserve">In the case of </w:t>
      </w:r>
      <w:r w:rsidR="007B7A12" w:rsidRPr="00056FDA">
        <w:rPr>
          <w:rFonts w:eastAsia="Times New Roman" w:cs="Times New Roman"/>
          <w:i/>
          <w:szCs w:val="24"/>
        </w:rPr>
        <w:t>Smt. Vinitha Ashok v. Lakshmi Hospital &amp; Others</w:t>
      </w:r>
      <w:r w:rsidR="007B7A12" w:rsidRPr="00056FDA">
        <w:rPr>
          <w:rFonts w:eastAsia="Times New Roman" w:cs="Times New Roman"/>
          <w:szCs w:val="24"/>
        </w:rPr>
        <w:t>, the Supreme Court of India absolved the doctor of any liability by holding that,</w:t>
      </w:r>
    </w:p>
    <w:p w14:paraId="4EF0BB04" w14:textId="77777777" w:rsidR="003747A7" w:rsidRPr="00056FDA" w:rsidRDefault="003747A7" w:rsidP="001C5B3D">
      <w:pPr>
        <w:spacing w:before="0" w:after="0" w:line="480" w:lineRule="auto"/>
        <w:rPr>
          <w:rFonts w:eastAsia="Times New Roman" w:cs="Times New Roman"/>
          <w:szCs w:val="24"/>
        </w:rPr>
      </w:pPr>
    </w:p>
    <w:p w14:paraId="2CEF5919" w14:textId="28F44035" w:rsidR="007B7A12" w:rsidRPr="00056FDA" w:rsidRDefault="007B7A12" w:rsidP="001C5B3D">
      <w:pPr>
        <w:spacing w:before="0" w:after="0" w:line="480" w:lineRule="auto"/>
        <w:ind w:left="720"/>
        <w:rPr>
          <w:rFonts w:eastAsia="Times New Roman" w:cs="Times New Roman"/>
          <w:szCs w:val="24"/>
        </w:rPr>
      </w:pPr>
      <w:r w:rsidRPr="00056FDA">
        <w:rPr>
          <w:rFonts w:eastAsia="Times New Roman" w:cs="Times New Roman"/>
          <w:szCs w:val="24"/>
        </w:rPr>
        <w:t>“A doctor is not guilty of negligence where she acts in accordance with a practice accepted as proper by a reasonable body of medical men skilled in that particular art.”</w:t>
      </w:r>
      <w:r w:rsidRPr="00056FDA">
        <w:rPr>
          <w:rStyle w:val="FootnoteReference"/>
          <w:rFonts w:eastAsia="Times New Roman" w:cs="Times New Roman"/>
          <w:szCs w:val="24"/>
        </w:rPr>
        <w:footnoteReference w:id="27"/>
      </w:r>
    </w:p>
    <w:p w14:paraId="7100EDE5" w14:textId="07DAC575" w:rsidR="001A4BB2" w:rsidRPr="00056FDA" w:rsidRDefault="007B7A12" w:rsidP="001C5B3D">
      <w:pPr>
        <w:spacing w:before="0" w:after="0" w:line="480" w:lineRule="auto"/>
        <w:rPr>
          <w:rFonts w:eastAsia="Times New Roman" w:cs="Times New Roman"/>
          <w:szCs w:val="24"/>
        </w:rPr>
      </w:pPr>
      <w:r w:rsidRPr="00056FDA">
        <w:rPr>
          <w:rFonts w:eastAsia="Times New Roman" w:cs="Times New Roman"/>
          <w:szCs w:val="24"/>
        </w:rPr>
        <w:t>Taken cumulatively then, as long as service providers act honestly and take due care and attention by following standard medical practice</w:t>
      </w:r>
      <w:r w:rsidR="0021087C" w:rsidRPr="00056FDA">
        <w:rPr>
          <w:rFonts w:eastAsia="Times New Roman" w:cs="Times New Roman"/>
          <w:szCs w:val="24"/>
        </w:rPr>
        <w:t>, they would</w:t>
      </w:r>
      <w:r w:rsidRPr="00056FDA">
        <w:rPr>
          <w:rFonts w:eastAsia="Times New Roman" w:cs="Times New Roman"/>
          <w:szCs w:val="24"/>
        </w:rPr>
        <w:t xml:space="preserve"> not be held liable for any ensuing damage caused during termination.</w:t>
      </w:r>
    </w:p>
    <w:p w14:paraId="044358B5" w14:textId="77777777" w:rsidR="003747A7" w:rsidRPr="00056FDA" w:rsidRDefault="003747A7" w:rsidP="001C5B3D">
      <w:pPr>
        <w:spacing w:before="0" w:after="0" w:line="480" w:lineRule="auto"/>
        <w:rPr>
          <w:rFonts w:cs="Times New Roman"/>
          <w:szCs w:val="24"/>
        </w:rPr>
      </w:pPr>
    </w:p>
    <w:p w14:paraId="5D647941" w14:textId="77777777" w:rsidR="007A4D87" w:rsidRPr="00056FDA" w:rsidRDefault="003811E6" w:rsidP="001C5B3D">
      <w:pPr>
        <w:pStyle w:val="Heading2"/>
        <w:spacing w:before="0" w:after="0" w:line="480" w:lineRule="auto"/>
        <w:ind w:firstLine="0"/>
        <w:contextualSpacing w:val="0"/>
      </w:pPr>
      <w:r w:rsidRPr="00056FDA">
        <w:t xml:space="preserve">Unintended consequences of the inconsistencies </w:t>
      </w:r>
    </w:p>
    <w:p w14:paraId="26AEB979" w14:textId="77777777" w:rsidR="003747A7" w:rsidRPr="00056FDA" w:rsidRDefault="003747A7" w:rsidP="003747A7">
      <w:pPr>
        <w:rPr>
          <w:szCs w:val="24"/>
        </w:rPr>
      </w:pPr>
    </w:p>
    <w:p w14:paraId="728CAC25" w14:textId="77777777" w:rsidR="006243E2" w:rsidRPr="00056FDA" w:rsidRDefault="005015AE" w:rsidP="001C5B3D">
      <w:pPr>
        <w:spacing w:before="0" w:after="0" w:line="480" w:lineRule="auto"/>
        <w:rPr>
          <w:rFonts w:cs="Times New Roman"/>
          <w:szCs w:val="24"/>
        </w:rPr>
      </w:pPr>
      <w:r w:rsidRPr="00056FDA">
        <w:rPr>
          <w:rFonts w:cs="Times New Roman"/>
          <w:szCs w:val="24"/>
        </w:rPr>
        <w:t xml:space="preserve">The </w:t>
      </w:r>
      <w:r w:rsidR="00041B10" w:rsidRPr="00056FDA">
        <w:rPr>
          <w:rFonts w:cs="Times New Roman"/>
          <w:szCs w:val="24"/>
        </w:rPr>
        <w:t xml:space="preserve">legal </w:t>
      </w:r>
      <w:r w:rsidRPr="00056FDA">
        <w:rPr>
          <w:rFonts w:cs="Times New Roman"/>
          <w:szCs w:val="24"/>
        </w:rPr>
        <w:t xml:space="preserve">inconsistencies identified above have serious consequences on girls’ access to legal and safe abortion. </w:t>
      </w:r>
      <w:r w:rsidR="00322144" w:rsidRPr="00056FDA">
        <w:rPr>
          <w:rFonts w:cs="Times New Roman"/>
          <w:szCs w:val="24"/>
        </w:rPr>
        <w:t>G</w:t>
      </w:r>
      <w:r w:rsidR="009B4895" w:rsidRPr="00056FDA">
        <w:rPr>
          <w:rFonts w:cs="Times New Roman"/>
          <w:szCs w:val="24"/>
        </w:rPr>
        <w:t xml:space="preserve">irls in India </w:t>
      </w:r>
      <w:r w:rsidR="00322144" w:rsidRPr="00056FDA">
        <w:rPr>
          <w:rFonts w:cs="Times New Roman"/>
          <w:szCs w:val="24"/>
        </w:rPr>
        <w:t xml:space="preserve">may </w:t>
      </w:r>
      <w:r w:rsidR="009B4895" w:rsidRPr="00056FDA">
        <w:rPr>
          <w:rFonts w:cs="Times New Roman"/>
          <w:szCs w:val="24"/>
        </w:rPr>
        <w:t>refrain from seeking a legal abortion</w:t>
      </w:r>
      <w:r w:rsidR="00C1744A" w:rsidRPr="00056FDA">
        <w:rPr>
          <w:rFonts w:cs="Times New Roman"/>
          <w:szCs w:val="24"/>
        </w:rPr>
        <w:t xml:space="preserve"> because they </w:t>
      </w:r>
      <w:r w:rsidR="00B9627C" w:rsidRPr="00056FDA">
        <w:rPr>
          <w:rFonts w:cs="Times New Roman"/>
          <w:szCs w:val="24"/>
        </w:rPr>
        <w:t xml:space="preserve">want to avoid the laws’ mandatory reporting requirement, </w:t>
      </w:r>
      <w:r w:rsidR="00322144" w:rsidRPr="00056FDA">
        <w:rPr>
          <w:rFonts w:cs="Times New Roman"/>
          <w:szCs w:val="24"/>
        </w:rPr>
        <w:t xml:space="preserve">cannot obtain their guardian’s permission, or </w:t>
      </w:r>
      <w:r w:rsidR="00B9627C" w:rsidRPr="00056FDA">
        <w:rPr>
          <w:rFonts w:cs="Times New Roman"/>
          <w:szCs w:val="24"/>
        </w:rPr>
        <w:t xml:space="preserve">fear being prosecuted for criminal activity themselves. </w:t>
      </w:r>
      <w:r w:rsidR="00322144" w:rsidRPr="00056FDA">
        <w:rPr>
          <w:rFonts w:cs="Times New Roman"/>
          <w:szCs w:val="24"/>
        </w:rPr>
        <w:t xml:space="preserve">In addition, the serious criminal penalties associated with illegal abortion, and the ambiguous legal framework, may deter medical providers from providing abortion even in cases where it is legal. </w:t>
      </w:r>
    </w:p>
    <w:p w14:paraId="180E26C2" w14:textId="77777777" w:rsidR="003747A7" w:rsidRPr="00056FDA" w:rsidRDefault="003747A7" w:rsidP="001C5B3D">
      <w:pPr>
        <w:spacing w:before="0" w:after="0" w:line="480" w:lineRule="auto"/>
        <w:rPr>
          <w:rFonts w:cs="Times New Roman"/>
          <w:szCs w:val="24"/>
        </w:rPr>
      </w:pPr>
    </w:p>
    <w:p w14:paraId="19B4F91C" w14:textId="77777777" w:rsidR="00FE02D9" w:rsidRPr="00056FDA" w:rsidRDefault="007A4D87" w:rsidP="001C5B3D">
      <w:pPr>
        <w:pStyle w:val="Heading3"/>
        <w:numPr>
          <w:ilvl w:val="0"/>
          <w:numId w:val="24"/>
        </w:numPr>
        <w:spacing w:before="0" w:after="0" w:line="480" w:lineRule="auto"/>
        <w:ind w:firstLine="0"/>
        <w:rPr>
          <w:rFonts w:cs="Times New Roman"/>
          <w:b/>
          <w:sz w:val="24"/>
          <w:szCs w:val="24"/>
        </w:rPr>
      </w:pPr>
      <w:r w:rsidRPr="00056FDA">
        <w:rPr>
          <w:rFonts w:cs="Times New Roman"/>
          <w:b/>
          <w:sz w:val="24"/>
          <w:szCs w:val="24"/>
        </w:rPr>
        <w:t xml:space="preserve">For Women </w:t>
      </w:r>
    </w:p>
    <w:p w14:paraId="71F1A51C" w14:textId="77777777" w:rsidR="003747A7" w:rsidRPr="00056FDA" w:rsidRDefault="003747A7" w:rsidP="003747A7">
      <w:pPr>
        <w:rPr>
          <w:szCs w:val="24"/>
        </w:rPr>
      </w:pPr>
    </w:p>
    <w:p w14:paraId="4EC56FC7" w14:textId="77777777" w:rsidR="004D59C6" w:rsidRPr="00056FDA" w:rsidRDefault="00865412" w:rsidP="001C5B3D">
      <w:pPr>
        <w:shd w:val="clear" w:color="auto" w:fill="FFFFFF"/>
        <w:spacing w:before="0" w:after="0" w:line="480" w:lineRule="auto"/>
        <w:rPr>
          <w:rFonts w:eastAsia="Times New Roman" w:cs="Times New Roman"/>
          <w:szCs w:val="24"/>
        </w:rPr>
      </w:pPr>
      <w:r w:rsidRPr="00056FDA">
        <w:rPr>
          <w:rFonts w:eastAsia="Times New Roman" w:cs="Times New Roman"/>
          <w:szCs w:val="24"/>
        </w:rPr>
        <w:t xml:space="preserve">According to some estimates, half of all girls </w:t>
      </w:r>
      <w:r w:rsidR="00704576" w:rsidRPr="00056FDA">
        <w:rPr>
          <w:rFonts w:eastAsia="Times New Roman" w:cs="Times New Roman"/>
          <w:szCs w:val="24"/>
        </w:rPr>
        <w:t xml:space="preserve">in India </w:t>
      </w:r>
      <w:r w:rsidRPr="00056FDA">
        <w:rPr>
          <w:rFonts w:eastAsia="Times New Roman" w:cs="Times New Roman"/>
          <w:szCs w:val="24"/>
        </w:rPr>
        <w:t xml:space="preserve">are sexually active by the time they are 18, and almost one in five are </w:t>
      </w:r>
      <w:r w:rsidRPr="00056FDA">
        <w:rPr>
          <w:rFonts w:cs="Times New Roman"/>
          <w:szCs w:val="24"/>
        </w:rPr>
        <w:t>sexually active by the time they are 15.</w:t>
      </w:r>
      <w:r w:rsidRPr="00056FDA">
        <w:rPr>
          <w:rStyle w:val="FootnoteReference"/>
          <w:rFonts w:cs="Times New Roman"/>
          <w:szCs w:val="24"/>
        </w:rPr>
        <w:footnoteReference w:id="28"/>
      </w:r>
      <w:r w:rsidR="00240C02" w:rsidRPr="00056FDA">
        <w:rPr>
          <w:rFonts w:cs="Times New Roman"/>
          <w:szCs w:val="24"/>
        </w:rPr>
        <w:t xml:space="preserve"> Thus,</w:t>
      </w:r>
      <w:r w:rsidR="00827E7A" w:rsidRPr="00056FDA">
        <w:rPr>
          <w:rFonts w:cs="Times New Roman"/>
          <w:szCs w:val="24"/>
        </w:rPr>
        <w:t xml:space="preserve"> it is essential </w:t>
      </w:r>
      <w:r w:rsidR="003E26F0" w:rsidRPr="00056FDA">
        <w:rPr>
          <w:rFonts w:cs="Times New Roman"/>
          <w:szCs w:val="24"/>
        </w:rPr>
        <w:t>for minor girls to have access to</w:t>
      </w:r>
      <w:r w:rsidR="006D5E98" w:rsidRPr="00056FDA">
        <w:rPr>
          <w:rFonts w:cs="Times New Roman"/>
          <w:szCs w:val="24"/>
        </w:rPr>
        <w:t xml:space="preserve"> </w:t>
      </w:r>
      <w:r w:rsidR="002539D7" w:rsidRPr="00056FDA">
        <w:rPr>
          <w:rFonts w:cs="Times New Roman"/>
          <w:szCs w:val="24"/>
        </w:rPr>
        <w:t xml:space="preserve">safe abortion services. </w:t>
      </w:r>
      <w:r w:rsidR="00E819E4" w:rsidRPr="00056FDA">
        <w:rPr>
          <w:rFonts w:cs="Times New Roman"/>
          <w:szCs w:val="24"/>
        </w:rPr>
        <w:t xml:space="preserve">The current legal framework </w:t>
      </w:r>
      <w:r w:rsidR="00072AA0" w:rsidRPr="00056FDA">
        <w:rPr>
          <w:rFonts w:cs="Times New Roman"/>
          <w:szCs w:val="24"/>
        </w:rPr>
        <w:t xml:space="preserve">may impact </w:t>
      </w:r>
      <w:r w:rsidR="000C76A2" w:rsidRPr="00056FDA">
        <w:rPr>
          <w:rFonts w:cs="Times New Roman"/>
          <w:szCs w:val="24"/>
        </w:rPr>
        <w:t xml:space="preserve">such access </w:t>
      </w:r>
      <w:r w:rsidR="00440840" w:rsidRPr="00056FDA">
        <w:rPr>
          <w:rFonts w:cs="Times New Roman"/>
          <w:szCs w:val="24"/>
        </w:rPr>
        <w:t>in the following ways:</w:t>
      </w:r>
    </w:p>
    <w:p w14:paraId="075DFF83" w14:textId="77777777" w:rsidR="009E1588" w:rsidRPr="00056FDA" w:rsidRDefault="009E1588" w:rsidP="001C5B3D">
      <w:pPr>
        <w:pStyle w:val="Heading4"/>
        <w:numPr>
          <w:ilvl w:val="0"/>
          <w:numId w:val="25"/>
        </w:numPr>
        <w:spacing w:before="0" w:line="480" w:lineRule="auto"/>
        <w:ind w:firstLine="0"/>
        <w:rPr>
          <w:rFonts w:cs="Times New Roman"/>
          <w:szCs w:val="24"/>
        </w:rPr>
      </w:pPr>
      <w:r w:rsidRPr="00056FDA">
        <w:rPr>
          <w:rFonts w:cs="Times New Roman"/>
          <w:szCs w:val="24"/>
        </w:rPr>
        <w:t>Unwillingness to approach healthcare providers because of the mandatory reporting requirement</w:t>
      </w:r>
    </w:p>
    <w:p w14:paraId="20DE5DAC" w14:textId="77777777" w:rsidR="003747A7" w:rsidRPr="00056FDA" w:rsidRDefault="003747A7" w:rsidP="003747A7">
      <w:pPr>
        <w:rPr>
          <w:szCs w:val="24"/>
        </w:rPr>
      </w:pPr>
    </w:p>
    <w:p w14:paraId="3C1FEC61" w14:textId="1D81624A" w:rsidR="009E1588" w:rsidRPr="00056FDA" w:rsidRDefault="00793121" w:rsidP="001C5B3D">
      <w:pPr>
        <w:tabs>
          <w:tab w:val="left" w:pos="3901"/>
        </w:tabs>
        <w:spacing w:before="0" w:after="0" w:line="480" w:lineRule="auto"/>
        <w:rPr>
          <w:rFonts w:cs="Times New Roman"/>
          <w:szCs w:val="24"/>
        </w:rPr>
      </w:pPr>
      <w:r w:rsidRPr="00056FDA">
        <w:rPr>
          <w:rFonts w:cs="Times New Roman"/>
          <w:szCs w:val="24"/>
        </w:rPr>
        <w:t xml:space="preserve">Requiring medical </w:t>
      </w:r>
      <w:r w:rsidR="005B3126" w:rsidRPr="00056FDA">
        <w:rPr>
          <w:rFonts w:cs="Times New Roman"/>
          <w:szCs w:val="24"/>
        </w:rPr>
        <w:t>provide</w:t>
      </w:r>
      <w:r w:rsidR="004619DC" w:rsidRPr="00056FDA">
        <w:rPr>
          <w:rFonts w:cs="Times New Roman"/>
          <w:szCs w:val="24"/>
        </w:rPr>
        <w:t xml:space="preserve">rs to report </w:t>
      </w:r>
      <w:r w:rsidR="00E8340D" w:rsidRPr="00056FDA">
        <w:rPr>
          <w:rFonts w:cs="Times New Roman"/>
          <w:szCs w:val="24"/>
        </w:rPr>
        <w:t>minor girl</w:t>
      </w:r>
      <w:r w:rsidR="00ED1D5E" w:rsidRPr="00056FDA">
        <w:rPr>
          <w:rFonts w:cs="Times New Roman"/>
          <w:szCs w:val="24"/>
        </w:rPr>
        <w:t>s</w:t>
      </w:r>
      <w:r w:rsidR="00990D82" w:rsidRPr="00056FDA">
        <w:rPr>
          <w:rFonts w:cs="Times New Roman"/>
          <w:szCs w:val="24"/>
        </w:rPr>
        <w:t xml:space="preserve"> </w:t>
      </w:r>
      <w:r w:rsidR="005B3126" w:rsidRPr="00056FDA">
        <w:rPr>
          <w:rFonts w:cs="Times New Roman"/>
          <w:szCs w:val="24"/>
        </w:rPr>
        <w:t xml:space="preserve">seeking </w:t>
      </w:r>
      <w:r w:rsidR="00CD7BC2" w:rsidRPr="00056FDA">
        <w:rPr>
          <w:rFonts w:cs="Times New Roman"/>
          <w:szCs w:val="24"/>
        </w:rPr>
        <w:t xml:space="preserve">an </w:t>
      </w:r>
      <w:r w:rsidR="005B3126" w:rsidRPr="00056FDA">
        <w:rPr>
          <w:rFonts w:cs="Times New Roman"/>
          <w:szCs w:val="24"/>
        </w:rPr>
        <w:t xml:space="preserve">abortion </w:t>
      </w:r>
      <w:r w:rsidR="002C7F9B" w:rsidRPr="00056FDA">
        <w:rPr>
          <w:rFonts w:cs="Times New Roman"/>
          <w:szCs w:val="24"/>
        </w:rPr>
        <w:t>to the police</w:t>
      </w:r>
      <w:r w:rsidR="000511F4" w:rsidRPr="00056FDA">
        <w:rPr>
          <w:rFonts w:cs="Times New Roman"/>
          <w:szCs w:val="24"/>
        </w:rPr>
        <w:t>, apart from violating their fundamental right to privacy,</w:t>
      </w:r>
      <w:r w:rsidR="000511F4" w:rsidRPr="00056FDA">
        <w:rPr>
          <w:rStyle w:val="FootnoteReference"/>
          <w:rFonts w:cs="Times New Roman"/>
          <w:szCs w:val="24"/>
        </w:rPr>
        <w:footnoteReference w:id="29"/>
      </w:r>
      <w:r w:rsidR="000511F4" w:rsidRPr="00056FDA">
        <w:rPr>
          <w:rFonts w:cs="Times New Roman"/>
          <w:szCs w:val="24"/>
        </w:rPr>
        <w:t xml:space="preserve"> may</w:t>
      </w:r>
      <w:r w:rsidR="00D8269A" w:rsidRPr="00056FDA">
        <w:rPr>
          <w:rFonts w:cs="Times New Roman"/>
          <w:szCs w:val="24"/>
        </w:rPr>
        <w:t xml:space="preserve"> </w:t>
      </w:r>
      <w:r w:rsidR="00EC4B9D" w:rsidRPr="00056FDA">
        <w:rPr>
          <w:rFonts w:cs="Times New Roman"/>
          <w:szCs w:val="24"/>
        </w:rPr>
        <w:t xml:space="preserve">drive </w:t>
      </w:r>
      <w:r w:rsidR="00F27A97" w:rsidRPr="00056FDA">
        <w:rPr>
          <w:rFonts w:cs="Times New Roman"/>
          <w:szCs w:val="24"/>
        </w:rPr>
        <w:t xml:space="preserve">some </w:t>
      </w:r>
      <w:r w:rsidR="00212E50" w:rsidRPr="00056FDA">
        <w:rPr>
          <w:rFonts w:cs="Times New Roman"/>
          <w:szCs w:val="24"/>
        </w:rPr>
        <w:t xml:space="preserve">of the girls </w:t>
      </w:r>
      <w:r w:rsidR="00FF45C2" w:rsidRPr="00056FDA">
        <w:rPr>
          <w:rFonts w:cs="Times New Roman"/>
          <w:szCs w:val="24"/>
        </w:rPr>
        <w:t xml:space="preserve">to seek </w:t>
      </w:r>
      <w:r w:rsidR="001A205D" w:rsidRPr="00056FDA">
        <w:rPr>
          <w:rFonts w:cs="Times New Roman"/>
          <w:szCs w:val="24"/>
        </w:rPr>
        <w:t>treatment from unqualified practitioners</w:t>
      </w:r>
      <w:r w:rsidR="00E55AA7" w:rsidRPr="00056FDA">
        <w:rPr>
          <w:rFonts w:cs="Times New Roman"/>
          <w:szCs w:val="24"/>
        </w:rPr>
        <w:t xml:space="preserve">. </w:t>
      </w:r>
      <w:r w:rsidR="001E03D3" w:rsidRPr="00056FDA">
        <w:rPr>
          <w:rFonts w:cs="Times New Roman"/>
          <w:szCs w:val="24"/>
        </w:rPr>
        <w:t xml:space="preserve">If the pregnancy was the result of consensual sex, then </w:t>
      </w:r>
      <w:r w:rsidR="0085611D" w:rsidRPr="00056FDA">
        <w:rPr>
          <w:rFonts w:cs="Times New Roman"/>
          <w:szCs w:val="24"/>
        </w:rPr>
        <w:t xml:space="preserve">the girl will not want to </w:t>
      </w:r>
      <w:r w:rsidR="00FE1A5B" w:rsidRPr="00056FDA">
        <w:rPr>
          <w:rFonts w:cs="Times New Roman"/>
          <w:szCs w:val="24"/>
        </w:rPr>
        <w:t xml:space="preserve">report the matter to </w:t>
      </w:r>
      <w:r w:rsidR="00576DBE" w:rsidRPr="00056FDA">
        <w:rPr>
          <w:rFonts w:cs="Times New Roman"/>
          <w:szCs w:val="24"/>
        </w:rPr>
        <w:t xml:space="preserve">the </w:t>
      </w:r>
      <w:r w:rsidR="00FE1A5B" w:rsidRPr="00056FDA">
        <w:rPr>
          <w:rFonts w:cs="Times New Roman"/>
          <w:szCs w:val="24"/>
        </w:rPr>
        <w:t>police</w:t>
      </w:r>
      <w:r w:rsidR="000260A0" w:rsidRPr="00056FDA">
        <w:rPr>
          <w:rFonts w:cs="Times New Roman"/>
          <w:szCs w:val="24"/>
        </w:rPr>
        <w:t xml:space="preserve"> or </w:t>
      </w:r>
      <w:r w:rsidR="00455ED4" w:rsidRPr="00056FDA">
        <w:rPr>
          <w:rFonts w:cs="Times New Roman"/>
          <w:szCs w:val="24"/>
        </w:rPr>
        <w:t>see her partner arrested, charged, and possibly sentenced to a length</w:t>
      </w:r>
      <w:r w:rsidR="003019AF" w:rsidRPr="00056FDA">
        <w:rPr>
          <w:rFonts w:cs="Times New Roman"/>
          <w:szCs w:val="24"/>
        </w:rPr>
        <w:t>y</w:t>
      </w:r>
      <w:r w:rsidR="00455ED4" w:rsidRPr="00056FDA">
        <w:rPr>
          <w:rFonts w:cs="Times New Roman"/>
          <w:szCs w:val="24"/>
        </w:rPr>
        <w:t xml:space="preserve"> prison term. </w:t>
      </w:r>
    </w:p>
    <w:p w14:paraId="0DBC5672" w14:textId="77777777" w:rsidR="003747A7" w:rsidRPr="00056FDA" w:rsidRDefault="003747A7" w:rsidP="001C5B3D">
      <w:pPr>
        <w:tabs>
          <w:tab w:val="left" w:pos="3901"/>
        </w:tabs>
        <w:spacing w:before="0" w:after="0" w:line="480" w:lineRule="auto"/>
        <w:rPr>
          <w:rFonts w:cs="Times New Roman"/>
          <w:szCs w:val="24"/>
        </w:rPr>
      </w:pPr>
    </w:p>
    <w:p w14:paraId="2FBC0A06" w14:textId="617E0A48" w:rsidR="009E1588" w:rsidRPr="00056FDA" w:rsidRDefault="00455ED4" w:rsidP="001C5B3D">
      <w:pPr>
        <w:tabs>
          <w:tab w:val="left" w:pos="3901"/>
        </w:tabs>
        <w:spacing w:before="0" w:after="0" w:line="480" w:lineRule="auto"/>
        <w:rPr>
          <w:rFonts w:cs="Times New Roman"/>
          <w:szCs w:val="24"/>
        </w:rPr>
      </w:pPr>
      <w:r w:rsidRPr="00056FDA">
        <w:rPr>
          <w:rFonts w:cs="Times New Roman"/>
          <w:szCs w:val="24"/>
        </w:rPr>
        <w:t>E</w:t>
      </w:r>
      <w:r w:rsidR="00CE50D5" w:rsidRPr="00056FDA">
        <w:rPr>
          <w:rFonts w:cs="Times New Roman"/>
          <w:szCs w:val="24"/>
        </w:rPr>
        <w:t>ven if the pregnancy was the result of rape</w:t>
      </w:r>
      <w:r w:rsidRPr="00056FDA">
        <w:rPr>
          <w:rFonts w:cs="Times New Roman"/>
          <w:szCs w:val="24"/>
        </w:rPr>
        <w:t xml:space="preserve">, the victim may not </w:t>
      </w:r>
      <w:r w:rsidR="00531E32" w:rsidRPr="00056FDA">
        <w:rPr>
          <w:rFonts w:cs="Times New Roman"/>
          <w:szCs w:val="24"/>
        </w:rPr>
        <w:t xml:space="preserve">want to immediately report the case to the police—she </w:t>
      </w:r>
      <w:r w:rsidR="004F4C3E" w:rsidRPr="00056FDA">
        <w:rPr>
          <w:rFonts w:cs="Times New Roman"/>
          <w:szCs w:val="24"/>
        </w:rPr>
        <w:t xml:space="preserve">might not feel safe, she </w:t>
      </w:r>
      <w:r w:rsidR="00531E32" w:rsidRPr="00056FDA">
        <w:rPr>
          <w:rFonts w:cs="Times New Roman"/>
          <w:szCs w:val="24"/>
        </w:rPr>
        <w:t xml:space="preserve">may </w:t>
      </w:r>
      <w:r w:rsidR="007A3EA3" w:rsidRPr="00056FDA">
        <w:rPr>
          <w:rFonts w:cs="Times New Roman"/>
          <w:szCs w:val="24"/>
        </w:rPr>
        <w:t xml:space="preserve">first </w:t>
      </w:r>
      <w:r w:rsidR="00531E32" w:rsidRPr="00056FDA">
        <w:rPr>
          <w:rFonts w:cs="Times New Roman"/>
          <w:szCs w:val="24"/>
        </w:rPr>
        <w:t xml:space="preserve">need counseling, she might prefer </w:t>
      </w:r>
      <w:r w:rsidR="007A3EA3" w:rsidRPr="00056FDA">
        <w:rPr>
          <w:rFonts w:cs="Times New Roman"/>
          <w:szCs w:val="24"/>
        </w:rPr>
        <w:t>to approach a more victim-friendly</w:t>
      </w:r>
      <w:r w:rsidR="00A9283F" w:rsidRPr="00056FDA">
        <w:rPr>
          <w:rFonts w:cs="Times New Roman"/>
          <w:szCs w:val="24"/>
        </w:rPr>
        <w:t xml:space="preserve"> </w:t>
      </w:r>
      <w:r w:rsidR="00B84798" w:rsidRPr="00056FDA">
        <w:rPr>
          <w:rFonts w:cs="Times New Roman"/>
          <w:szCs w:val="24"/>
        </w:rPr>
        <w:t xml:space="preserve">service </w:t>
      </w:r>
      <w:r w:rsidR="00F80F66" w:rsidRPr="00056FDA">
        <w:rPr>
          <w:rFonts w:cs="Times New Roman"/>
          <w:szCs w:val="24"/>
        </w:rPr>
        <w:t>(</w:t>
      </w:r>
      <w:r w:rsidR="004773AF" w:rsidRPr="00056FDA">
        <w:rPr>
          <w:rFonts w:cs="Times New Roman"/>
          <w:szCs w:val="24"/>
        </w:rPr>
        <w:t xml:space="preserve">perhaps </w:t>
      </w:r>
      <w:r w:rsidR="00F80F66" w:rsidRPr="00056FDA">
        <w:rPr>
          <w:rFonts w:cs="Times New Roman"/>
          <w:szCs w:val="24"/>
        </w:rPr>
        <w:t>an NGO</w:t>
      </w:r>
      <w:r w:rsidR="004773AF" w:rsidRPr="00056FDA">
        <w:rPr>
          <w:rFonts w:cs="Times New Roman"/>
          <w:szCs w:val="24"/>
        </w:rPr>
        <w:t xml:space="preserve"> with expertise in this area</w:t>
      </w:r>
      <w:r w:rsidR="00F80F66" w:rsidRPr="00056FDA">
        <w:rPr>
          <w:rFonts w:cs="Times New Roman"/>
          <w:szCs w:val="24"/>
        </w:rPr>
        <w:t>)</w:t>
      </w:r>
      <w:r w:rsidR="00DD6BA6" w:rsidRPr="00056FDA">
        <w:rPr>
          <w:rFonts w:cs="Times New Roman"/>
          <w:szCs w:val="24"/>
        </w:rPr>
        <w:t>.</w:t>
      </w:r>
    </w:p>
    <w:p w14:paraId="0D4D076B" w14:textId="77777777" w:rsidR="003747A7" w:rsidRPr="00056FDA" w:rsidRDefault="003747A7" w:rsidP="001C5B3D">
      <w:pPr>
        <w:tabs>
          <w:tab w:val="left" w:pos="3901"/>
        </w:tabs>
        <w:spacing w:before="0" w:after="0" w:line="480" w:lineRule="auto"/>
        <w:rPr>
          <w:rFonts w:cs="Times New Roman"/>
          <w:szCs w:val="24"/>
        </w:rPr>
      </w:pPr>
    </w:p>
    <w:p w14:paraId="5BD95847" w14:textId="3B5D494B" w:rsidR="00C42E0A" w:rsidRPr="00056FDA" w:rsidRDefault="006D4C5A" w:rsidP="001C5B3D">
      <w:pPr>
        <w:tabs>
          <w:tab w:val="left" w:pos="3901"/>
        </w:tabs>
        <w:spacing w:before="0" w:after="0" w:line="480" w:lineRule="auto"/>
        <w:rPr>
          <w:rFonts w:cs="Times New Roman"/>
          <w:szCs w:val="24"/>
        </w:rPr>
      </w:pPr>
      <w:r w:rsidRPr="00056FDA">
        <w:rPr>
          <w:rFonts w:cs="Times New Roman"/>
          <w:szCs w:val="24"/>
        </w:rPr>
        <w:t xml:space="preserve">Thus, minor girls </w:t>
      </w:r>
      <w:r w:rsidR="00486F11" w:rsidRPr="00056FDA">
        <w:rPr>
          <w:rFonts w:cs="Times New Roman"/>
          <w:szCs w:val="24"/>
        </w:rPr>
        <w:t>may</w:t>
      </w:r>
      <w:r w:rsidR="00521696" w:rsidRPr="00056FDA">
        <w:rPr>
          <w:rFonts w:cs="Times New Roman"/>
          <w:szCs w:val="24"/>
        </w:rPr>
        <w:t xml:space="preserve"> choose to</w:t>
      </w:r>
      <w:r w:rsidR="00486F11" w:rsidRPr="00056FDA">
        <w:rPr>
          <w:rFonts w:cs="Times New Roman"/>
          <w:szCs w:val="24"/>
        </w:rPr>
        <w:t xml:space="preserve"> go to unqualified practitioners </w:t>
      </w:r>
      <w:r w:rsidR="00CD68D9" w:rsidRPr="00056FDA">
        <w:rPr>
          <w:rFonts w:cs="Times New Roman"/>
          <w:szCs w:val="24"/>
        </w:rPr>
        <w:t xml:space="preserve">who will </w:t>
      </w:r>
      <w:r w:rsidR="00B718F1" w:rsidRPr="00056FDA">
        <w:rPr>
          <w:rFonts w:cs="Times New Roman"/>
          <w:szCs w:val="24"/>
        </w:rPr>
        <w:t xml:space="preserve">not report. </w:t>
      </w:r>
      <w:r w:rsidR="008E22D1" w:rsidRPr="00056FDA">
        <w:rPr>
          <w:rFonts w:cs="Times New Roman"/>
          <w:szCs w:val="24"/>
        </w:rPr>
        <w:t xml:space="preserve">In fact, </w:t>
      </w:r>
      <w:r w:rsidR="00993F50" w:rsidRPr="00056FDA">
        <w:rPr>
          <w:rFonts w:cs="Times New Roman"/>
          <w:szCs w:val="24"/>
        </w:rPr>
        <w:t>c</w:t>
      </w:r>
      <w:r w:rsidR="006D5BD2" w:rsidRPr="00056FDA">
        <w:rPr>
          <w:rFonts w:cs="Times New Roman"/>
          <w:szCs w:val="24"/>
        </w:rPr>
        <w:t xml:space="preserve">ivil society </w:t>
      </w:r>
      <w:r w:rsidR="00C812D5" w:rsidRPr="00056FDA">
        <w:rPr>
          <w:rFonts w:cs="Times New Roman"/>
          <w:szCs w:val="24"/>
        </w:rPr>
        <w:t>has documented</w:t>
      </w:r>
      <w:r w:rsidR="006D5BD2" w:rsidRPr="00056FDA">
        <w:rPr>
          <w:rFonts w:cs="Times New Roman"/>
          <w:szCs w:val="24"/>
        </w:rPr>
        <w:t xml:space="preserve"> specific instances of </w:t>
      </w:r>
      <w:r w:rsidR="00DD6BA6" w:rsidRPr="00056FDA">
        <w:rPr>
          <w:rFonts w:cs="Times New Roman"/>
          <w:szCs w:val="24"/>
        </w:rPr>
        <w:t>such incidents</w:t>
      </w:r>
      <w:r w:rsidR="006D5BD2" w:rsidRPr="00056FDA">
        <w:rPr>
          <w:rFonts w:cs="Times New Roman"/>
          <w:szCs w:val="24"/>
        </w:rPr>
        <w:t>.</w:t>
      </w:r>
      <w:r w:rsidR="00632D15" w:rsidRPr="00056FDA">
        <w:rPr>
          <w:rStyle w:val="FootnoteReference"/>
          <w:rFonts w:cs="Times New Roman"/>
          <w:szCs w:val="24"/>
        </w:rPr>
        <w:footnoteReference w:id="30"/>
      </w:r>
      <w:r w:rsidR="0010297C" w:rsidRPr="00056FDA">
        <w:rPr>
          <w:rFonts w:cs="Times New Roman"/>
          <w:szCs w:val="24"/>
        </w:rPr>
        <w:t xml:space="preserve"> Doctors h</w:t>
      </w:r>
      <w:r w:rsidR="00202121" w:rsidRPr="00056FDA">
        <w:rPr>
          <w:rFonts w:cs="Times New Roman"/>
          <w:szCs w:val="24"/>
        </w:rPr>
        <w:t>ave also expressed concern that</w:t>
      </w:r>
      <w:r w:rsidR="00BF27A8" w:rsidRPr="00056FDA">
        <w:rPr>
          <w:rFonts w:cs="Times New Roman"/>
          <w:szCs w:val="24"/>
        </w:rPr>
        <w:t xml:space="preserve"> </w:t>
      </w:r>
      <w:r w:rsidR="0010297C" w:rsidRPr="00056FDA">
        <w:rPr>
          <w:rFonts w:cs="Times New Roman"/>
          <w:szCs w:val="24"/>
        </w:rPr>
        <w:t>mandatory reporting will result in girls approaching quacks or resorting to other dangerous methods of abortion.</w:t>
      </w:r>
      <w:r w:rsidR="00834312" w:rsidRPr="00056FDA">
        <w:rPr>
          <w:rStyle w:val="FootnoteReference"/>
          <w:rFonts w:cs="Times New Roman"/>
          <w:szCs w:val="24"/>
        </w:rPr>
        <w:footnoteReference w:id="31"/>
      </w:r>
      <w:r w:rsidR="0038122F" w:rsidRPr="00056FDA">
        <w:rPr>
          <w:rFonts w:cs="Times New Roman"/>
          <w:szCs w:val="24"/>
        </w:rPr>
        <w:t xml:space="preserve"> </w:t>
      </w:r>
      <w:r w:rsidR="00A72828" w:rsidRPr="00056FDA">
        <w:rPr>
          <w:rFonts w:cs="Times New Roman"/>
          <w:szCs w:val="24"/>
        </w:rPr>
        <w:t>Similarly, the World Health Organization has noted that</w:t>
      </w:r>
      <w:r w:rsidR="00C1744A" w:rsidRPr="00056FDA">
        <w:rPr>
          <w:rFonts w:cs="Times New Roman"/>
          <w:szCs w:val="24"/>
        </w:rPr>
        <w:t xml:space="preserve"> “[t]he fear that confidentiality will not be maintained deters many women – particularly adolescents and unmarried women – from seeking safe, legal abortion services, and may drive them to clandestine, unsafe abortion providers,” and that </w:t>
      </w:r>
      <w:r w:rsidR="00A72828" w:rsidRPr="00056FDA">
        <w:rPr>
          <w:rFonts w:cs="Times New Roman"/>
          <w:szCs w:val="24"/>
        </w:rPr>
        <w:t>rape victims should not be required “to press charges or to identify the rapist” in order to obtain an abortion.</w:t>
      </w:r>
      <w:r w:rsidR="00A72828" w:rsidRPr="00056FDA">
        <w:rPr>
          <w:rStyle w:val="FootnoteReference"/>
          <w:rFonts w:cs="Times New Roman"/>
          <w:szCs w:val="24"/>
        </w:rPr>
        <w:footnoteReference w:id="32"/>
      </w:r>
      <w:r w:rsidR="00A72828" w:rsidRPr="00056FDA">
        <w:rPr>
          <w:rFonts w:cs="Times New Roman"/>
          <w:szCs w:val="24"/>
        </w:rPr>
        <w:t xml:space="preserve"> </w:t>
      </w:r>
      <w:r w:rsidR="0038122F" w:rsidRPr="00056FDA">
        <w:rPr>
          <w:rFonts w:cs="Times New Roman"/>
          <w:szCs w:val="24"/>
        </w:rPr>
        <w:t>Reporting can also be done to the C</w:t>
      </w:r>
      <w:r w:rsidR="0061453B" w:rsidRPr="00056FDA">
        <w:rPr>
          <w:rFonts w:cs="Times New Roman"/>
          <w:szCs w:val="24"/>
        </w:rPr>
        <w:t xml:space="preserve">hild </w:t>
      </w:r>
      <w:r w:rsidR="0038122F" w:rsidRPr="00056FDA">
        <w:rPr>
          <w:rFonts w:cs="Times New Roman"/>
          <w:szCs w:val="24"/>
        </w:rPr>
        <w:t>W</w:t>
      </w:r>
      <w:r w:rsidR="0061453B" w:rsidRPr="00056FDA">
        <w:rPr>
          <w:rFonts w:cs="Times New Roman"/>
          <w:szCs w:val="24"/>
        </w:rPr>
        <w:t xml:space="preserve">elfare </w:t>
      </w:r>
      <w:r w:rsidR="0038122F" w:rsidRPr="00056FDA">
        <w:rPr>
          <w:rFonts w:cs="Times New Roman"/>
          <w:szCs w:val="24"/>
        </w:rPr>
        <w:t>C</w:t>
      </w:r>
      <w:r w:rsidR="0061453B" w:rsidRPr="00056FDA">
        <w:rPr>
          <w:rFonts w:cs="Times New Roman"/>
          <w:szCs w:val="24"/>
        </w:rPr>
        <w:t>ommittee</w:t>
      </w:r>
      <w:r w:rsidR="0038122F" w:rsidRPr="00056FDA">
        <w:rPr>
          <w:rFonts w:cs="Times New Roman"/>
          <w:szCs w:val="24"/>
        </w:rPr>
        <w:t xml:space="preserve"> instead of the police directly</w:t>
      </w:r>
      <w:r w:rsidR="00127A6D" w:rsidRPr="00056FDA">
        <w:rPr>
          <w:rFonts w:cs="Times New Roman"/>
          <w:szCs w:val="24"/>
        </w:rPr>
        <w:t>,</w:t>
      </w:r>
      <w:r w:rsidR="0038122F" w:rsidRPr="00056FDA">
        <w:rPr>
          <w:rFonts w:cs="Times New Roman"/>
          <w:szCs w:val="24"/>
        </w:rPr>
        <w:t xml:space="preserve"> which will be a far more sensitive body to deal with the case at hand. </w:t>
      </w:r>
    </w:p>
    <w:p w14:paraId="5F224998" w14:textId="77777777" w:rsidR="003747A7" w:rsidRPr="00056FDA" w:rsidRDefault="003747A7" w:rsidP="001C5B3D">
      <w:pPr>
        <w:tabs>
          <w:tab w:val="left" w:pos="3901"/>
        </w:tabs>
        <w:spacing w:before="0" w:after="0" w:line="480" w:lineRule="auto"/>
        <w:rPr>
          <w:rFonts w:cs="Times New Roman"/>
          <w:szCs w:val="24"/>
        </w:rPr>
      </w:pPr>
    </w:p>
    <w:p w14:paraId="3C1C7C4D" w14:textId="77777777" w:rsidR="009E1588" w:rsidRPr="00056FDA" w:rsidRDefault="009E1588" w:rsidP="001C5B3D">
      <w:pPr>
        <w:pStyle w:val="Heading4"/>
        <w:numPr>
          <w:ilvl w:val="0"/>
          <w:numId w:val="25"/>
        </w:numPr>
        <w:spacing w:before="0" w:line="480" w:lineRule="auto"/>
        <w:ind w:firstLine="0"/>
        <w:rPr>
          <w:rFonts w:cs="Times New Roman"/>
          <w:szCs w:val="24"/>
        </w:rPr>
      </w:pPr>
      <w:r w:rsidRPr="00056FDA">
        <w:rPr>
          <w:rFonts w:cs="Times New Roman"/>
          <w:szCs w:val="24"/>
        </w:rPr>
        <w:t>Blanket guardian’s consent requirement unrealistic</w:t>
      </w:r>
    </w:p>
    <w:p w14:paraId="416E2F20" w14:textId="77777777" w:rsidR="003747A7" w:rsidRPr="00056FDA" w:rsidRDefault="003747A7" w:rsidP="003747A7">
      <w:pPr>
        <w:rPr>
          <w:szCs w:val="24"/>
        </w:rPr>
      </w:pPr>
    </w:p>
    <w:p w14:paraId="2BD96E04" w14:textId="77777777" w:rsidR="000D4F81" w:rsidRPr="00056FDA" w:rsidRDefault="00DE5F75" w:rsidP="001C5B3D">
      <w:pPr>
        <w:tabs>
          <w:tab w:val="left" w:pos="3901"/>
        </w:tabs>
        <w:spacing w:before="0" w:after="0" w:line="480" w:lineRule="auto"/>
        <w:rPr>
          <w:rFonts w:cs="Times New Roman"/>
          <w:szCs w:val="24"/>
        </w:rPr>
      </w:pPr>
      <w:r w:rsidRPr="00056FDA">
        <w:rPr>
          <w:rFonts w:cs="Times New Roman"/>
          <w:szCs w:val="24"/>
        </w:rPr>
        <w:t>R</w:t>
      </w:r>
      <w:r w:rsidR="00793121" w:rsidRPr="00056FDA">
        <w:rPr>
          <w:rFonts w:cs="Times New Roman"/>
          <w:szCs w:val="24"/>
        </w:rPr>
        <w:t xml:space="preserve">equiring </w:t>
      </w:r>
      <w:r w:rsidRPr="00056FDA">
        <w:rPr>
          <w:rFonts w:cs="Times New Roman"/>
          <w:szCs w:val="24"/>
        </w:rPr>
        <w:t xml:space="preserve">all </w:t>
      </w:r>
      <w:r w:rsidR="00793121" w:rsidRPr="00056FDA">
        <w:rPr>
          <w:rFonts w:cs="Times New Roman"/>
          <w:szCs w:val="24"/>
        </w:rPr>
        <w:t xml:space="preserve">minor girls to </w:t>
      </w:r>
      <w:r w:rsidR="00AE6881" w:rsidRPr="00056FDA">
        <w:rPr>
          <w:rFonts w:cs="Times New Roman"/>
          <w:szCs w:val="24"/>
        </w:rPr>
        <w:t>obtain</w:t>
      </w:r>
      <w:r w:rsidR="00A76329" w:rsidRPr="00056FDA">
        <w:rPr>
          <w:rFonts w:cs="Times New Roman"/>
          <w:szCs w:val="24"/>
        </w:rPr>
        <w:t xml:space="preserve"> a guardian’s consent</w:t>
      </w:r>
      <w:r w:rsidR="00C804B7" w:rsidRPr="00056FDA">
        <w:rPr>
          <w:rFonts w:cs="Times New Roman"/>
          <w:szCs w:val="24"/>
        </w:rPr>
        <w:t xml:space="preserve"> </w:t>
      </w:r>
      <w:r w:rsidR="007A3B45" w:rsidRPr="00056FDA">
        <w:rPr>
          <w:rFonts w:cs="Times New Roman"/>
          <w:szCs w:val="24"/>
        </w:rPr>
        <w:t>may</w:t>
      </w:r>
      <w:r w:rsidRPr="00056FDA">
        <w:rPr>
          <w:rFonts w:cs="Times New Roman"/>
          <w:szCs w:val="24"/>
        </w:rPr>
        <w:t xml:space="preserve"> be problematic—in some situations, it may not be practical or safe for a minor girl to obtain a guardian’s consent.</w:t>
      </w:r>
      <w:r w:rsidR="000D4F81" w:rsidRPr="00056FDA">
        <w:rPr>
          <w:rFonts w:cs="Times New Roman"/>
          <w:szCs w:val="24"/>
        </w:rPr>
        <w:t xml:space="preserve"> For example, where </w:t>
      </w:r>
      <w:r w:rsidR="002241FE" w:rsidRPr="00056FDA">
        <w:rPr>
          <w:rFonts w:cs="Times New Roman"/>
          <w:szCs w:val="24"/>
        </w:rPr>
        <w:t xml:space="preserve">the guardian </w:t>
      </w:r>
      <w:r w:rsidR="0019096E" w:rsidRPr="00056FDA">
        <w:rPr>
          <w:rFonts w:cs="Times New Roman"/>
          <w:szCs w:val="24"/>
        </w:rPr>
        <w:t>or one of the guardian’s relatives has raped the girl, getting the guardian’s permission</w:t>
      </w:r>
      <w:r w:rsidR="003C597A" w:rsidRPr="00056FDA">
        <w:rPr>
          <w:rFonts w:cs="Times New Roman"/>
          <w:szCs w:val="24"/>
        </w:rPr>
        <w:t xml:space="preserve"> </w:t>
      </w:r>
      <w:r w:rsidR="00FE6446" w:rsidRPr="00056FDA">
        <w:rPr>
          <w:rFonts w:cs="Times New Roman"/>
          <w:szCs w:val="24"/>
        </w:rPr>
        <w:t xml:space="preserve">for an abortion </w:t>
      </w:r>
      <w:r w:rsidR="003C597A" w:rsidRPr="00056FDA">
        <w:rPr>
          <w:rFonts w:cs="Times New Roman"/>
          <w:szCs w:val="24"/>
        </w:rPr>
        <w:t>may be impossible</w:t>
      </w:r>
      <w:r w:rsidR="00FE6446" w:rsidRPr="00056FDA">
        <w:rPr>
          <w:rFonts w:cs="Times New Roman"/>
          <w:szCs w:val="24"/>
        </w:rPr>
        <w:t xml:space="preserve">—allowing the girl to </w:t>
      </w:r>
      <w:r w:rsidR="0084017F" w:rsidRPr="00056FDA">
        <w:rPr>
          <w:rFonts w:cs="Times New Roman"/>
          <w:szCs w:val="24"/>
        </w:rPr>
        <w:t xml:space="preserve">go for an </w:t>
      </w:r>
      <w:r w:rsidR="00FE6446" w:rsidRPr="00056FDA">
        <w:rPr>
          <w:rFonts w:cs="Times New Roman"/>
          <w:szCs w:val="24"/>
        </w:rPr>
        <w:t>abortion will trigger a police investigation, and the guardian will do everything possible to avoid that.</w:t>
      </w:r>
      <w:r w:rsidR="003C597A" w:rsidRPr="00056FDA">
        <w:rPr>
          <w:rFonts w:cs="Times New Roman"/>
          <w:szCs w:val="24"/>
        </w:rPr>
        <w:t xml:space="preserve"> </w:t>
      </w:r>
      <w:r w:rsidR="00D25384" w:rsidRPr="00056FDA">
        <w:rPr>
          <w:rFonts w:cs="Times New Roman"/>
          <w:szCs w:val="24"/>
        </w:rPr>
        <w:t>In conservative areas</w:t>
      </w:r>
      <w:r w:rsidR="005B7807" w:rsidRPr="00056FDA">
        <w:rPr>
          <w:rFonts w:cs="Times New Roman"/>
          <w:szCs w:val="24"/>
        </w:rPr>
        <w:t xml:space="preserve">, </w:t>
      </w:r>
      <w:r w:rsidR="00D25384" w:rsidRPr="00056FDA">
        <w:rPr>
          <w:rFonts w:cs="Times New Roman"/>
          <w:szCs w:val="24"/>
        </w:rPr>
        <w:t>where</w:t>
      </w:r>
      <w:r w:rsidR="005B7807" w:rsidRPr="00056FDA">
        <w:rPr>
          <w:rFonts w:cs="Times New Roman"/>
          <w:szCs w:val="24"/>
        </w:rPr>
        <w:t xml:space="preserve"> premarital sex </w:t>
      </w:r>
      <w:r w:rsidR="00D25384" w:rsidRPr="00056FDA">
        <w:rPr>
          <w:rFonts w:cs="Times New Roman"/>
          <w:szCs w:val="24"/>
        </w:rPr>
        <w:t>is highly taboo, a girl who admits to her parents or guardian that she is pregnant may be ostracized, subjec</w:t>
      </w:r>
      <w:r w:rsidR="001177AC" w:rsidRPr="00056FDA">
        <w:rPr>
          <w:rFonts w:cs="Times New Roman"/>
          <w:szCs w:val="24"/>
        </w:rPr>
        <w:t>ted to violence, or even killed.</w:t>
      </w:r>
      <w:r w:rsidR="00D25384" w:rsidRPr="00056FDA">
        <w:rPr>
          <w:rFonts w:cs="Times New Roman"/>
          <w:szCs w:val="24"/>
        </w:rPr>
        <w:t xml:space="preserve"> </w:t>
      </w:r>
      <w:r w:rsidR="001177AC" w:rsidRPr="00056FDA">
        <w:rPr>
          <w:rFonts w:cs="Times New Roman"/>
          <w:szCs w:val="24"/>
        </w:rPr>
        <w:t>Thus, some girls may seek MTP services from unqualified practitioners that will not require a guardian’s consent. In fact, t</w:t>
      </w:r>
      <w:r w:rsidR="002241FE" w:rsidRPr="00056FDA">
        <w:rPr>
          <w:rFonts w:cs="Times New Roman"/>
          <w:szCs w:val="24"/>
        </w:rPr>
        <w:t>he World Health Organization has noted that, “</w:t>
      </w:r>
      <w:r w:rsidR="000D4F81" w:rsidRPr="00056FDA">
        <w:rPr>
          <w:rFonts w:cs="Times New Roman"/>
          <w:szCs w:val="24"/>
        </w:rPr>
        <w:t>Adolescents may be deterred from going to needed health services if they think they will be required to get permission from their parents or guardians, which increases the likelihood of them going to clandestine abortion providers.</w:t>
      </w:r>
      <w:r w:rsidR="002241FE" w:rsidRPr="00056FDA">
        <w:rPr>
          <w:rFonts w:cs="Times New Roman"/>
          <w:szCs w:val="24"/>
        </w:rPr>
        <w:t>”</w:t>
      </w:r>
      <w:r w:rsidR="002241FE" w:rsidRPr="00056FDA">
        <w:rPr>
          <w:rStyle w:val="FootnoteReference"/>
          <w:rFonts w:cs="Times New Roman"/>
          <w:szCs w:val="24"/>
        </w:rPr>
        <w:footnoteReference w:id="33"/>
      </w:r>
    </w:p>
    <w:p w14:paraId="4F5E5356" w14:textId="77777777" w:rsidR="009E1588" w:rsidRPr="00056FDA" w:rsidRDefault="009E1588" w:rsidP="001C5B3D">
      <w:pPr>
        <w:pStyle w:val="Heading4"/>
        <w:numPr>
          <w:ilvl w:val="0"/>
          <w:numId w:val="25"/>
        </w:numPr>
        <w:spacing w:before="0" w:line="480" w:lineRule="auto"/>
        <w:ind w:firstLine="0"/>
        <w:rPr>
          <w:rFonts w:cs="Times New Roman"/>
          <w:szCs w:val="24"/>
        </w:rPr>
      </w:pPr>
      <w:r w:rsidRPr="00056FDA">
        <w:rPr>
          <w:rFonts w:cs="Times New Roman"/>
          <w:szCs w:val="24"/>
        </w:rPr>
        <w:t>Criminal Liability</w:t>
      </w:r>
    </w:p>
    <w:p w14:paraId="3B12AF79" w14:textId="77777777" w:rsidR="003747A7" w:rsidRPr="00056FDA" w:rsidRDefault="003747A7" w:rsidP="003747A7">
      <w:pPr>
        <w:rPr>
          <w:szCs w:val="24"/>
        </w:rPr>
      </w:pPr>
    </w:p>
    <w:p w14:paraId="2A0F65CC" w14:textId="69A9111D" w:rsidR="00156EAD" w:rsidRPr="00056FDA" w:rsidRDefault="00087361" w:rsidP="001C5B3D">
      <w:pPr>
        <w:tabs>
          <w:tab w:val="left" w:pos="3901"/>
        </w:tabs>
        <w:spacing w:before="0" w:after="0" w:line="480" w:lineRule="auto"/>
        <w:rPr>
          <w:rFonts w:eastAsia="Times New Roman" w:cs="Times New Roman"/>
          <w:szCs w:val="24"/>
        </w:rPr>
      </w:pPr>
      <w:r w:rsidRPr="00056FDA">
        <w:rPr>
          <w:rFonts w:eastAsia="Times New Roman" w:cs="Times New Roman"/>
          <w:szCs w:val="24"/>
        </w:rPr>
        <w:t>Under the current law, a</w:t>
      </w:r>
      <w:r w:rsidR="00FF262E" w:rsidRPr="00056FDA">
        <w:rPr>
          <w:rFonts w:eastAsia="Times New Roman" w:cs="Times New Roman"/>
          <w:szCs w:val="24"/>
        </w:rPr>
        <w:t xml:space="preserve"> girl </w:t>
      </w:r>
      <w:r w:rsidR="004D053F" w:rsidRPr="00056FDA">
        <w:rPr>
          <w:rFonts w:eastAsia="Times New Roman" w:cs="Times New Roman"/>
          <w:szCs w:val="24"/>
        </w:rPr>
        <w:t xml:space="preserve">seeking an abortion could be criminally charged </w:t>
      </w:r>
      <w:r w:rsidR="00A174FA" w:rsidRPr="00056FDA">
        <w:rPr>
          <w:rFonts w:eastAsia="Times New Roman" w:cs="Times New Roman"/>
          <w:szCs w:val="24"/>
        </w:rPr>
        <w:t xml:space="preserve">if she admits engaging </w:t>
      </w:r>
      <w:r w:rsidR="00740187" w:rsidRPr="00056FDA">
        <w:rPr>
          <w:rFonts w:eastAsia="Times New Roman" w:cs="Times New Roman"/>
          <w:szCs w:val="24"/>
        </w:rPr>
        <w:t>in</w:t>
      </w:r>
      <w:r w:rsidR="00A174FA" w:rsidRPr="00056FDA">
        <w:rPr>
          <w:rFonts w:eastAsia="Times New Roman" w:cs="Times New Roman"/>
          <w:szCs w:val="24"/>
        </w:rPr>
        <w:t xml:space="preserve"> certain sexual </w:t>
      </w:r>
      <w:r w:rsidR="00C90247" w:rsidRPr="00056FDA">
        <w:rPr>
          <w:rFonts w:eastAsia="Times New Roman" w:cs="Times New Roman"/>
          <w:szCs w:val="24"/>
        </w:rPr>
        <w:t>activity</w:t>
      </w:r>
      <w:r w:rsidR="004D053F" w:rsidRPr="00056FDA">
        <w:rPr>
          <w:rFonts w:eastAsia="Times New Roman" w:cs="Times New Roman"/>
          <w:szCs w:val="24"/>
        </w:rPr>
        <w:t>.</w:t>
      </w:r>
      <w:r w:rsidR="00F40D60" w:rsidRPr="00056FDA">
        <w:rPr>
          <w:rFonts w:eastAsia="Times New Roman" w:cs="Times New Roman"/>
          <w:szCs w:val="24"/>
        </w:rPr>
        <w:t xml:space="preserve"> </w:t>
      </w:r>
      <w:r w:rsidR="000D3BBD" w:rsidRPr="00056FDA">
        <w:rPr>
          <w:rFonts w:eastAsia="Times New Roman" w:cs="Times New Roman"/>
          <w:szCs w:val="24"/>
        </w:rPr>
        <w:t>F</w:t>
      </w:r>
      <w:r w:rsidR="00907AE6" w:rsidRPr="00056FDA">
        <w:rPr>
          <w:rFonts w:eastAsia="Times New Roman" w:cs="Times New Roman"/>
          <w:szCs w:val="24"/>
        </w:rPr>
        <w:t xml:space="preserve">or example, </w:t>
      </w:r>
      <w:r w:rsidR="009A512B" w:rsidRPr="00056FDA">
        <w:rPr>
          <w:rFonts w:eastAsia="Times New Roman" w:cs="Times New Roman"/>
          <w:szCs w:val="24"/>
        </w:rPr>
        <w:t xml:space="preserve">if a minor </w:t>
      </w:r>
      <w:r w:rsidR="0020796C" w:rsidRPr="00056FDA">
        <w:rPr>
          <w:rFonts w:eastAsia="Times New Roman" w:cs="Times New Roman"/>
          <w:szCs w:val="24"/>
        </w:rPr>
        <w:t xml:space="preserve">girl </w:t>
      </w:r>
      <w:r w:rsidR="00645E20" w:rsidRPr="00056FDA">
        <w:rPr>
          <w:rFonts w:eastAsia="Times New Roman" w:cs="Times New Roman"/>
          <w:szCs w:val="24"/>
        </w:rPr>
        <w:t xml:space="preserve">seeking an abortion </w:t>
      </w:r>
      <w:r w:rsidR="00494996" w:rsidRPr="00056FDA">
        <w:rPr>
          <w:rFonts w:eastAsia="Times New Roman" w:cs="Times New Roman"/>
          <w:szCs w:val="24"/>
        </w:rPr>
        <w:t>adm</w:t>
      </w:r>
      <w:r w:rsidR="00A64925" w:rsidRPr="00056FDA">
        <w:rPr>
          <w:rFonts w:eastAsia="Times New Roman" w:cs="Times New Roman"/>
          <w:szCs w:val="24"/>
        </w:rPr>
        <w:t xml:space="preserve">its during the medical history </w:t>
      </w:r>
      <w:r w:rsidR="00494996" w:rsidRPr="00056FDA">
        <w:rPr>
          <w:rFonts w:eastAsia="Times New Roman" w:cs="Times New Roman"/>
          <w:szCs w:val="24"/>
        </w:rPr>
        <w:t xml:space="preserve">that </w:t>
      </w:r>
      <w:r w:rsidR="0020796C" w:rsidRPr="00056FDA">
        <w:rPr>
          <w:rFonts w:eastAsia="Times New Roman" w:cs="Times New Roman"/>
          <w:szCs w:val="24"/>
        </w:rPr>
        <w:t xml:space="preserve">she performed oral sex on a minor boy, the doctor would be obligated to </w:t>
      </w:r>
      <w:r w:rsidR="009E1588" w:rsidRPr="00056FDA">
        <w:rPr>
          <w:rFonts w:eastAsia="Times New Roman" w:cs="Times New Roman"/>
          <w:szCs w:val="24"/>
        </w:rPr>
        <w:t xml:space="preserve">report </w:t>
      </w:r>
      <w:r w:rsidR="0020796C" w:rsidRPr="00056FDA">
        <w:rPr>
          <w:rFonts w:eastAsia="Times New Roman" w:cs="Times New Roman"/>
          <w:szCs w:val="24"/>
        </w:rPr>
        <w:t xml:space="preserve">this to </w:t>
      </w:r>
      <w:r w:rsidR="00EE6118" w:rsidRPr="00056FDA">
        <w:rPr>
          <w:rFonts w:eastAsia="Times New Roman" w:cs="Times New Roman"/>
          <w:szCs w:val="24"/>
        </w:rPr>
        <w:t xml:space="preserve">the </w:t>
      </w:r>
      <w:r w:rsidR="0020796C" w:rsidRPr="00056FDA">
        <w:rPr>
          <w:rFonts w:eastAsia="Times New Roman" w:cs="Times New Roman"/>
          <w:szCs w:val="24"/>
        </w:rPr>
        <w:t xml:space="preserve">police because </w:t>
      </w:r>
      <w:r w:rsidR="002B6B9B" w:rsidRPr="00056FDA">
        <w:rPr>
          <w:rFonts w:eastAsia="Times New Roman" w:cs="Times New Roman"/>
          <w:szCs w:val="24"/>
        </w:rPr>
        <w:t xml:space="preserve">her actions constitute penetrative sexual assault under </w:t>
      </w:r>
      <w:r w:rsidR="00274C54" w:rsidRPr="00056FDA">
        <w:rPr>
          <w:rFonts w:eastAsia="Times New Roman" w:cs="Times New Roman"/>
          <w:szCs w:val="24"/>
        </w:rPr>
        <w:t>the</w:t>
      </w:r>
      <w:r w:rsidR="007A4C47" w:rsidRPr="00056FDA">
        <w:rPr>
          <w:rFonts w:eastAsia="Times New Roman" w:cs="Times New Roman"/>
          <w:szCs w:val="24"/>
        </w:rPr>
        <w:t xml:space="preserve"> </w:t>
      </w:r>
      <w:r w:rsidR="00274C54" w:rsidRPr="00056FDA">
        <w:rPr>
          <w:rFonts w:eastAsia="Times New Roman" w:cs="Times New Roman"/>
          <w:szCs w:val="24"/>
        </w:rPr>
        <w:t>POCSO Act.</w:t>
      </w:r>
      <w:r w:rsidR="00274C54" w:rsidRPr="00056FDA">
        <w:rPr>
          <w:rStyle w:val="FootnoteReference"/>
          <w:rFonts w:eastAsia="Times New Roman" w:cs="Times New Roman"/>
          <w:szCs w:val="24"/>
        </w:rPr>
        <w:footnoteReference w:id="34"/>
      </w:r>
      <w:r w:rsidR="00BB4703" w:rsidRPr="00056FDA">
        <w:rPr>
          <w:rFonts w:eastAsia="Times New Roman" w:cs="Times New Roman"/>
          <w:szCs w:val="24"/>
        </w:rPr>
        <w:t xml:space="preserve"> </w:t>
      </w:r>
      <w:r w:rsidR="005D7F2C" w:rsidRPr="00056FDA">
        <w:rPr>
          <w:rFonts w:eastAsia="Times New Roman" w:cs="Times New Roman"/>
          <w:szCs w:val="24"/>
        </w:rPr>
        <w:t>In such a case</w:t>
      </w:r>
      <w:r w:rsidR="00F62560" w:rsidRPr="00056FDA">
        <w:rPr>
          <w:rFonts w:eastAsia="Times New Roman" w:cs="Times New Roman"/>
          <w:szCs w:val="24"/>
        </w:rPr>
        <w:t xml:space="preserve"> (and all cases where the offender i</w:t>
      </w:r>
      <w:r w:rsidR="00EE6118" w:rsidRPr="00056FDA">
        <w:rPr>
          <w:rFonts w:eastAsia="Times New Roman" w:cs="Times New Roman"/>
          <w:szCs w:val="24"/>
        </w:rPr>
        <w:t>s</w:t>
      </w:r>
      <w:r w:rsidR="00F62560" w:rsidRPr="00056FDA">
        <w:rPr>
          <w:rFonts w:eastAsia="Times New Roman" w:cs="Times New Roman"/>
          <w:szCs w:val="24"/>
        </w:rPr>
        <w:t xml:space="preserve"> a minor), the </w:t>
      </w:r>
      <w:r w:rsidR="0044572F" w:rsidRPr="00056FDA">
        <w:rPr>
          <w:rFonts w:eastAsia="Times New Roman" w:cs="Times New Roman"/>
          <w:szCs w:val="24"/>
        </w:rPr>
        <w:t xml:space="preserve">POCSO Act </w:t>
      </w:r>
      <w:r w:rsidR="00F62560" w:rsidRPr="00056FDA">
        <w:rPr>
          <w:rFonts w:eastAsia="Times New Roman" w:cs="Times New Roman"/>
          <w:szCs w:val="24"/>
        </w:rPr>
        <w:t xml:space="preserve">states that the </w:t>
      </w:r>
      <w:r w:rsidR="005D7F2C" w:rsidRPr="00056FDA">
        <w:rPr>
          <w:rFonts w:eastAsia="Times New Roman" w:cs="Times New Roman"/>
          <w:szCs w:val="24"/>
        </w:rPr>
        <w:t xml:space="preserve">girl would be dealt with under the </w:t>
      </w:r>
      <w:r w:rsidR="00EE6118" w:rsidRPr="00056FDA">
        <w:rPr>
          <w:rFonts w:eastAsia="Times New Roman" w:cs="Times New Roman"/>
          <w:szCs w:val="24"/>
        </w:rPr>
        <w:t>JJ Act</w:t>
      </w:r>
      <w:r w:rsidR="005D7F2C" w:rsidRPr="00056FDA">
        <w:rPr>
          <w:rFonts w:eastAsia="Times New Roman" w:cs="Times New Roman"/>
          <w:szCs w:val="24"/>
        </w:rPr>
        <w:t>.</w:t>
      </w:r>
      <w:r w:rsidR="005D7F2C" w:rsidRPr="00056FDA">
        <w:rPr>
          <w:rStyle w:val="FootnoteReference"/>
          <w:rFonts w:eastAsia="Times New Roman" w:cs="Times New Roman"/>
          <w:szCs w:val="24"/>
        </w:rPr>
        <w:footnoteReference w:id="35"/>
      </w:r>
    </w:p>
    <w:p w14:paraId="56E28E6C" w14:textId="77777777" w:rsidR="003747A7" w:rsidRPr="00056FDA" w:rsidRDefault="003747A7" w:rsidP="001C5B3D">
      <w:pPr>
        <w:tabs>
          <w:tab w:val="left" w:pos="3901"/>
        </w:tabs>
        <w:spacing w:before="0" w:after="0" w:line="480" w:lineRule="auto"/>
        <w:rPr>
          <w:rFonts w:eastAsia="Times New Roman" w:cs="Times New Roman"/>
          <w:szCs w:val="24"/>
        </w:rPr>
      </w:pPr>
    </w:p>
    <w:p w14:paraId="2BC116A8" w14:textId="77777777" w:rsidR="00156EAD" w:rsidRPr="00056FDA" w:rsidRDefault="003152B0" w:rsidP="001C5B3D">
      <w:pPr>
        <w:tabs>
          <w:tab w:val="left" w:pos="3901"/>
        </w:tabs>
        <w:spacing w:before="0" w:after="0" w:line="480" w:lineRule="auto"/>
        <w:rPr>
          <w:rFonts w:eastAsia="Times New Roman" w:cs="Times New Roman"/>
          <w:szCs w:val="24"/>
        </w:rPr>
      </w:pPr>
      <w:r w:rsidRPr="00056FDA">
        <w:rPr>
          <w:rFonts w:eastAsia="Times New Roman" w:cs="Times New Roman"/>
          <w:szCs w:val="24"/>
        </w:rPr>
        <w:t>Therefore, the current legal framework deters minor girls fr</w:t>
      </w:r>
      <w:r w:rsidR="005922DD" w:rsidRPr="00056FDA">
        <w:rPr>
          <w:rFonts w:eastAsia="Times New Roman" w:cs="Times New Roman"/>
          <w:szCs w:val="24"/>
        </w:rPr>
        <w:t>om seeking safe, legal abortion</w:t>
      </w:r>
      <w:r w:rsidRPr="00056FDA">
        <w:rPr>
          <w:rFonts w:eastAsia="Times New Roman" w:cs="Times New Roman"/>
          <w:szCs w:val="24"/>
        </w:rPr>
        <w:t>, and instead forces many to get unsafe, illegal abortions that lead to complications and even death.</w:t>
      </w:r>
    </w:p>
    <w:p w14:paraId="4C7E9A6D" w14:textId="77777777" w:rsidR="003747A7" w:rsidRPr="00056FDA" w:rsidRDefault="003747A7" w:rsidP="001C5B3D">
      <w:pPr>
        <w:tabs>
          <w:tab w:val="left" w:pos="3901"/>
        </w:tabs>
        <w:spacing w:before="0" w:after="0" w:line="480" w:lineRule="auto"/>
        <w:rPr>
          <w:rFonts w:eastAsia="Times New Roman" w:cs="Times New Roman"/>
          <w:szCs w:val="24"/>
        </w:rPr>
      </w:pPr>
    </w:p>
    <w:p w14:paraId="298EF2D0" w14:textId="77777777" w:rsidR="000B3239" w:rsidRPr="00056FDA" w:rsidRDefault="007A4D87" w:rsidP="001C5B3D">
      <w:pPr>
        <w:pStyle w:val="Heading3"/>
        <w:numPr>
          <w:ilvl w:val="0"/>
          <w:numId w:val="24"/>
        </w:numPr>
        <w:spacing w:before="0" w:after="0" w:line="480" w:lineRule="auto"/>
        <w:ind w:firstLine="0"/>
        <w:rPr>
          <w:rFonts w:cs="Times New Roman"/>
          <w:b/>
          <w:sz w:val="24"/>
          <w:szCs w:val="24"/>
        </w:rPr>
      </w:pPr>
      <w:r w:rsidRPr="00056FDA">
        <w:rPr>
          <w:rFonts w:cs="Times New Roman"/>
          <w:b/>
          <w:sz w:val="24"/>
          <w:szCs w:val="24"/>
        </w:rPr>
        <w:t>For</w:t>
      </w:r>
      <w:r w:rsidR="000B3239" w:rsidRPr="00056FDA">
        <w:rPr>
          <w:rFonts w:cs="Times New Roman"/>
          <w:b/>
          <w:sz w:val="24"/>
          <w:szCs w:val="24"/>
        </w:rPr>
        <w:t xml:space="preserve"> Healthcare Providers</w:t>
      </w:r>
    </w:p>
    <w:p w14:paraId="2FF73598" w14:textId="77777777" w:rsidR="003747A7" w:rsidRPr="00056FDA" w:rsidRDefault="003747A7" w:rsidP="003747A7">
      <w:pPr>
        <w:rPr>
          <w:szCs w:val="24"/>
        </w:rPr>
      </w:pPr>
    </w:p>
    <w:p w14:paraId="6C05EFD9" w14:textId="22895DBC" w:rsidR="009E1588" w:rsidRPr="00056FDA" w:rsidRDefault="001541B4" w:rsidP="001C5B3D">
      <w:pPr>
        <w:shd w:val="clear" w:color="auto" w:fill="FFFFFF"/>
        <w:spacing w:before="0" w:after="0" w:line="480" w:lineRule="auto"/>
        <w:rPr>
          <w:rFonts w:eastAsia="Times New Roman" w:cs="Times New Roman"/>
          <w:szCs w:val="24"/>
        </w:rPr>
      </w:pPr>
      <w:r w:rsidRPr="00056FDA">
        <w:rPr>
          <w:rFonts w:eastAsia="Times New Roman" w:cs="Times New Roman"/>
          <w:szCs w:val="24"/>
        </w:rPr>
        <w:t xml:space="preserve">The </w:t>
      </w:r>
      <w:r w:rsidR="00CF670A" w:rsidRPr="00056FDA">
        <w:rPr>
          <w:rFonts w:eastAsia="Times New Roman" w:cs="Times New Roman"/>
          <w:szCs w:val="24"/>
        </w:rPr>
        <w:t xml:space="preserve">lack of clarity in the current legal framework </w:t>
      </w:r>
      <w:r w:rsidR="000930B4" w:rsidRPr="00056FDA">
        <w:rPr>
          <w:rFonts w:eastAsia="Times New Roman" w:cs="Times New Roman"/>
          <w:szCs w:val="24"/>
        </w:rPr>
        <w:t xml:space="preserve">may deter </w:t>
      </w:r>
      <w:r w:rsidR="00A656E0" w:rsidRPr="00056FDA">
        <w:rPr>
          <w:rFonts w:eastAsia="Times New Roman" w:cs="Times New Roman"/>
          <w:szCs w:val="24"/>
        </w:rPr>
        <w:t xml:space="preserve">doctors </w:t>
      </w:r>
      <w:r w:rsidR="007427B6" w:rsidRPr="00056FDA">
        <w:rPr>
          <w:rFonts w:eastAsia="Times New Roman" w:cs="Times New Roman"/>
          <w:szCs w:val="24"/>
        </w:rPr>
        <w:t xml:space="preserve">from providing abortions, even when </w:t>
      </w:r>
      <w:r w:rsidR="00CF2949" w:rsidRPr="00056FDA">
        <w:rPr>
          <w:rFonts w:eastAsia="Times New Roman" w:cs="Times New Roman"/>
          <w:szCs w:val="24"/>
        </w:rPr>
        <w:t xml:space="preserve">it would be legal to do so. </w:t>
      </w:r>
      <w:r w:rsidR="00B04E97" w:rsidRPr="00056FDA">
        <w:rPr>
          <w:rFonts w:cs="Times New Roman"/>
          <w:szCs w:val="24"/>
        </w:rPr>
        <w:t>The European Court of Human Rights has noted this effect—"the risk of a doctor incurring criminal liability produce[s] a ‘chilling effect’ on doctors when they are deciding whether the requirements of legal abortion are met in a particular case.”</w:t>
      </w:r>
      <w:r w:rsidR="00B04E97" w:rsidRPr="00056FDA">
        <w:rPr>
          <w:rStyle w:val="FootnoteReference"/>
          <w:rFonts w:cs="Times New Roman"/>
          <w:szCs w:val="24"/>
        </w:rPr>
        <w:footnoteReference w:id="36"/>
      </w:r>
      <w:r w:rsidR="00B04E97" w:rsidRPr="00056FDA">
        <w:rPr>
          <w:rFonts w:cs="Times New Roman"/>
          <w:szCs w:val="24"/>
        </w:rPr>
        <w:t xml:space="preserve"> </w:t>
      </w:r>
      <w:r w:rsidR="00CF2949" w:rsidRPr="00056FDA">
        <w:rPr>
          <w:rFonts w:eastAsia="Times New Roman" w:cs="Times New Roman"/>
          <w:szCs w:val="24"/>
        </w:rPr>
        <w:t>More specifically:</w:t>
      </w:r>
    </w:p>
    <w:p w14:paraId="3ACF5351" w14:textId="79DA14F1" w:rsidR="00852640" w:rsidRPr="00056FDA" w:rsidRDefault="009E1588" w:rsidP="001C5B3D">
      <w:pPr>
        <w:pStyle w:val="Heading4"/>
        <w:numPr>
          <w:ilvl w:val="0"/>
          <w:numId w:val="30"/>
        </w:numPr>
        <w:spacing w:before="0" w:line="480" w:lineRule="auto"/>
        <w:ind w:firstLine="0"/>
        <w:rPr>
          <w:rFonts w:eastAsia="Times New Roman" w:cs="Times New Roman"/>
          <w:szCs w:val="24"/>
        </w:rPr>
      </w:pPr>
      <w:r w:rsidRPr="00056FDA">
        <w:rPr>
          <w:rFonts w:eastAsia="Times New Roman" w:cs="Times New Roman"/>
          <w:szCs w:val="24"/>
        </w:rPr>
        <w:t xml:space="preserve">Fear of </w:t>
      </w:r>
      <w:r w:rsidR="007F00CA" w:rsidRPr="00056FDA">
        <w:rPr>
          <w:rFonts w:eastAsia="Times New Roman" w:cs="Times New Roman"/>
          <w:szCs w:val="24"/>
        </w:rPr>
        <w:t>p</w:t>
      </w:r>
      <w:r w:rsidRPr="00056FDA">
        <w:rPr>
          <w:rFonts w:eastAsia="Times New Roman" w:cs="Times New Roman"/>
          <w:szCs w:val="24"/>
        </w:rPr>
        <w:t>rosecution</w:t>
      </w:r>
      <w:r w:rsidR="00CF2949" w:rsidRPr="00056FDA">
        <w:rPr>
          <w:rFonts w:eastAsia="Times New Roman" w:cs="Times New Roman"/>
          <w:szCs w:val="24"/>
        </w:rPr>
        <w:t xml:space="preserve"> </w:t>
      </w:r>
      <w:r w:rsidRPr="00056FDA">
        <w:rPr>
          <w:rFonts w:eastAsia="Times New Roman" w:cs="Times New Roman"/>
          <w:szCs w:val="24"/>
        </w:rPr>
        <w:t>for non-reporting</w:t>
      </w:r>
    </w:p>
    <w:p w14:paraId="39CFD492" w14:textId="77777777" w:rsidR="003747A7" w:rsidRPr="00056FDA" w:rsidRDefault="003747A7" w:rsidP="003747A7">
      <w:pPr>
        <w:rPr>
          <w:szCs w:val="24"/>
        </w:rPr>
      </w:pPr>
    </w:p>
    <w:p w14:paraId="3EBC0B17" w14:textId="3E6254F1" w:rsidR="009E1588" w:rsidRPr="00056FDA" w:rsidRDefault="00124D24" w:rsidP="001C5B3D">
      <w:pPr>
        <w:spacing w:before="0" w:after="0" w:line="480" w:lineRule="auto"/>
        <w:rPr>
          <w:rFonts w:cs="Times New Roman"/>
          <w:szCs w:val="24"/>
        </w:rPr>
      </w:pPr>
      <w:r w:rsidRPr="00056FDA">
        <w:rPr>
          <w:rFonts w:cs="Times New Roman"/>
          <w:szCs w:val="24"/>
        </w:rPr>
        <w:t xml:space="preserve">The law is not clear about whether abortion providers should respect a minor girl’s confidentiality, as required by the MTP Act, or report the case to the police, as required under the POCSO Act and the </w:t>
      </w:r>
      <w:r w:rsidR="00EE6118" w:rsidRPr="00056FDA">
        <w:rPr>
          <w:rFonts w:cs="Times New Roman"/>
          <w:szCs w:val="24"/>
        </w:rPr>
        <w:t>CrPC</w:t>
      </w:r>
      <w:r w:rsidRPr="00056FDA">
        <w:rPr>
          <w:rFonts w:cs="Times New Roman"/>
          <w:szCs w:val="24"/>
        </w:rPr>
        <w:t>. This leaves doctors to speculate at what the law requires. In fact, the confusion on this issue was featured in a recent issue of the Journal of Indian Medico Legal and Ethics Association.</w:t>
      </w:r>
      <w:r w:rsidRPr="00056FDA">
        <w:rPr>
          <w:rStyle w:val="FootnoteReference"/>
          <w:rFonts w:cs="Times New Roman"/>
          <w:szCs w:val="24"/>
        </w:rPr>
        <w:footnoteReference w:id="37"/>
      </w:r>
      <w:r w:rsidRPr="00056FDA">
        <w:rPr>
          <w:rFonts w:cs="Times New Roman"/>
          <w:szCs w:val="24"/>
        </w:rPr>
        <w:t xml:space="preserve"> </w:t>
      </w:r>
    </w:p>
    <w:p w14:paraId="4F0241D4" w14:textId="1DC06CDB" w:rsidR="00124D24" w:rsidRPr="00056FDA" w:rsidRDefault="00124D24" w:rsidP="001C5B3D">
      <w:pPr>
        <w:spacing w:before="0" w:after="0" w:line="480" w:lineRule="auto"/>
        <w:rPr>
          <w:rFonts w:cs="Times New Roman"/>
          <w:szCs w:val="24"/>
        </w:rPr>
      </w:pPr>
      <w:r w:rsidRPr="00056FDA">
        <w:rPr>
          <w:rFonts w:cs="Times New Roman"/>
          <w:szCs w:val="24"/>
        </w:rPr>
        <w:t xml:space="preserve">The journal’s answer was that, under the current law, abortion providers must report cases involving minor girls to </w:t>
      </w:r>
      <w:r w:rsidR="00B04E97" w:rsidRPr="00056FDA">
        <w:rPr>
          <w:rFonts w:cs="Times New Roman"/>
          <w:szCs w:val="24"/>
        </w:rPr>
        <w:t xml:space="preserve">the </w:t>
      </w:r>
      <w:r w:rsidRPr="00056FDA">
        <w:rPr>
          <w:rFonts w:cs="Times New Roman"/>
          <w:szCs w:val="24"/>
        </w:rPr>
        <w:t xml:space="preserve">police. </w:t>
      </w:r>
      <w:r w:rsidR="0035220D" w:rsidRPr="00056FDA">
        <w:rPr>
          <w:rFonts w:cs="Times New Roman"/>
          <w:szCs w:val="24"/>
        </w:rPr>
        <w:t xml:space="preserve">The Madras High Court, in the case of </w:t>
      </w:r>
      <w:r w:rsidR="0035220D" w:rsidRPr="00056FDA">
        <w:rPr>
          <w:rFonts w:cs="Times New Roman"/>
          <w:i/>
          <w:szCs w:val="24"/>
        </w:rPr>
        <w:t>M. Kala v. Inspector of Police</w:t>
      </w:r>
      <w:r w:rsidR="0035220D" w:rsidRPr="00056FDA">
        <w:rPr>
          <w:rFonts w:cs="Times New Roman"/>
          <w:szCs w:val="24"/>
        </w:rPr>
        <w:t>, has confirmed that doctors are obligated under</w:t>
      </w:r>
      <w:r w:rsidR="0021087C" w:rsidRPr="00056FDA">
        <w:rPr>
          <w:rFonts w:cs="Times New Roman"/>
          <w:szCs w:val="24"/>
        </w:rPr>
        <w:t xml:space="preserve"> the POCSO</w:t>
      </w:r>
      <w:r w:rsidR="0035220D" w:rsidRPr="00056FDA">
        <w:rPr>
          <w:rFonts w:cs="Times New Roman"/>
          <w:szCs w:val="24"/>
        </w:rPr>
        <w:t xml:space="preserve"> Act to mandatorily inform the police when a minor requests an abortion.</w:t>
      </w:r>
      <w:r w:rsidR="0035220D" w:rsidRPr="00056FDA">
        <w:rPr>
          <w:rStyle w:val="FootnoteReference"/>
          <w:rFonts w:cs="Times New Roman"/>
          <w:szCs w:val="24"/>
        </w:rPr>
        <w:footnoteReference w:id="38"/>
      </w:r>
      <w:r w:rsidR="0035220D" w:rsidRPr="00056FDA">
        <w:rPr>
          <w:rFonts w:cs="Times New Roman"/>
          <w:szCs w:val="24"/>
        </w:rPr>
        <w:t xml:space="preserve"> </w:t>
      </w:r>
      <w:r w:rsidRPr="00056FDA">
        <w:rPr>
          <w:rFonts w:cs="Times New Roman"/>
          <w:szCs w:val="24"/>
        </w:rPr>
        <w:t xml:space="preserve">The confusion created by the current legal regime has led to some doctors being harassed by </w:t>
      </w:r>
      <w:r w:rsidR="00576DBE" w:rsidRPr="00056FDA">
        <w:rPr>
          <w:rFonts w:cs="Times New Roman"/>
          <w:szCs w:val="24"/>
        </w:rPr>
        <w:t xml:space="preserve">the </w:t>
      </w:r>
      <w:r w:rsidRPr="00056FDA">
        <w:rPr>
          <w:rFonts w:cs="Times New Roman"/>
          <w:szCs w:val="24"/>
        </w:rPr>
        <w:t>police for not reporting abortions involving minor girls.</w:t>
      </w:r>
      <w:r w:rsidRPr="00056FDA">
        <w:rPr>
          <w:rStyle w:val="FootnoteReference"/>
          <w:rFonts w:cs="Times New Roman"/>
          <w:szCs w:val="24"/>
        </w:rPr>
        <w:footnoteReference w:id="39"/>
      </w:r>
      <w:r w:rsidRPr="00056FDA">
        <w:rPr>
          <w:rFonts w:cs="Times New Roman"/>
          <w:szCs w:val="24"/>
        </w:rPr>
        <w:t xml:space="preserve"> It is clear that many doctors oppose mandatory reporting, at least for consensual sex—a 2014 news article noted that as many as 29,310 doctors belonging to the Federation of Obstetric and </w:t>
      </w:r>
      <w:r w:rsidR="009F0DA5" w:rsidRPr="00056FDA">
        <w:rPr>
          <w:rFonts w:cs="Times New Roman"/>
          <w:szCs w:val="24"/>
        </w:rPr>
        <w:t>Gynecological</w:t>
      </w:r>
      <w:r w:rsidRPr="00056FDA">
        <w:rPr>
          <w:rFonts w:cs="Times New Roman"/>
          <w:szCs w:val="24"/>
        </w:rPr>
        <w:t xml:space="preserve"> Societies of India would be writing to MPs against mandatory reporting of consensual sex to the police.</w:t>
      </w:r>
      <w:r w:rsidRPr="00056FDA">
        <w:rPr>
          <w:rStyle w:val="FootnoteReference"/>
          <w:rFonts w:cs="Times New Roman"/>
          <w:szCs w:val="24"/>
        </w:rPr>
        <w:footnoteReference w:id="40"/>
      </w:r>
      <w:r w:rsidRPr="00056FDA">
        <w:rPr>
          <w:rFonts w:cs="Times New Roman"/>
          <w:szCs w:val="24"/>
        </w:rPr>
        <w:t xml:space="preserve"> </w:t>
      </w:r>
    </w:p>
    <w:p w14:paraId="1EA0A956" w14:textId="77777777" w:rsidR="003747A7" w:rsidRPr="00056FDA" w:rsidRDefault="003747A7" w:rsidP="001C5B3D">
      <w:pPr>
        <w:spacing w:before="0" w:after="0" w:line="480" w:lineRule="auto"/>
        <w:rPr>
          <w:rFonts w:cs="Times New Roman"/>
          <w:szCs w:val="24"/>
        </w:rPr>
      </w:pPr>
    </w:p>
    <w:p w14:paraId="148CF979" w14:textId="77777777" w:rsidR="003747A7" w:rsidRPr="00056FDA" w:rsidRDefault="003747A7" w:rsidP="001C5B3D">
      <w:pPr>
        <w:spacing w:before="0" w:after="0" w:line="480" w:lineRule="auto"/>
        <w:rPr>
          <w:rFonts w:cs="Times New Roman"/>
          <w:szCs w:val="24"/>
        </w:rPr>
      </w:pPr>
    </w:p>
    <w:p w14:paraId="24A43F01" w14:textId="77777777" w:rsidR="009E1588" w:rsidRPr="00056FDA" w:rsidRDefault="009E1588" w:rsidP="001C5B3D">
      <w:pPr>
        <w:pStyle w:val="Heading4"/>
        <w:numPr>
          <w:ilvl w:val="0"/>
          <w:numId w:val="30"/>
        </w:numPr>
        <w:spacing w:before="0" w:line="480" w:lineRule="auto"/>
        <w:ind w:firstLine="0"/>
        <w:rPr>
          <w:rFonts w:cs="Times New Roman"/>
          <w:szCs w:val="24"/>
        </w:rPr>
      </w:pPr>
      <w:r w:rsidRPr="00056FDA">
        <w:rPr>
          <w:rFonts w:cs="Times New Roman"/>
          <w:szCs w:val="24"/>
        </w:rPr>
        <w:t>Fear of prosecution for failure to obtain guardian’s consent</w:t>
      </w:r>
    </w:p>
    <w:p w14:paraId="751AC266" w14:textId="77777777" w:rsidR="003747A7" w:rsidRPr="00056FDA" w:rsidRDefault="003747A7" w:rsidP="003747A7">
      <w:pPr>
        <w:rPr>
          <w:szCs w:val="24"/>
        </w:rPr>
      </w:pPr>
    </w:p>
    <w:p w14:paraId="4C11CCCC" w14:textId="160285F7" w:rsidR="00F56DD0" w:rsidRPr="00056FDA" w:rsidRDefault="009E1588" w:rsidP="001C5B3D">
      <w:pPr>
        <w:tabs>
          <w:tab w:val="left" w:pos="3901"/>
        </w:tabs>
        <w:spacing w:before="0" w:after="0" w:line="480" w:lineRule="auto"/>
        <w:rPr>
          <w:rFonts w:cs="Times New Roman"/>
          <w:szCs w:val="24"/>
        </w:rPr>
      </w:pPr>
      <w:r w:rsidRPr="00056FDA">
        <w:rPr>
          <w:rFonts w:cs="Times New Roman"/>
          <w:szCs w:val="24"/>
        </w:rPr>
        <w:t xml:space="preserve">Performing an abortion on a minor without the consent of a guardian violates </w:t>
      </w:r>
      <w:r w:rsidR="00C45FBE" w:rsidRPr="00056FDA">
        <w:rPr>
          <w:rFonts w:cs="Times New Roman"/>
          <w:szCs w:val="24"/>
        </w:rPr>
        <w:t>the MTP Act</w:t>
      </w:r>
      <w:r w:rsidR="00211B7C" w:rsidRPr="00056FDA">
        <w:rPr>
          <w:rStyle w:val="FootnoteReference"/>
          <w:rFonts w:cs="Times New Roman"/>
          <w:szCs w:val="24"/>
        </w:rPr>
        <w:footnoteReference w:id="41"/>
      </w:r>
      <w:r w:rsidR="00C45FBE" w:rsidRPr="00056FDA">
        <w:rPr>
          <w:rFonts w:cs="Times New Roman"/>
          <w:szCs w:val="24"/>
        </w:rPr>
        <w:t xml:space="preserve"> </w:t>
      </w:r>
      <w:r w:rsidR="00C00621" w:rsidRPr="00056FDA">
        <w:rPr>
          <w:rFonts w:cs="Times New Roman"/>
          <w:szCs w:val="24"/>
        </w:rPr>
        <w:t>as well as</w:t>
      </w:r>
      <w:r w:rsidR="00C45FBE" w:rsidRPr="00056FDA">
        <w:rPr>
          <w:rFonts w:cs="Times New Roman"/>
          <w:szCs w:val="24"/>
        </w:rPr>
        <w:t xml:space="preserve"> </w:t>
      </w:r>
      <w:r w:rsidRPr="00056FDA">
        <w:rPr>
          <w:rFonts w:cs="Times New Roman"/>
          <w:szCs w:val="24"/>
        </w:rPr>
        <w:t xml:space="preserve">the POCSO Act. </w:t>
      </w:r>
      <w:r w:rsidR="00B70E4A" w:rsidRPr="00056FDA">
        <w:rPr>
          <w:rFonts w:cs="Times New Roman"/>
          <w:szCs w:val="24"/>
        </w:rPr>
        <w:t xml:space="preserve">Medical providers, therefore, may decline to perform abortions </w:t>
      </w:r>
      <w:r w:rsidR="002E45F9" w:rsidRPr="00056FDA">
        <w:rPr>
          <w:rFonts w:cs="Times New Roman"/>
          <w:szCs w:val="24"/>
        </w:rPr>
        <w:t xml:space="preserve">on minors </w:t>
      </w:r>
      <w:r w:rsidR="00513DF5" w:rsidRPr="00056FDA">
        <w:rPr>
          <w:rFonts w:cs="Times New Roman"/>
          <w:szCs w:val="24"/>
        </w:rPr>
        <w:t xml:space="preserve">because they are afraid that, if they make </w:t>
      </w:r>
      <w:r w:rsidR="00635F77" w:rsidRPr="00056FDA">
        <w:rPr>
          <w:rFonts w:cs="Times New Roman"/>
          <w:szCs w:val="24"/>
        </w:rPr>
        <w:t xml:space="preserve">a </w:t>
      </w:r>
      <w:r w:rsidR="00513DF5" w:rsidRPr="00056FDA">
        <w:rPr>
          <w:rFonts w:cs="Times New Roman"/>
          <w:szCs w:val="24"/>
        </w:rPr>
        <w:t xml:space="preserve">mistake, </w:t>
      </w:r>
      <w:r w:rsidR="00E00416" w:rsidRPr="00056FDA">
        <w:rPr>
          <w:rFonts w:cs="Times New Roman"/>
          <w:szCs w:val="24"/>
        </w:rPr>
        <w:t>or the guardian later</w:t>
      </w:r>
      <w:r w:rsidR="00F130B7" w:rsidRPr="00056FDA">
        <w:rPr>
          <w:rFonts w:cs="Times New Roman"/>
          <w:szCs w:val="24"/>
        </w:rPr>
        <w:t xml:space="preserve"> denies providing</w:t>
      </w:r>
      <w:r w:rsidR="00E00416" w:rsidRPr="00056FDA">
        <w:rPr>
          <w:rFonts w:cs="Times New Roman"/>
          <w:szCs w:val="24"/>
        </w:rPr>
        <w:t xml:space="preserve"> consent, </w:t>
      </w:r>
      <w:r w:rsidR="00513DF5" w:rsidRPr="00056FDA">
        <w:rPr>
          <w:rFonts w:cs="Times New Roman"/>
          <w:szCs w:val="24"/>
        </w:rPr>
        <w:t xml:space="preserve">they could be criminally prosecuted. </w:t>
      </w:r>
    </w:p>
    <w:p w14:paraId="7F4B5764" w14:textId="77777777" w:rsidR="003747A7" w:rsidRPr="00056FDA" w:rsidRDefault="003747A7" w:rsidP="001C5B3D">
      <w:pPr>
        <w:tabs>
          <w:tab w:val="left" w:pos="3901"/>
        </w:tabs>
        <w:spacing w:before="0" w:after="0" w:line="480" w:lineRule="auto"/>
        <w:rPr>
          <w:rFonts w:cs="Times New Roman"/>
          <w:szCs w:val="24"/>
        </w:rPr>
      </w:pPr>
    </w:p>
    <w:p w14:paraId="61EA9A3B" w14:textId="77777777" w:rsidR="009E1588" w:rsidRPr="00056FDA" w:rsidRDefault="009E1588" w:rsidP="001C5B3D">
      <w:pPr>
        <w:pStyle w:val="Heading4"/>
        <w:numPr>
          <w:ilvl w:val="0"/>
          <w:numId w:val="30"/>
        </w:numPr>
        <w:spacing w:before="0" w:line="480" w:lineRule="auto"/>
        <w:ind w:firstLine="0"/>
        <w:rPr>
          <w:rFonts w:cs="Times New Roman"/>
          <w:szCs w:val="24"/>
        </w:rPr>
      </w:pPr>
      <w:r w:rsidRPr="00056FDA">
        <w:rPr>
          <w:rFonts w:cs="Times New Roman"/>
          <w:szCs w:val="24"/>
        </w:rPr>
        <w:t>Other concerns arising from legal ambiguities</w:t>
      </w:r>
    </w:p>
    <w:p w14:paraId="08649FA0" w14:textId="77777777" w:rsidR="003747A7" w:rsidRPr="00056FDA" w:rsidRDefault="003747A7" w:rsidP="003747A7">
      <w:pPr>
        <w:rPr>
          <w:szCs w:val="24"/>
        </w:rPr>
      </w:pPr>
    </w:p>
    <w:p w14:paraId="002BA766" w14:textId="4139FCDA" w:rsidR="007F4C7D" w:rsidRPr="00056FDA" w:rsidRDefault="007F4C7D" w:rsidP="001C5B3D">
      <w:pPr>
        <w:spacing w:before="0" w:after="0" w:line="480" w:lineRule="auto"/>
        <w:rPr>
          <w:rFonts w:eastAsia="Times New Roman" w:cs="Times New Roman"/>
          <w:szCs w:val="24"/>
        </w:rPr>
      </w:pPr>
      <w:r w:rsidRPr="00056FDA">
        <w:rPr>
          <w:rFonts w:eastAsia="Times New Roman" w:cs="Times New Roman"/>
          <w:szCs w:val="24"/>
        </w:rPr>
        <w:t xml:space="preserve">There are additional ambiguities in the legal framework for abortion that </w:t>
      </w:r>
      <w:r w:rsidR="00FA0377" w:rsidRPr="00056FDA">
        <w:rPr>
          <w:rFonts w:eastAsia="Times New Roman" w:cs="Times New Roman"/>
          <w:szCs w:val="24"/>
        </w:rPr>
        <w:t xml:space="preserve">may further deter medical providers from performing abortion on minors. </w:t>
      </w:r>
      <w:r w:rsidR="00F659C3" w:rsidRPr="00056FDA">
        <w:rPr>
          <w:rFonts w:eastAsia="Times New Roman" w:cs="Times New Roman"/>
          <w:szCs w:val="24"/>
        </w:rPr>
        <w:t xml:space="preserve">Medical providers may be afraid that they could mistakenly violate the </w:t>
      </w:r>
      <w:r w:rsidR="00911E9F" w:rsidRPr="00056FDA">
        <w:rPr>
          <w:rFonts w:eastAsia="Times New Roman" w:cs="Times New Roman"/>
          <w:szCs w:val="24"/>
        </w:rPr>
        <w:t>law</w:t>
      </w:r>
      <w:r w:rsidR="00F659C3" w:rsidRPr="00056FDA">
        <w:rPr>
          <w:rFonts w:eastAsia="Times New Roman" w:cs="Times New Roman"/>
          <w:szCs w:val="24"/>
        </w:rPr>
        <w:t xml:space="preserve">, and </w:t>
      </w:r>
      <w:r w:rsidR="001346E6" w:rsidRPr="00056FDA">
        <w:rPr>
          <w:rFonts w:eastAsia="Times New Roman" w:cs="Times New Roman"/>
          <w:szCs w:val="24"/>
        </w:rPr>
        <w:t xml:space="preserve">thereby </w:t>
      </w:r>
      <w:r w:rsidR="00F659C3" w:rsidRPr="00056FDA">
        <w:rPr>
          <w:rFonts w:eastAsia="Times New Roman" w:cs="Times New Roman"/>
          <w:szCs w:val="24"/>
        </w:rPr>
        <w:t xml:space="preserve">subject themselves to serious criminal penalties. </w:t>
      </w:r>
      <w:r w:rsidR="00175B4C" w:rsidRPr="00056FDA">
        <w:rPr>
          <w:rFonts w:eastAsia="Times New Roman" w:cs="Times New Roman"/>
          <w:szCs w:val="24"/>
        </w:rPr>
        <w:t>It is for this reason that many service providers unnecessarily send pregnant minors (and their parents), especially in cases of rape, to the court before performing an abortion. However, various High Courts have clarified that as long as consent requirements under the MTP Act are fulfilled, medical termination of pregnancy does not require judicial approval.</w:t>
      </w:r>
      <w:r w:rsidR="00175B4C" w:rsidRPr="00056FDA">
        <w:rPr>
          <w:rStyle w:val="FootnoteReference"/>
          <w:rFonts w:eastAsia="Times New Roman" w:cs="Times New Roman"/>
          <w:szCs w:val="24"/>
        </w:rPr>
        <w:footnoteReference w:id="42"/>
      </w:r>
      <w:r w:rsidR="00175B4C" w:rsidRPr="00056FDA">
        <w:rPr>
          <w:rFonts w:eastAsia="Times New Roman" w:cs="Times New Roman"/>
          <w:szCs w:val="24"/>
        </w:rPr>
        <w:t xml:space="preserve"> </w:t>
      </w:r>
      <w:r w:rsidR="00F659C3" w:rsidRPr="00056FDA">
        <w:rPr>
          <w:rFonts w:eastAsia="Times New Roman" w:cs="Times New Roman"/>
          <w:szCs w:val="24"/>
        </w:rPr>
        <w:t>These additional ambiguities will be discussed in the next section.</w:t>
      </w:r>
    </w:p>
    <w:p w14:paraId="25C19EFE" w14:textId="77777777" w:rsidR="003063D7" w:rsidRPr="00056FDA" w:rsidRDefault="003063D7" w:rsidP="001C5B3D">
      <w:pPr>
        <w:spacing w:before="0" w:after="0" w:line="480" w:lineRule="auto"/>
        <w:rPr>
          <w:rFonts w:eastAsia="Times New Roman" w:cs="Times New Roman"/>
          <w:szCs w:val="24"/>
        </w:rPr>
      </w:pPr>
      <w:bookmarkStart w:id="19" w:name="_Toc498631719"/>
    </w:p>
    <w:p w14:paraId="0FFD2CD3" w14:textId="77777777" w:rsidR="00F8433B" w:rsidRPr="00056FDA" w:rsidRDefault="00F8433B" w:rsidP="001C5B3D">
      <w:pPr>
        <w:pStyle w:val="Heading2"/>
        <w:spacing w:before="0" w:after="0" w:line="480" w:lineRule="auto"/>
        <w:ind w:firstLine="0"/>
        <w:contextualSpacing w:val="0"/>
        <w:rPr>
          <w:u w:val="single"/>
        </w:rPr>
      </w:pPr>
      <w:r w:rsidRPr="00056FDA">
        <w:rPr>
          <w:u w:val="single"/>
        </w:rPr>
        <w:t>A</w:t>
      </w:r>
      <w:bookmarkEnd w:id="19"/>
      <w:r w:rsidR="006243E2" w:rsidRPr="00056FDA">
        <w:rPr>
          <w:u w:val="single"/>
        </w:rPr>
        <w:t>DDRESSING CONCERNS</w:t>
      </w:r>
    </w:p>
    <w:p w14:paraId="7EAD6581" w14:textId="77777777" w:rsidR="006243E2" w:rsidRPr="00056FDA" w:rsidRDefault="006243E2" w:rsidP="001C5B3D">
      <w:pPr>
        <w:spacing w:before="0" w:after="0" w:line="480" w:lineRule="auto"/>
        <w:rPr>
          <w:rFonts w:cs="Times New Roman"/>
          <w:szCs w:val="24"/>
        </w:rPr>
      </w:pPr>
    </w:p>
    <w:p w14:paraId="5D1BF14F" w14:textId="7A4AE531" w:rsidR="00F8433B" w:rsidRPr="00056FDA" w:rsidRDefault="00F8433B" w:rsidP="001C5B3D">
      <w:pPr>
        <w:tabs>
          <w:tab w:val="left" w:pos="3901"/>
          <w:tab w:val="left" w:pos="4230"/>
        </w:tabs>
        <w:spacing w:before="0" w:after="0" w:line="480" w:lineRule="auto"/>
        <w:rPr>
          <w:rFonts w:cs="Times New Roman"/>
          <w:szCs w:val="24"/>
        </w:rPr>
      </w:pPr>
      <w:r w:rsidRPr="00056FDA">
        <w:rPr>
          <w:rFonts w:cs="Times New Roman"/>
          <w:szCs w:val="24"/>
        </w:rPr>
        <w:t>Anecdotal evidence suggests that many abortion providers are unclear about what the law requires of them</w:t>
      </w:r>
      <w:r w:rsidR="0077632A" w:rsidRPr="00056FDA">
        <w:rPr>
          <w:rFonts w:cs="Times New Roman"/>
          <w:szCs w:val="24"/>
        </w:rPr>
        <w:t>, and hence may be unwilling to engage in legally ambiguous actions such as providing abortion services to minors</w:t>
      </w:r>
      <w:r w:rsidRPr="00056FDA">
        <w:rPr>
          <w:rFonts w:cs="Times New Roman"/>
          <w:szCs w:val="24"/>
        </w:rPr>
        <w:t>. This section will attempt to answer common concerns regarding abortion for minor girls.</w:t>
      </w:r>
    </w:p>
    <w:p w14:paraId="174C8030" w14:textId="77777777" w:rsidR="003747A7" w:rsidRPr="00056FDA" w:rsidRDefault="003747A7" w:rsidP="001C5B3D">
      <w:pPr>
        <w:tabs>
          <w:tab w:val="left" w:pos="3901"/>
          <w:tab w:val="left" w:pos="4230"/>
        </w:tabs>
        <w:spacing w:before="0" w:after="0" w:line="480" w:lineRule="auto"/>
        <w:rPr>
          <w:rFonts w:cs="Times New Roman"/>
          <w:szCs w:val="24"/>
        </w:rPr>
      </w:pPr>
    </w:p>
    <w:p w14:paraId="14054FD3" w14:textId="77777777" w:rsidR="009E1588" w:rsidRPr="00056FDA" w:rsidRDefault="00F736F5" w:rsidP="001C5B3D">
      <w:pPr>
        <w:pStyle w:val="Heading3"/>
        <w:numPr>
          <w:ilvl w:val="0"/>
          <w:numId w:val="36"/>
        </w:numPr>
        <w:spacing w:before="0" w:after="0" w:line="480" w:lineRule="auto"/>
        <w:ind w:firstLine="0"/>
        <w:rPr>
          <w:rFonts w:cs="Times New Roman"/>
          <w:b/>
          <w:i/>
          <w:sz w:val="24"/>
          <w:szCs w:val="24"/>
        </w:rPr>
      </w:pPr>
      <w:r w:rsidRPr="00056FDA">
        <w:rPr>
          <w:rFonts w:cs="Times New Roman"/>
          <w:b/>
          <w:i/>
          <w:sz w:val="24"/>
          <w:szCs w:val="24"/>
        </w:rPr>
        <w:t>Unclear if p</w:t>
      </w:r>
      <w:r w:rsidR="00F8433B" w:rsidRPr="00056FDA">
        <w:rPr>
          <w:rFonts w:cs="Times New Roman"/>
          <w:b/>
          <w:i/>
          <w:sz w:val="24"/>
          <w:szCs w:val="24"/>
        </w:rPr>
        <w:t xml:space="preserve">reservation of products of conception (PoC) </w:t>
      </w:r>
      <w:r w:rsidRPr="00056FDA">
        <w:rPr>
          <w:rFonts w:cs="Times New Roman"/>
          <w:b/>
          <w:i/>
          <w:sz w:val="24"/>
          <w:szCs w:val="24"/>
        </w:rPr>
        <w:t xml:space="preserve">is </w:t>
      </w:r>
      <w:r w:rsidR="00F8433B" w:rsidRPr="00056FDA">
        <w:rPr>
          <w:rFonts w:cs="Times New Roman"/>
          <w:b/>
          <w:i/>
          <w:sz w:val="24"/>
          <w:szCs w:val="24"/>
        </w:rPr>
        <w:t>mandatory</w:t>
      </w:r>
    </w:p>
    <w:p w14:paraId="2AD40940" w14:textId="77777777" w:rsidR="00C86D40" w:rsidRPr="00056FDA" w:rsidRDefault="00C86D40" w:rsidP="001C5B3D">
      <w:pPr>
        <w:tabs>
          <w:tab w:val="left" w:pos="3901"/>
          <w:tab w:val="left" w:pos="4230"/>
        </w:tabs>
        <w:spacing w:before="0" w:after="0" w:line="480" w:lineRule="auto"/>
        <w:rPr>
          <w:rFonts w:cs="Times New Roman"/>
          <w:szCs w:val="24"/>
        </w:rPr>
      </w:pPr>
    </w:p>
    <w:p w14:paraId="27D5B0C6" w14:textId="3DB6F726" w:rsidR="005A05DF" w:rsidRPr="00056FDA" w:rsidRDefault="00F8433B" w:rsidP="001C5B3D">
      <w:pPr>
        <w:tabs>
          <w:tab w:val="left" w:pos="3901"/>
          <w:tab w:val="left" w:pos="4230"/>
        </w:tabs>
        <w:spacing w:before="0" w:after="0" w:line="480" w:lineRule="auto"/>
        <w:rPr>
          <w:rFonts w:cs="Times New Roman"/>
          <w:szCs w:val="24"/>
        </w:rPr>
      </w:pPr>
      <w:r w:rsidRPr="00056FDA" w:rsidDel="00BE6039">
        <w:rPr>
          <w:rFonts w:cs="Times New Roman"/>
          <w:szCs w:val="24"/>
        </w:rPr>
        <w:t xml:space="preserve">Under </w:t>
      </w:r>
      <w:r w:rsidR="0018648D" w:rsidRPr="00056FDA">
        <w:rPr>
          <w:rFonts w:cs="Times New Roman"/>
          <w:szCs w:val="24"/>
        </w:rPr>
        <w:t xml:space="preserve">Section 201 of the IPC, </w:t>
      </w:r>
      <w:r w:rsidRPr="00056FDA" w:rsidDel="00BE6039">
        <w:rPr>
          <w:rFonts w:cs="Times New Roman"/>
          <w:szCs w:val="24"/>
        </w:rPr>
        <w:t xml:space="preserve">it is a crime to cause “any evidence of the commission” of an offense to disappear with the intention of screening the offender from legal punishment. Since sex with a minor girl is a crime, this </w:t>
      </w:r>
      <w:r w:rsidR="00E41D6F" w:rsidRPr="00056FDA">
        <w:rPr>
          <w:rFonts w:cs="Times New Roman"/>
          <w:szCs w:val="24"/>
        </w:rPr>
        <w:t xml:space="preserve">might be read </w:t>
      </w:r>
      <w:r w:rsidRPr="00056FDA" w:rsidDel="00BE6039">
        <w:rPr>
          <w:rFonts w:cs="Times New Roman"/>
          <w:szCs w:val="24"/>
        </w:rPr>
        <w:t xml:space="preserve">to include the products of conception when a minor girl obtains an abortion. </w:t>
      </w:r>
      <w:r w:rsidR="00F736F5" w:rsidRPr="00056FDA">
        <w:rPr>
          <w:rFonts w:cs="Times New Roman"/>
          <w:szCs w:val="24"/>
        </w:rPr>
        <w:t xml:space="preserve">For example, </w:t>
      </w:r>
      <w:r w:rsidR="00F736F5" w:rsidRPr="00056FDA" w:rsidDel="00BE6039">
        <w:rPr>
          <w:rFonts w:cs="Times New Roman"/>
          <w:szCs w:val="24"/>
        </w:rPr>
        <w:t xml:space="preserve">a Professor of Forensic Medicine at a medical college noted </w:t>
      </w:r>
      <w:r w:rsidR="00F736F5" w:rsidRPr="00056FDA">
        <w:rPr>
          <w:rFonts w:cs="Times New Roman"/>
          <w:szCs w:val="24"/>
        </w:rPr>
        <w:t>in a recent textbook that, where a pregnancy is the result of rape and the woman has not lodged complaint with police, the doctor “</w:t>
      </w:r>
      <w:r w:rsidR="00F736F5" w:rsidRPr="00056FDA">
        <w:rPr>
          <w:rFonts w:cs="Times New Roman"/>
          <w:i/>
          <w:szCs w:val="24"/>
        </w:rPr>
        <w:t>must</w:t>
      </w:r>
      <w:r w:rsidR="00F736F5" w:rsidRPr="00056FDA">
        <w:rPr>
          <w:rFonts w:cs="Times New Roman"/>
          <w:szCs w:val="24"/>
        </w:rPr>
        <w:t xml:space="preserve"> report the matter to police, </w:t>
      </w:r>
      <w:r w:rsidR="00F736F5" w:rsidRPr="00056FDA">
        <w:rPr>
          <w:rFonts w:cs="Times New Roman"/>
          <w:i/>
          <w:szCs w:val="24"/>
        </w:rPr>
        <w:t>preserve the products of conception</w:t>
      </w:r>
      <w:r w:rsidR="00F736F5" w:rsidRPr="00056FDA">
        <w:rPr>
          <w:rFonts w:cs="Times New Roman"/>
          <w:szCs w:val="24"/>
        </w:rPr>
        <w:t xml:space="preserve"> and hand it over to police for DNA profiling.”</w:t>
      </w:r>
      <w:r w:rsidR="00F736F5" w:rsidRPr="00056FDA">
        <w:rPr>
          <w:rStyle w:val="FootnoteReference"/>
          <w:rFonts w:cs="Times New Roman"/>
          <w:szCs w:val="24"/>
        </w:rPr>
        <w:footnoteReference w:id="43"/>
      </w:r>
      <w:r w:rsidR="00A123A5" w:rsidRPr="00056FDA">
        <w:rPr>
          <w:rFonts w:cs="Times New Roman"/>
          <w:szCs w:val="24"/>
        </w:rPr>
        <w:t xml:space="preserve"> Broad language interpreting a doctor’s duty </w:t>
      </w:r>
      <w:r w:rsidR="004A64D7" w:rsidRPr="00056FDA">
        <w:rPr>
          <w:rFonts w:cs="Times New Roman"/>
          <w:szCs w:val="24"/>
        </w:rPr>
        <w:t>under</w:t>
      </w:r>
      <w:r w:rsidR="00A123A5" w:rsidRPr="00056FDA">
        <w:rPr>
          <w:rFonts w:cs="Times New Roman"/>
          <w:szCs w:val="24"/>
        </w:rPr>
        <w:t xml:space="preserve"> IPC 201 would support this view.  For example, t</w:t>
      </w:r>
      <w:r w:rsidRPr="00056FDA" w:rsidDel="00BE6039">
        <w:rPr>
          <w:rFonts w:cs="Times New Roman"/>
          <w:szCs w:val="24"/>
        </w:rPr>
        <w:t>he Indian Army’s guidelines on medicolegal issues, for example, states that “</w:t>
      </w:r>
      <w:r w:rsidRPr="00056FDA" w:rsidDel="00BE6039">
        <w:rPr>
          <w:rFonts w:cs="Times New Roman"/>
          <w:i/>
          <w:szCs w:val="24"/>
        </w:rPr>
        <w:t>Medico legal evidence should be preserved and subsequently sent or handed over to the investigating authorities for forensic examination . . . . All evidences will be identified, sealed and labeled properly . . . . Failure to collect, destruction or loss of such an exhibit is punishable under Sec 201 of I.P.C</w:t>
      </w:r>
      <w:r w:rsidRPr="00056FDA" w:rsidDel="00BE6039">
        <w:rPr>
          <w:rFonts w:cs="Times New Roman"/>
          <w:szCs w:val="24"/>
        </w:rPr>
        <w:t>.”</w:t>
      </w:r>
      <w:r w:rsidR="008C0553" w:rsidRPr="00056FDA">
        <w:rPr>
          <w:rStyle w:val="FootnoteReference"/>
          <w:rFonts w:cs="Times New Roman"/>
          <w:szCs w:val="24"/>
        </w:rPr>
        <w:footnoteReference w:id="44"/>
      </w:r>
      <w:r w:rsidR="00576CCF" w:rsidRPr="00056FDA">
        <w:rPr>
          <w:rFonts w:cs="Times New Roman"/>
          <w:szCs w:val="24"/>
        </w:rPr>
        <w:t xml:space="preserve"> </w:t>
      </w:r>
      <w:r w:rsidRPr="00056FDA" w:rsidDel="00BE6039">
        <w:rPr>
          <w:rFonts w:cs="Times New Roman"/>
          <w:szCs w:val="24"/>
        </w:rPr>
        <w:t xml:space="preserve">Similarly, Kerala’s Medico-Legal Code indicates that a “doctor is also bound to preserve </w:t>
      </w:r>
      <w:r w:rsidRPr="00056FDA" w:rsidDel="00BE6039">
        <w:rPr>
          <w:rFonts w:cs="Times New Roman"/>
          <w:i/>
          <w:szCs w:val="24"/>
        </w:rPr>
        <w:t>all the available material objects which may be of help</w:t>
      </w:r>
      <w:r w:rsidRPr="00056FDA" w:rsidDel="00BE6039">
        <w:rPr>
          <w:rFonts w:cs="Times New Roman"/>
          <w:szCs w:val="24"/>
        </w:rPr>
        <w:t xml:space="preserve"> in the further investigation of the case.”</w:t>
      </w:r>
      <w:r w:rsidR="0063633D" w:rsidRPr="00056FDA">
        <w:rPr>
          <w:rStyle w:val="FootnoteReference"/>
          <w:rFonts w:cs="Times New Roman"/>
          <w:szCs w:val="24"/>
        </w:rPr>
        <w:footnoteReference w:id="45"/>
      </w:r>
    </w:p>
    <w:p w14:paraId="6CDE7AB7" w14:textId="77777777" w:rsidR="003747A7" w:rsidRPr="00056FDA" w:rsidRDefault="003747A7" w:rsidP="001C5B3D">
      <w:pPr>
        <w:tabs>
          <w:tab w:val="left" w:pos="3901"/>
          <w:tab w:val="left" w:pos="4230"/>
        </w:tabs>
        <w:spacing w:before="0" w:after="0" w:line="480" w:lineRule="auto"/>
        <w:rPr>
          <w:rFonts w:cs="Times New Roman"/>
          <w:szCs w:val="24"/>
        </w:rPr>
      </w:pPr>
    </w:p>
    <w:p w14:paraId="4BEB5865" w14:textId="77777777" w:rsidR="00F8433B" w:rsidRPr="00056FDA" w:rsidRDefault="00F8433B" w:rsidP="001C5B3D">
      <w:pPr>
        <w:tabs>
          <w:tab w:val="left" w:pos="3901"/>
          <w:tab w:val="left" w:pos="4230"/>
        </w:tabs>
        <w:spacing w:before="0" w:after="0" w:line="480" w:lineRule="auto"/>
        <w:rPr>
          <w:rFonts w:cs="Times New Roman"/>
          <w:szCs w:val="24"/>
        </w:rPr>
      </w:pPr>
      <w:r w:rsidRPr="00056FDA" w:rsidDel="00BE6039">
        <w:rPr>
          <w:rFonts w:cs="Times New Roman"/>
          <w:szCs w:val="24"/>
        </w:rPr>
        <w:t xml:space="preserve">However, </w:t>
      </w:r>
      <w:r w:rsidR="00E41D6F" w:rsidRPr="00056FDA">
        <w:rPr>
          <w:rFonts w:cs="Times New Roman"/>
          <w:szCs w:val="24"/>
        </w:rPr>
        <w:t xml:space="preserve">guidance from the Ministry of Health indicates that doctors are not required to preserve the products of conception in all cases. </w:t>
      </w:r>
      <w:r w:rsidRPr="00056FDA" w:rsidDel="00BE6039">
        <w:rPr>
          <w:rFonts w:cs="Times New Roman"/>
          <w:szCs w:val="24"/>
        </w:rPr>
        <w:t>The Ministry of Health</w:t>
      </w:r>
      <w:r w:rsidR="00D90F04" w:rsidRPr="00056FDA">
        <w:rPr>
          <w:rFonts w:cs="Times New Roman"/>
          <w:szCs w:val="24"/>
        </w:rPr>
        <w:t xml:space="preserve"> guidelines previously mentioned</w:t>
      </w:r>
      <w:r w:rsidRPr="00056FDA" w:rsidDel="00BE6039">
        <w:rPr>
          <w:rFonts w:cs="Times New Roman"/>
          <w:szCs w:val="24"/>
        </w:rPr>
        <w:t xml:space="preserve"> state that if a sexual assault victim chooses to have an abortion, “[t]he products of conception (PoC) </w:t>
      </w:r>
      <w:r w:rsidRPr="00056FDA" w:rsidDel="00BE6039">
        <w:rPr>
          <w:rFonts w:cs="Times New Roman"/>
          <w:i/>
          <w:szCs w:val="24"/>
        </w:rPr>
        <w:t>may be</w:t>
      </w:r>
      <w:r w:rsidRPr="00056FDA" w:rsidDel="00BE6039">
        <w:rPr>
          <w:rFonts w:cs="Times New Roman"/>
          <w:szCs w:val="24"/>
        </w:rPr>
        <w:t xml:space="preserve"> sent as evidence to the forensic lab (FSL) for establishing paternity / identifying the accused.”</w:t>
      </w:r>
      <w:r w:rsidR="00D90F04" w:rsidRPr="00056FDA">
        <w:rPr>
          <w:rStyle w:val="FootnoteReference"/>
          <w:rFonts w:cs="Times New Roman"/>
          <w:szCs w:val="24"/>
        </w:rPr>
        <w:footnoteReference w:id="46"/>
      </w:r>
      <w:r w:rsidRPr="00056FDA" w:rsidDel="00BE6039">
        <w:rPr>
          <w:rFonts w:cs="Times New Roman"/>
          <w:szCs w:val="24"/>
        </w:rPr>
        <w:t xml:space="preserve"> The use of the words “may be” instead of “shall be” suggests that it </w:t>
      </w:r>
      <w:r w:rsidR="00811E3D" w:rsidRPr="00056FDA">
        <w:rPr>
          <w:rFonts w:cs="Times New Roman"/>
          <w:szCs w:val="24"/>
        </w:rPr>
        <w:t>is</w:t>
      </w:r>
      <w:r w:rsidR="00811E3D" w:rsidRPr="00056FDA" w:rsidDel="00BE6039">
        <w:rPr>
          <w:rFonts w:cs="Times New Roman"/>
          <w:szCs w:val="24"/>
        </w:rPr>
        <w:t xml:space="preserve"> </w:t>
      </w:r>
      <w:r w:rsidRPr="00056FDA" w:rsidDel="00BE6039">
        <w:rPr>
          <w:rFonts w:cs="Times New Roman"/>
          <w:szCs w:val="24"/>
        </w:rPr>
        <w:t>not mandatory</w:t>
      </w:r>
      <w:r w:rsidR="00811E3D" w:rsidRPr="00056FDA">
        <w:rPr>
          <w:rFonts w:cs="Times New Roman"/>
          <w:szCs w:val="24"/>
        </w:rPr>
        <w:t xml:space="preserve"> in all cases</w:t>
      </w:r>
      <w:r w:rsidRPr="00056FDA" w:rsidDel="00BE6039">
        <w:rPr>
          <w:rFonts w:cs="Times New Roman"/>
          <w:szCs w:val="24"/>
        </w:rPr>
        <w:t>.</w:t>
      </w:r>
      <w:r w:rsidR="00811E3D" w:rsidRPr="00056FDA">
        <w:rPr>
          <w:rFonts w:cs="Times New Roman"/>
          <w:szCs w:val="24"/>
        </w:rPr>
        <w:t xml:space="preserve"> </w:t>
      </w:r>
    </w:p>
    <w:p w14:paraId="2E16B10C" w14:textId="77777777" w:rsidR="003747A7" w:rsidRPr="00056FDA" w:rsidDel="00BE6039" w:rsidRDefault="003747A7" w:rsidP="001C5B3D">
      <w:pPr>
        <w:tabs>
          <w:tab w:val="left" w:pos="3901"/>
          <w:tab w:val="left" w:pos="4230"/>
        </w:tabs>
        <w:spacing w:before="0" w:after="0" w:line="480" w:lineRule="auto"/>
        <w:rPr>
          <w:rFonts w:cs="Times New Roman"/>
          <w:szCs w:val="24"/>
        </w:rPr>
      </w:pPr>
    </w:p>
    <w:p w14:paraId="1EAB0AF0" w14:textId="344E4619" w:rsidR="00F8433B" w:rsidRPr="00056FDA" w:rsidRDefault="00BB4159" w:rsidP="001C5B3D">
      <w:pPr>
        <w:pStyle w:val="Heading3"/>
        <w:numPr>
          <w:ilvl w:val="0"/>
          <w:numId w:val="36"/>
        </w:numPr>
        <w:spacing w:before="0" w:after="0" w:line="480" w:lineRule="auto"/>
        <w:ind w:firstLine="0"/>
        <w:rPr>
          <w:rFonts w:cs="Times New Roman"/>
          <w:b/>
          <w:i/>
          <w:sz w:val="24"/>
          <w:szCs w:val="24"/>
        </w:rPr>
      </w:pPr>
      <w:bookmarkStart w:id="20" w:name="_Toc498631720"/>
      <w:r w:rsidRPr="00056FDA">
        <w:rPr>
          <w:rFonts w:cs="Times New Roman"/>
          <w:b/>
          <w:i/>
          <w:sz w:val="24"/>
          <w:szCs w:val="24"/>
        </w:rPr>
        <w:t xml:space="preserve">Medico-Legal Certificate </w:t>
      </w:r>
      <w:r w:rsidR="00F8433B" w:rsidRPr="00056FDA">
        <w:rPr>
          <w:rFonts w:cs="Times New Roman"/>
          <w:b/>
          <w:i/>
          <w:sz w:val="24"/>
          <w:szCs w:val="24"/>
        </w:rPr>
        <w:t>preparation before provision of abortion service not mandatory</w:t>
      </w:r>
      <w:bookmarkEnd w:id="20"/>
    </w:p>
    <w:p w14:paraId="49F1979D" w14:textId="77777777" w:rsidR="003747A7" w:rsidRPr="00056FDA" w:rsidRDefault="003747A7" w:rsidP="003747A7">
      <w:pPr>
        <w:rPr>
          <w:szCs w:val="24"/>
        </w:rPr>
      </w:pPr>
    </w:p>
    <w:p w14:paraId="064CA0F8" w14:textId="439700E9" w:rsidR="00656753" w:rsidRPr="00056FDA" w:rsidRDefault="00F8433B" w:rsidP="001C5B3D">
      <w:pPr>
        <w:spacing w:before="0" w:after="0" w:line="480" w:lineRule="auto"/>
        <w:rPr>
          <w:rFonts w:cs="Times New Roman"/>
          <w:szCs w:val="24"/>
        </w:rPr>
      </w:pPr>
      <w:r w:rsidRPr="00056FDA">
        <w:rPr>
          <w:rFonts w:cs="Times New Roman"/>
          <w:szCs w:val="24"/>
        </w:rPr>
        <w:t>Rule 5(3) of the POCSO Rules states that “</w:t>
      </w:r>
      <w:r w:rsidRPr="00056FDA">
        <w:rPr>
          <w:rFonts w:cs="Times New Roman"/>
          <w:i/>
          <w:szCs w:val="24"/>
        </w:rPr>
        <w:t>No medical practitioner, hospital or other medical facility centre rendering emergency medical care to a child shall demand any legal or magisterial requisition or other documentation as a pre-requisite to rendering such care</w:t>
      </w:r>
      <w:r w:rsidRPr="00056FDA">
        <w:rPr>
          <w:rFonts w:cs="Times New Roman"/>
          <w:szCs w:val="24"/>
        </w:rPr>
        <w:t>.” Emergency contraceptives are specifically listed as part of this emergency medical care.</w:t>
      </w:r>
      <w:r w:rsidR="00D90F04" w:rsidRPr="00056FDA">
        <w:rPr>
          <w:rStyle w:val="FootnoteReference"/>
          <w:rFonts w:cs="Times New Roman"/>
          <w:szCs w:val="24"/>
        </w:rPr>
        <w:footnoteReference w:id="47"/>
      </w:r>
      <w:r w:rsidRPr="00056FDA">
        <w:rPr>
          <w:rFonts w:cs="Times New Roman"/>
          <w:szCs w:val="24"/>
        </w:rPr>
        <w:t xml:space="preserve"> </w:t>
      </w:r>
      <w:r w:rsidR="00B24BC5" w:rsidRPr="00056FDA">
        <w:rPr>
          <w:rFonts w:cs="Times New Roman"/>
          <w:szCs w:val="24"/>
        </w:rPr>
        <w:t xml:space="preserve">Furthermore, the Ministry of Health’s guidelines on medico-legal care for survivors of sexual violence state that </w:t>
      </w:r>
      <w:r w:rsidR="005A0993" w:rsidRPr="00056FDA">
        <w:rPr>
          <w:rFonts w:cs="Times New Roman"/>
          <w:szCs w:val="24"/>
        </w:rPr>
        <w:t xml:space="preserve">they are intended to </w:t>
      </w:r>
      <w:r w:rsidR="00B24BC5" w:rsidRPr="00056FDA">
        <w:rPr>
          <w:rFonts w:cs="Times New Roman"/>
          <w:szCs w:val="24"/>
        </w:rPr>
        <w:t xml:space="preserve">“ensure that all survivors of all forms of sexual violence . . . have </w:t>
      </w:r>
      <w:r w:rsidR="00B24BC5" w:rsidRPr="00056FDA">
        <w:rPr>
          <w:rFonts w:cs="Times New Roman"/>
          <w:i/>
          <w:szCs w:val="24"/>
        </w:rPr>
        <w:t>immediate access</w:t>
      </w:r>
      <w:r w:rsidR="00B24BC5" w:rsidRPr="00056FDA">
        <w:rPr>
          <w:rFonts w:cs="Times New Roman"/>
          <w:szCs w:val="24"/>
        </w:rPr>
        <w:t xml:space="preserve"> to health care services that includes . . . emergency contraception</w:t>
      </w:r>
      <w:r w:rsidR="005A0993" w:rsidRPr="00056FDA">
        <w:rPr>
          <w:rFonts w:cs="Times New Roman"/>
          <w:szCs w:val="24"/>
        </w:rPr>
        <w:t xml:space="preserve"> . . .</w:t>
      </w:r>
      <w:r w:rsidR="00B24BC5" w:rsidRPr="00056FDA">
        <w:rPr>
          <w:rFonts w:cs="Times New Roman"/>
          <w:szCs w:val="24"/>
        </w:rPr>
        <w:t xml:space="preserve"> </w:t>
      </w:r>
      <w:r w:rsidR="00B24BC5" w:rsidRPr="00056FDA">
        <w:rPr>
          <w:rFonts w:cs="Times New Roman"/>
          <w:i/>
          <w:szCs w:val="24"/>
        </w:rPr>
        <w:t>and</w:t>
      </w:r>
      <w:r w:rsidR="00B24BC5" w:rsidRPr="00056FDA">
        <w:rPr>
          <w:rFonts w:cs="Times New Roman"/>
          <w:szCs w:val="24"/>
        </w:rPr>
        <w:t xml:space="preserve"> </w:t>
      </w:r>
      <w:r w:rsidR="00B24BC5" w:rsidRPr="00056FDA">
        <w:rPr>
          <w:rFonts w:cs="Times New Roman"/>
          <w:i/>
          <w:szCs w:val="24"/>
        </w:rPr>
        <w:t>access to safe abortion services</w:t>
      </w:r>
      <w:r w:rsidR="005A0993" w:rsidRPr="00056FDA">
        <w:rPr>
          <w:rFonts w:cs="Times New Roman"/>
          <w:szCs w:val="24"/>
        </w:rPr>
        <w:t xml:space="preserve"> . . . .”</w:t>
      </w:r>
      <w:r w:rsidR="00EF5BB4" w:rsidRPr="00056FDA">
        <w:rPr>
          <w:rStyle w:val="FootnoteReference"/>
          <w:rFonts w:cs="Times New Roman"/>
          <w:szCs w:val="24"/>
        </w:rPr>
        <w:footnoteReference w:id="48"/>
      </w:r>
      <w:r w:rsidR="00D12D78" w:rsidRPr="00056FDA">
        <w:rPr>
          <w:rFonts w:cs="Times New Roman"/>
          <w:szCs w:val="24"/>
        </w:rPr>
        <w:t xml:space="preserve"> </w:t>
      </w:r>
      <w:r w:rsidR="00656753" w:rsidRPr="00056FDA">
        <w:rPr>
          <w:rFonts w:cs="Times New Roman"/>
          <w:szCs w:val="24"/>
        </w:rPr>
        <w:t xml:space="preserve">Similarly, a recent textbook </w:t>
      </w:r>
      <w:r w:rsidR="00E959A2" w:rsidRPr="00056FDA">
        <w:rPr>
          <w:rFonts w:cs="Times New Roman"/>
          <w:szCs w:val="24"/>
        </w:rPr>
        <w:t xml:space="preserve">on forensic medicine states that, where a pregnancy is caused by rape and the </w:t>
      </w:r>
      <w:r w:rsidR="00656753" w:rsidRPr="00056FDA">
        <w:rPr>
          <w:rFonts w:cs="Times New Roman"/>
          <w:szCs w:val="24"/>
        </w:rPr>
        <w:t xml:space="preserve">woman has not lodged complaint with police, </w:t>
      </w:r>
      <w:r w:rsidR="00E959A2" w:rsidRPr="00056FDA">
        <w:rPr>
          <w:rFonts w:cs="Times New Roman"/>
          <w:szCs w:val="24"/>
        </w:rPr>
        <w:t>the “MTP can be done</w:t>
      </w:r>
      <w:r w:rsidR="00EC1488" w:rsidRPr="00056FDA">
        <w:rPr>
          <w:rFonts w:cs="Times New Roman"/>
          <w:szCs w:val="24"/>
        </w:rPr>
        <w:t>.</w:t>
      </w:r>
      <w:r w:rsidR="00E959A2" w:rsidRPr="00056FDA">
        <w:rPr>
          <w:rFonts w:cs="Times New Roman"/>
          <w:szCs w:val="24"/>
        </w:rPr>
        <w:t>”</w:t>
      </w:r>
      <w:r w:rsidR="00E959A2" w:rsidRPr="00056FDA">
        <w:rPr>
          <w:rStyle w:val="FootnoteReference"/>
          <w:rFonts w:cs="Times New Roman"/>
          <w:szCs w:val="24"/>
        </w:rPr>
        <w:footnoteReference w:id="49"/>
      </w:r>
    </w:p>
    <w:p w14:paraId="54524790" w14:textId="77777777" w:rsidR="003747A7" w:rsidRPr="00056FDA" w:rsidRDefault="003747A7" w:rsidP="001C5B3D">
      <w:pPr>
        <w:spacing w:before="0" w:after="0" w:line="480" w:lineRule="auto"/>
        <w:rPr>
          <w:rFonts w:cs="Times New Roman"/>
          <w:szCs w:val="24"/>
        </w:rPr>
      </w:pPr>
    </w:p>
    <w:p w14:paraId="4524350F" w14:textId="77777777" w:rsidR="00B24BC5" w:rsidRPr="00056FDA" w:rsidRDefault="00D12D78" w:rsidP="001C5B3D">
      <w:pPr>
        <w:spacing w:before="0" w:after="0" w:line="480" w:lineRule="auto"/>
        <w:rPr>
          <w:rFonts w:cs="Times New Roman"/>
          <w:szCs w:val="24"/>
        </w:rPr>
      </w:pPr>
      <w:r w:rsidRPr="00056FDA">
        <w:rPr>
          <w:rFonts w:cs="Times New Roman"/>
          <w:szCs w:val="24"/>
        </w:rPr>
        <w:t xml:space="preserve">Similarly, </w:t>
      </w:r>
      <w:r w:rsidR="00F8433B" w:rsidRPr="00056FDA">
        <w:rPr>
          <w:rFonts w:cs="Times New Roman"/>
          <w:szCs w:val="24"/>
        </w:rPr>
        <w:t>in the context of mandatory reporting under the POCSO Act, the National Commission for the Protection of Child Rights (NCPCR) has written that that health professionals must “</w:t>
      </w:r>
      <w:r w:rsidR="00F8433B" w:rsidRPr="00056FDA">
        <w:rPr>
          <w:rFonts w:cs="Times New Roman"/>
          <w:i/>
          <w:szCs w:val="24"/>
        </w:rPr>
        <w:t>unconditionally provide appropriate treatment with informed consent before doing anything else</w:t>
      </w:r>
      <w:r w:rsidR="00F8433B" w:rsidRPr="00056FDA">
        <w:rPr>
          <w:rFonts w:cs="Times New Roman"/>
          <w:szCs w:val="24"/>
        </w:rPr>
        <w:t>” and must “perform their duty of providing medical care first, while reporting is a secondary duty.”</w:t>
      </w:r>
      <w:r w:rsidR="0079110D" w:rsidRPr="00056FDA">
        <w:rPr>
          <w:rStyle w:val="FootnoteReference"/>
          <w:rFonts w:cs="Times New Roman"/>
          <w:szCs w:val="24"/>
        </w:rPr>
        <w:footnoteReference w:id="50"/>
      </w:r>
      <w:r w:rsidR="00F8433B" w:rsidRPr="00056FDA">
        <w:rPr>
          <w:rFonts w:cs="Times New Roman"/>
          <w:szCs w:val="24"/>
        </w:rPr>
        <w:t xml:space="preserve"> </w:t>
      </w:r>
      <w:r w:rsidR="00A21D3F" w:rsidRPr="00056FDA">
        <w:rPr>
          <w:rFonts w:cs="Times New Roman"/>
          <w:szCs w:val="24"/>
        </w:rPr>
        <w:t xml:space="preserve">The previously mentioned </w:t>
      </w:r>
      <w:r w:rsidR="00F8433B" w:rsidRPr="00056FDA">
        <w:rPr>
          <w:rFonts w:cs="Times New Roman"/>
          <w:szCs w:val="24"/>
        </w:rPr>
        <w:t>Ministry of Health guidelines</w:t>
      </w:r>
      <w:r w:rsidR="00AF157C" w:rsidRPr="00056FDA">
        <w:rPr>
          <w:rFonts w:cs="Times New Roman"/>
          <w:szCs w:val="24"/>
        </w:rPr>
        <w:t xml:space="preserve"> also</w:t>
      </w:r>
      <w:r w:rsidR="00F8433B" w:rsidRPr="00056FDA">
        <w:rPr>
          <w:rFonts w:cs="Times New Roman"/>
          <w:szCs w:val="24"/>
        </w:rPr>
        <w:t xml:space="preserve"> make clear that “[p]roviding treatment and necessary medical investigations is the prime responsibility of the examining doctor” and that “[a]dmission, evidence collection or filing a police complaint is not mandatory for providing treatment.”</w:t>
      </w:r>
      <w:r w:rsidR="00E969DE" w:rsidRPr="00056FDA">
        <w:rPr>
          <w:rStyle w:val="FootnoteReference"/>
          <w:rFonts w:cs="Times New Roman"/>
          <w:szCs w:val="24"/>
        </w:rPr>
        <w:footnoteReference w:id="51"/>
      </w:r>
      <w:r w:rsidR="00F8433B" w:rsidRPr="00056FDA">
        <w:rPr>
          <w:rFonts w:cs="Times New Roman"/>
          <w:szCs w:val="24"/>
        </w:rPr>
        <w:t xml:space="preserve"> Nor is a police requisition required.</w:t>
      </w:r>
      <w:r w:rsidR="00063508" w:rsidRPr="00056FDA">
        <w:rPr>
          <w:rStyle w:val="FootnoteReference"/>
          <w:rFonts w:cs="Times New Roman"/>
          <w:szCs w:val="24"/>
        </w:rPr>
        <w:footnoteReference w:id="52"/>
      </w:r>
      <w:r w:rsidR="00F8433B" w:rsidRPr="00056FDA">
        <w:rPr>
          <w:rFonts w:cs="Times New Roman"/>
          <w:szCs w:val="24"/>
        </w:rPr>
        <w:t xml:space="preserve"> The Ministry also declared that “police cannot interfere with the duties of a health professional.”</w:t>
      </w:r>
      <w:r w:rsidR="00E969DE" w:rsidRPr="00056FDA">
        <w:rPr>
          <w:rStyle w:val="FootnoteReference"/>
          <w:rFonts w:cs="Times New Roman"/>
          <w:szCs w:val="24"/>
        </w:rPr>
        <w:footnoteReference w:id="53"/>
      </w:r>
    </w:p>
    <w:p w14:paraId="48BFEEC1" w14:textId="5CA961F7" w:rsidR="006F0277" w:rsidRPr="00056FDA" w:rsidRDefault="00F8433B" w:rsidP="001C5B3D">
      <w:pPr>
        <w:spacing w:before="0" w:after="0" w:line="480" w:lineRule="auto"/>
        <w:rPr>
          <w:rFonts w:eastAsia="Times New Roman" w:cs="Times New Roman"/>
          <w:szCs w:val="24"/>
        </w:rPr>
      </w:pPr>
      <w:r w:rsidRPr="00056FDA">
        <w:rPr>
          <w:rFonts w:cs="Times New Roman"/>
          <w:szCs w:val="24"/>
        </w:rPr>
        <w:t xml:space="preserve">The </w:t>
      </w:r>
      <w:r w:rsidR="00B04E97" w:rsidRPr="00056FDA">
        <w:rPr>
          <w:rFonts w:cs="Times New Roman"/>
          <w:szCs w:val="24"/>
        </w:rPr>
        <w:t>CrPC</w:t>
      </w:r>
      <w:r w:rsidRPr="00056FDA">
        <w:rPr>
          <w:rFonts w:cs="Times New Roman"/>
          <w:szCs w:val="24"/>
        </w:rPr>
        <w:t xml:space="preserve"> </w:t>
      </w:r>
      <w:r w:rsidR="009F4A77" w:rsidRPr="00056FDA">
        <w:rPr>
          <w:rFonts w:cs="Times New Roman"/>
          <w:szCs w:val="24"/>
        </w:rPr>
        <w:t>doesn’t discuss this directly</w:t>
      </w:r>
      <w:r w:rsidRPr="00056FDA">
        <w:rPr>
          <w:rFonts w:cs="Times New Roman"/>
          <w:szCs w:val="24"/>
        </w:rPr>
        <w:t>, but it does state that hospitals must treat victims of sexual assault “immediately.”</w:t>
      </w:r>
      <w:r w:rsidR="003B2DF6" w:rsidRPr="00056FDA">
        <w:rPr>
          <w:rStyle w:val="FootnoteReference"/>
          <w:rFonts w:cs="Times New Roman"/>
          <w:szCs w:val="24"/>
        </w:rPr>
        <w:footnoteReference w:id="54"/>
      </w:r>
      <w:r w:rsidRPr="00056FDA">
        <w:rPr>
          <w:rFonts w:cs="Times New Roman"/>
          <w:szCs w:val="24"/>
        </w:rPr>
        <w:t xml:space="preserve"> Regardless, to the extent that the </w:t>
      </w:r>
      <w:r w:rsidR="00B04E97" w:rsidRPr="00056FDA">
        <w:rPr>
          <w:rFonts w:cs="Times New Roman"/>
          <w:szCs w:val="24"/>
        </w:rPr>
        <w:t>CrPC</w:t>
      </w:r>
      <w:r w:rsidRPr="00056FDA">
        <w:rPr>
          <w:rFonts w:cs="Times New Roman"/>
          <w:szCs w:val="24"/>
        </w:rPr>
        <w:t xml:space="preserve"> is inconsistent with the POCSO Act, the provisions of the POCSO Act control.</w:t>
      </w:r>
      <w:r w:rsidR="00B74009" w:rsidRPr="00056FDA">
        <w:rPr>
          <w:rStyle w:val="FootnoteReference"/>
          <w:rFonts w:cs="Times New Roman"/>
          <w:szCs w:val="24"/>
        </w:rPr>
        <w:footnoteReference w:id="55"/>
      </w:r>
      <w:r w:rsidR="006F0277" w:rsidRPr="00056FDA">
        <w:rPr>
          <w:rFonts w:cs="Times New Roman"/>
          <w:szCs w:val="24"/>
        </w:rPr>
        <w:t xml:space="preserve"> In the case of </w:t>
      </w:r>
      <w:r w:rsidR="006F0277" w:rsidRPr="00056FDA">
        <w:rPr>
          <w:rFonts w:cs="Times New Roman"/>
          <w:i/>
          <w:szCs w:val="24"/>
        </w:rPr>
        <w:t>Bashir</w:t>
      </w:r>
      <w:r w:rsidR="0021087C" w:rsidRPr="00056FDA">
        <w:rPr>
          <w:rFonts w:cs="Times New Roman"/>
          <w:i/>
          <w:szCs w:val="24"/>
        </w:rPr>
        <w:t xml:space="preserve"> Khan v. State of Punjab and Another</w:t>
      </w:r>
      <w:r w:rsidR="006F0277" w:rsidRPr="00056FDA">
        <w:rPr>
          <w:rFonts w:cs="Times New Roman"/>
          <w:szCs w:val="24"/>
        </w:rPr>
        <w:t xml:space="preserve">, the High Court ordered </w:t>
      </w:r>
      <w:r w:rsidR="006F0277" w:rsidRPr="00056FDA">
        <w:rPr>
          <w:rFonts w:eastAsia="Times New Roman" w:cs="Times New Roman"/>
          <w:szCs w:val="24"/>
        </w:rPr>
        <w:t>“instructions [to be] given by the Director General of Police to all the police stations who register cases of rape and who come by information that the victim has become pregnant to render all assistance to secure appropriate medical opinions and also provide assistance for admission in government hospitals and render medical assistance as a measure of support to the traumatized victim.”</w:t>
      </w:r>
      <w:r w:rsidR="006F0277" w:rsidRPr="00056FDA">
        <w:rPr>
          <w:rStyle w:val="FootnoteReference"/>
          <w:rFonts w:eastAsia="Times New Roman" w:cs="Times New Roman"/>
          <w:szCs w:val="24"/>
        </w:rPr>
        <w:footnoteReference w:id="56"/>
      </w:r>
      <w:r w:rsidR="006F0277" w:rsidRPr="00056FDA">
        <w:rPr>
          <w:rFonts w:eastAsia="Times New Roman" w:cs="Times New Roman"/>
          <w:szCs w:val="24"/>
        </w:rPr>
        <w:t xml:space="preserve"> Here, the High Court clearly held that the State is not required to apply to a court before a minor rape victim can undergo an abortion. </w:t>
      </w:r>
    </w:p>
    <w:p w14:paraId="19145BF0" w14:textId="3152734E" w:rsidR="00F8433B" w:rsidRPr="00056FDA" w:rsidRDefault="00F8433B" w:rsidP="001C5B3D">
      <w:pPr>
        <w:spacing w:before="0" w:after="0" w:line="480" w:lineRule="auto"/>
        <w:rPr>
          <w:rFonts w:cs="Times New Roman"/>
          <w:szCs w:val="24"/>
        </w:rPr>
      </w:pPr>
    </w:p>
    <w:p w14:paraId="3D17D7B6" w14:textId="70F359AD" w:rsidR="00F8433B" w:rsidRPr="00056FDA" w:rsidRDefault="00F8433B" w:rsidP="001C5B3D">
      <w:pPr>
        <w:pStyle w:val="Heading3"/>
        <w:numPr>
          <w:ilvl w:val="0"/>
          <w:numId w:val="36"/>
        </w:numPr>
        <w:spacing w:before="0" w:after="0" w:line="480" w:lineRule="auto"/>
        <w:ind w:firstLine="0"/>
        <w:rPr>
          <w:rFonts w:cs="Times New Roman"/>
          <w:b/>
          <w:i/>
          <w:sz w:val="24"/>
          <w:szCs w:val="24"/>
        </w:rPr>
      </w:pPr>
      <w:bookmarkStart w:id="21" w:name="_Toc498631721"/>
      <w:r w:rsidRPr="00056FDA">
        <w:rPr>
          <w:rFonts w:cs="Times New Roman"/>
          <w:b/>
          <w:i/>
          <w:sz w:val="24"/>
          <w:szCs w:val="24"/>
        </w:rPr>
        <w:t>Procedure for reporting case to the appropriate authority</w:t>
      </w:r>
      <w:bookmarkEnd w:id="21"/>
    </w:p>
    <w:p w14:paraId="73903DDF" w14:textId="77777777" w:rsidR="003747A7" w:rsidRPr="00056FDA" w:rsidRDefault="003747A7" w:rsidP="003747A7">
      <w:pPr>
        <w:rPr>
          <w:szCs w:val="24"/>
        </w:rPr>
      </w:pPr>
    </w:p>
    <w:p w14:paraId="56BB2C92" w14:textId="77777777" w:rsidR="00F8433B" w:rsidRPr="00056FDA" w:rsidRDefault="00F8433B" w:rsidP="001C5B3D">
      <w:pPr>
        <w:spacing w:before="0" w:after="0" w:line="480" w:lineRule="auto"/>
        <w:rPr>
          <w:rFonts w:cs="Times New Roman"/>
          <w:szCs w:val="24"/>
        </w:rPr>
      </w:pPr>
      <w:r w:rsidRPr="00056FDA">
        <w:rPr>
          <w:rFonts w:eastAsia="Times New Roman" w:cs="Times New Roman"/>
          <w:szCs w:val="24"/>
        </w:rPr>
        <w:t xml:space="preserve">The NCPCR has stated that </w:t>
      </w:r>
      <w:r w:rsidRPr="00056FDA">
        <w:rPr>
          <w:rFonts w:cs="Times New Roman"/>
          <w:szCs w:val="24"/>
        </w:rPr>
        <w:t>a medico legal certificate made to the police is sufficient to comply with the reporting requirements under the POCSO Act.</w:t>
      </w:r>
      <w:r w:rsidR="00384D0D" w:rsidRPr="00056FDA">
        <w:rPr>
          <w:rStyle w:val="FootnoteReference"/>
          <w:rFonts w:cs="Times New Roman"/>
          <w:szCs w:val="24"/>
        </w:rPr>
        <w:footnoteReference w:id="57"/>
      </w:r>
      <w:r w:rsidRPr="00056FDA">
        <w:rPr>
          <w:rFonts w:cs="Times New Roman"/>
          <w:szCs w:val="24"/>
        </w:rPr>
        <w:t xml:space="preserve"> The doctor is not required to file an FIR—the POCSO Rules explicitly place the responsibility for filing an FIR on the officer who receives the information reported under the mandatory reporting requirement.</w:t>
      </w:r>
      <w:r w:rsidR="00872C7A" w:rsidRPr="00056FDA">
        <w:rPr>
          <w:rStyle w:val="FootnoteReference"/>
          <w:rFonts w:cs="Times New Roman"/>
          <w:szCs w:val="24"/>
        </w:rPr>
        <w:footnoteReference w:id="58"/>
      </w:r>
      <w:r w:rsidRPr="00056FDA">
        <w:rPr>
          <w:rFonts w:cs="Times New Roman"/>
          <w:szCs w:val="24"/>
        </w:rPr>
        <w:t xml:space="preserve"> As the Supreme Court stated in </w:t>
      </w:r>
      <w:r w:rsidRPr="00056FDA">
        <w:rPr>
          <w:rFonts w:cs="Times New Roman"/>
          <w:i/>
          <w:szCs w:val="24"/>
        </w:rPr>
        <w:t xml:space="preserve">Parmanand Katara </w:t>
      </w:r>
      <w:r w:rsidRPr="00056FDA">
        <w:rPr>
          <w:rFonts w:cs="Times New Roman"/>
          <w:szCs w:val="24"/>
        </w:rPr>
        <w:t>v</w:t>
      </w:r>
      <w:r w:rsidRPr="00056FDA">
        <w:rPr>
          <w:rFonts w:cs="Times New Roman"/>
          <w:i/>
          <w:szCs w:val="24"/>
        </w:rPr>
        <w:t>. Union of India</w:t>
      </w:r>
      <w:r w:rsidRPr="00056FDA">
        <w:rPr>
          <w:rFonts w:cs="Times New Roman"/>
          <w:szCs w:val="24"/>
        </w:rPr>
        <w:t>:</w:t>
      </w:r>
    </w:p>
    <w:p w14:paraId="7FA276B0" w14:textId="77777777" w:rsidR="003747A7" w:rsidRPr="00056FDA" w:rsidRDefault="003747A7" w:rsidP="001C5B3D">
      <w:pPr>
        <w:spacing w:before="0" w:after="0" w:line="480" w:lineRule="auto"/>
        <w:rPr>
          <w:rFonts w:cs="Times New Roman"/>
          <w:szCs w:val="24"/>
        </w:rPr>
      </w:pPr>
    </w:p>
    <w:p w14:paraId="65A9B381" w14:textId="77777777" w:rsidR="00F8433B" w:rsidRPr="00056FDA" w:rsidRDefault="00F8433B" w:rsidP="001C5B3D">
      <w:pPr>
        <w:spacing w:before="0" w:after="0" w:line="480" w:lineRule="auto"/>
        <w:ind w:left="720"/>
        <w:rPr>
          <w:rFonts w:cs="Times New Roman"/>
          <w:szCs w:val="24"/>
        </w:rPr>
      </w:pPr>
      <w:r w:rsidRPr="00056FDA">
        <w:rPr>
          <w:rFonts w:cs="Times New Roman"/>
          <w:szCs w:val="24"/>
        </w:rPr>
        <w:t xml:space="preserve">Whenever any medico-legal case attends the hospital, the medical officer on duty should inform the Duty Constable, name, age, sex of the patient and place and time of occurrence of the incident, and should start the required treatment of the patient. </w:t>
      </w:r>
      <w:r w:rsidRPr="00056FDA">
        <w:rPr>
          <w:rFonts w:cs="Times New Roman"/>
          <w:i/>
          <w:szCs w:val="24"/>
        </w:rPr>
        <w:t>It will be the duty of the Constable on duty to inform the concerned Police Station or higher police functionaries for further action</w:t>
      </w:r>
      <w:r w:rsidRPr="00056FDA">
        <w:rPr>
          <w:rFonts w:cs="Times New Roman"/>
          <w:szCs w:val="24"/>
        </w:rPr>
        <w:t>.</w:t>
      </w:r>
      <w:r w:rsidR="00872C7A" w:rsidRPr="00056FDA">
        <w:rPr>
          <w:rStyle w:val="FootnoteReference"/>
          <w:rFonts w:cs="Times New Roman"/>
          <w:szCs w:val="24"/>
        </w:rPr>
        <w:footnoteReference w:id="59"/>
      </w:r>
    </w:p>
    <w:p w14:paraId="16B046AF" w14:textId="77777777" w:rsidR="003747A7" w:rsidRPr="00056FDA" w:rsidRDefault="003747A7" w:rsidP="001C5B3D">
      <w:pPr>
        <w:spacing w:before="0" w:after="0" w:line="480" w:lineRule="auto"/>
        <w:ind w:left="720"/>
        <w:rPr>
          <w:rFonts w:cs="Times New Roman"/>
          <w:szCs w:val="24"/>
        </w:rPr>
      </w:pPr>
    </w:p>
    <w:p w14:paraId="3A584D3B" w14:textId="77777777" w:rsidR="00F8433B" w:rsidRPr="00056FDA" w:rsidRDefault="00F8433B" w:rsidP="001C5B3D">
      <w:pPr>
        <w:spacing w:before="0" w:after="0" w:line="480" w:lineRule="auto"/>
        <w:rPr>
          <w:rFonts w:cs="Times New Roman"/>
          <w:szCs w:val="24"/>
        </w:rPr>
      </w:pPr>
      <w:r w:rsidRPr="00056FDA">
        <w:rPr>
          <w:rFonts w:cs="Times New Roman"/>
          <w:szCs w:val="24"/>
        </w:rPr>
        <w:t>After reporting the case to police, medical providers should take some form of written acknowledgement from the officer receiving the information.</w:t>
      </w:r>
      <w:r w:rsidR="00872C7A" w:rsidRPr="00056FDA">
        <w:rPr>
          <w:rStyle w:val="FootnoteReference"/>
          <w:rFonts w:cs="Times New Roman"/>
          <w:szCs w:val="24"/>
        </w:rPr>
        <w:footnoteReference w:id="60"/>
      </w:r>
    </w:p>
    <w:p w14:paraId="03946E16" w14:textId="77777777" w:rsidR="003747A7" w:rsidRPr="00056FDA" w:rsidRDefault="003747A7" w:rsidP="001C5B3D">
      <w:pPr>
        <w:spacing w:before="0" w:after="0" w:line="480" w:lineRule="auto"/>
        <w:rPr>
          <w:rFonts w:cs="Times New Roman"/>
          <w:szCs w:val="24"/>
        </w:rPr>
      </w:pPr>
    </w:p>
    <w:p w14:paraId="6897A374" w14:textId="75E2D123" w:rsidR="00324F34" w:rsidRPr="00056FDA" w:rsidRDefault="00324F34" w:rsidP="001C5B3D">
      <w:pPr>
        <w:spacing w:before="0" w:after="0" w:line="480" w:lineRule="auto"/>
        <w:rPr>
          <w:rFonts w:cs="Times New Roman"/>
          <w:szCs w:val="24"/>
        </w:rPr>
      </w:pPr>
      <w:r w:rsidRPr="00056FDA">
        <w:rPr>
          <w:rFonts w:cs="Times New Roman"/>
          <w:szCs w:val="24"/>
        </w:rPr>
        <w:t xml:space="preserve">Given that the minor will be considered a “child in need of care and protection” under the </w:t>
      </w:r>
      <w:r w:rsidR="00B04E97" w:rsidRPr="00056FDA">
        <w:rPr>
          <w:rFonts w:cs="Times New Roman"/>
          <w:szCs w:val="24"/>
        </w:rPr>
        <w:t>JJ Act</w:t>
      </w:r>
      <w:r w:rsidRPr="00056FDA">
        <w:rPr>
          <w:rFonts w:cs="Times New Roman"/>
          <w:szCs w:val="24"/>
        </w:rPr>
        <w:t xml:space="preserve">, it would also suffice for the doctor to approach a Child Welfare Committee with the case, and then carry out the abortion following the </w:t>
      </w:r>
      <w:r w:rsidR="009568E6" w:rsidRPr="00056FDA">
        <w:rPr>
          <w:rFonts w:cs="Times New Roman"/>
          <w:szCs w:val="24"/>
        </w:rPr>
        <w:t>directions of the District Child Protection Unit, in compliance with Rule 34(5) of the J</w:t>
      </w:r>
      <w:r w:rsidR="00AA1F9A" w:rsidRPr="00056FDA">
        <w:rPr>
          <w:rFonts w:cs="Times New Roman"/>
          <w:szCs w:val="24"/>
        </w:rPr>
        <w:t>uv</w:t>
      </w:r>
      <w:r w:rsidR="00B940E1" w:rsidRPr="00056FDA">
        <w:rPr>
          <w:rFonts w:cs="Times New Roman"/>
          <w:szCs w:val="24"/>
        </w:rPr>
        <w:t>e</w:t>
      </w:r>
      <w:r w:rsidR="00AA1F9A" w:rsidRPr="00056FDA">
        <w:rPr>
          <w:rFonts w:cs="Times New Roman"/>
          <w:szCs w:val="24"/>
        </w:rPr>
        <w:t>n</w:t>
      </w:r>
      <w:r w:rsidR="00902E41" w:rsidRPr="00056FDA">
        <w:rPr>
          <w:rFonts w:cs="Times New Roman"/>
          <w:szCs w:val="24"/>
        </w:rPr>
        <w:t>i</w:t>
      </w:r>
      <w:r w:rsidR="00AA1F9A" w:rsidRPr="00056FDA">
        <w:rPr>
          <w:rFonts w:cs="Times New Roman"/>
          <w:szCs w:val="24"/>
        </w:rPr>
        <w:t xml:space="preserve">le </w:t>
      </w:r>
      <w:r w:rsidR="009568E6" w:rsidRPr="00056FDA">
        <w:rPr>
          <w:rFonts w:cs="Times New Roman"/>
          <w:szCs w:val="24"/>
        </w:rPr>
        <w:t>J</w:t>
      </w:r>
      <w:r w:rsidR="00AA1F9A" w:rsidRPr="00056FDA">
        <w:rPr>
          <w:rFonts w:cs="Times New Roman"/>
          <w:szCs w:val="24"/>
        </w:rPr>
        <w:t>ustice</w:t>
      </w:r>
      <w:r w:rsidR="009568E6" w:rsidRPr="00056FDA">
        <w:rPr>
          <w:rFonts w:cs="Times New Roman"/>
          <w:szCs w:val="24"/>
        </w:rPr>
        <w:t xml:space="preserve"> Rules. </w:t>
      </w:r>
      <w:r w:rsidR="00B04E97" w:rsidRPr="00056FDA">
        <w:rPr>
          <w:rFonts w:cs="Times New Roman"/>
          <w:szCs w:val="24"/>
        </w:rPr>
        <w:t xml:space="preserve">However, this does not mean that the doctor requires the consent of the Child Welfare Committee to carry out an abortion. The Committee is not a guardian of the minor, and prior permission of the Committee for termination of pregnancy is not contemplated as a requirement under the JJ Act. </w:t>
      </w:r>
    </w:p>
    <w:p w14:paraId="704FF28B" w14:textId="77777777" w:rsidR="003747A7" w:rsidRPr="00056FDA" w:rsidRDefault="003747A7" w:rsidP="001C5B3D">
      <w:pPr>
        <w:spacing w:before="0" w:after="0" w:line="480" w:lineRule="auto"/>
        <w:rPr>
          <w:rFonts w:cs="Times New Roman"/>
          <w:szCs w:val="24"/>
        </w:rPr>
      </w:pPr>
    </w:p>
    <w:p w14:paraId="1C667CDF" w14:textId="7C0A4DD6" w:rsidR="00F8433B" w:rsidRPr="00056FDA" w:rsidRDefault="00F8433B" w:rsidP="001C5B3D">
      <w:pPr>
        <w:pStyle w:val="Heading3"/>
        <w:numPr>
          <w:ilvl w:val="0"/>
          <w:numId w:val="36"/>
        </w:numPr>
        <w:spacing w:before="0" w:after="0" w:line="480" w:lineRule="auto"/>
        <w:ind w:firstLine="0"/>
        <w:rPr>
          <w:rFonts w:cs="Times New Roman"/>
          <w:b/>
          <w:i/>
          <w:sz w:val="24"/>
          <w:szCs w:val="24"/>
        </w:rPr>
      </w:pPr>
      <w:bookmarkStart w:id="22" w:name="_Toc498631722"/>
      <w:r w:rsidRPr="00056FDA">
        <w:rPr>
          <w:rFonts w:cs="Times New Roman"/>
          <w:b/>
          <w:i/>
          <w:sz w:val="24"/>
          <w:szCs w:val="24"/>
        </w:rPr>
        <w:t>Guardian competent to consent on minor’s behalf</w:t>
      </w:r>
      <w:bookmarkEnd w:id="22"/>
    </w:p>
    <w:p w14:paraId="1424982B" w14:textId="77777777" w:rsidR="003747A7" w:rsidRPr="00056FDA" w:rsidRDefault="003747A7" w:rsidP="003747A7">
      <w:pPr>
        <w:rPr>
          <w:szCs w:val="24"/>
        </w:rPr>
      </w:pPr>
    </w:p>
    <w:p w14:paraId="22D147C9" w14:textId="197E2D7E" w:rsidR="00AB6CDD" w:rsidRPr="00056FDA" w:rsidRDefault="00F8433B" w:rsidP="001C5B3D">
      <w:pPr>
        <w:spacing w:before="0" w:after="0" w:line="480" w:lineRule="auto"/>
        <w:rPr>
          <w:rFonts w:cs="Times New Roman"/>
          <w:szCs w:val="24"/>
        </w:rPr>
      </w:pPr>
      <w:r w:rsidRPr="00056FDA" w:rsidDel="00FB632C">
        <w:rPr>
          <w:rFonts w:eastAsia="Times New Roman" w:cs="Times New Roman"/>
          <w:szCs w:val="24"/>
        </w:rPr>
        <w:t>“Guardian” is defined in the MTP Act as “</w:t>
      </w:r>
      <w:r w:rsidRPr="00056FDA" w:rsidDel="00FB632C">
        <w:rPr>
          <w:rFonts w:cs="Times New Roman"/>
          <w:szCs w:val="24"/>
        </w:rPr>
        <w:t>a person having the care of the person of a minor.”</w:t>
      </w:r>
      <w:r w:rsidR="00DD593D" w:rsidRPr="00056FDA">
        <w:rPr>
          <w:rStyle w:val="FootnoteReference"/>
          <w:rFonts w:cs="Times New Roman"/>
          <w:szCs w:val="24"/>
        </w:rPr>
        <w:footnoteReference w:id="61"/>
      </w:r>
      <w:r w:rsidR="00DD593D" w:rsidRPr="00056FDA">
        <w:rPr>
          <w:rFonts w:cs="Times New Roman"/>
          <w:szCs w:val="24"/>
        </w:rPr>
        <w:t xml:space="preserve"> </w:t>
      </w:r>
      <w:r w:rsidRPr="00056FDA" w:rsidDel="00FB632C">
        <w:rPr>
          <w:rFonts w:cs="Times New Roman"/>
          <w:szCs w:val="24"/>
        </w:rPr>
        <w:t xml:space="preserve">This raises the question of whether someone must be legally appointed to be a guardian for </w:t>
      </w:r>
      <w:r w:rsidR="00B04E97" w:rsidRPr="00056FDA">
        <w:rPr>
          <w:rFonts w:cs="Times New Roman"/>
          <w:szCs w:val="24"/>
        </w:rPr>
        <w:t xml:space="preserve">the </w:t>
      </w:r>
      <w:r w:rsidRPr="00056FDA" w:rsidDel="00FB632C">
        <w:rPr>
          <w:rFonts w:cs="Times New Roman"/>
          <w:szCs w:val="24"/>
        </w:rPr>
        <w:t xml:space="preserve">purposes of the Act, or whether someone who does not have legal guardianship but is exercising practical control over the minor can also be a guardian. </w:t>
      </w:r>
      <w:r w:rsidR="00813498" w:rsidRPr="00056FDA">
        <w:rPr>
          <w:rFonts w:cs="Times New Roman"/>
          <w:szCs w:val="24"/>
        </w:rPr>
        <w:t xml:space="preserve">In this conflict, the MTP Act  </w:t>
      </w:r>
      <w:r w:rsidR="00813498" w:rsidRPr="00056FDA" w:rsidDel="00FB632C">
        <w:rPr>
          <w:rFonts w:cs="Times New Roman"/>
          <w:szCs w:val="24"/>
        </w:rPr>
        <w:t xml:space="preserve">makes clear that it preempts other laws that would hold doctors liable in situations that </w:t>
      </w:r>
      <w:r w:rsidR="00813498" w:rsidRPr="00056FDA">
        <w:rPr>
          <w:rFonts w:cs="Times New Roman"/>
          <w:szCs w:val="24"/>
        </w:rPr>
        <w:t>it</w:t>
      </w:r>
      <w:r w:rsidR="00813498" w:rsidRPr="00056FDA" w:rsidDel="00FB632C">
        <w:rPr>
          <w:rFonts w:cs="Times New Roman"/>
          <w:szCs w:val="24"/>
        </w:rPr>
        <w:t xml:space="preserve"> would not.</w:t>
      </w:r>
      <w:r w:rsidR="00813498" w:rsidRPr="00056FDA">
        <w:rPr>
          <w:rStyle w:val="FootnoteReference"/>
          <w:rFonts w:cs="Times New Roman"/>
          <w:szCs w:val="24"/>
        </w:rPr>
        <w:footnoteReference w:id="62"/>
      </w:r>
      <w:r w:rsidR="00813498" w:rsidRPr="00056FDA">
        <w:rPr>
          <w:rFonts w:cs="Times New Roman"/>
          <w:szCs w:val="24"/>
        </w:rPr>
        <w:t xml:space="preserve"> </w:t>
      </w:r>
      <w:r w:rsidR="00813498" w:rsidRPr="00056FDA" w:rsidDel="00FB632C">
        <w:rPr>
          <w:rFonts w:cs="Times New Roman"/>
          <w:szCs w:val="24"/>
        </w:rPr>
        <w:t xml:space="preserve">Therefore, the definition of “guardian” in the MTP Act controls the definition in the </w:t>
      </w:r>
      <w:r w:rsidR="00B04E97" w:rsidRPr="00056FDA">
        <w:rPr>
          <w:rFonts w:cs="Times New Roman"/>
          <w:szCs w:val="24"/>
        </w:rPr>
        <w:t>JJ</w:t>
      </w:r>
      <w:r w:rsidR="00813498" w:rsidRPr="00056FDA" w:rsidDel="00FB632C">
        <w:rPr>
          <w:rFonts w:cs="Times New Roman"/>
          <w:szCs w:val="24"/>
        </w:rPr>
        <w:t xml:space="preserve"> Act (as read into the POCSO Act)</w:t>
      </w:r>
      <w:r w:rsidR="00813498" w:rsidRPr="00056FDA">
        <w:rPr>
          <w:rFonts w:cs="Times New Roman"/>
          <w:szCs w:val="24"/>
        </w:rPr>
        <w:t>, and a</w:t>
      </w:r>
      <w:r w:rsidR="00813498" w:rsidRPr="00056FDA">
        <w:rPr>
          <w:rFonts w:cs="Times New Roman"/>
          <w:i/>
          <w:szCs w:val="24"/>
        </w:rPr>
        <w:t xml:space="preserve"> de facto</w:t>
      </w:r>
      <w:r w:rsidR="00813498" w:rsidRPr="00056FDA">
        <w:rPr>
          <w:rFonts w:cs="Times New Roman"/>
          <w:szCs w:val="24"/>
        </w:rPr>
        <w:t xml:space="preserve"> guardian can consent to a termination of pregnancy for a minor girl.</w:t>
      </w:r>
    </w:p>
    <w:p w14:paraId="5AEE7406" w14:textId="77777777" w:rsidR="003747A7" w:rsidRPr="00056FDA" w:rsidRDefault="003747A7" w:rsidP="001C5B3D">
      <w:pPr>
        <w:spacing w:before="0" w:after="0" w:line="480" w:lineRule="auto"/>
        <w:rPr>
          <w:rFonts w:cs="Times New Roman"/>
          <w:szCs w:val="24"/>
        </w:rPr>
      </w:pPr>
    </w:p>
    <w:p w14:paraId="51BBBC84" w14:textId="77777777" w:rsidR="00F8433B" w:rsidRPr="00056FDA" w:rsidRDefault="00F8433B" w:rsidP="001C5B3D">
      <w:pPr>
        <w:spacing w:before="0" w:after="0" w:line="480" w:lineRule="auto"/>
        <w:rPr>
          <w:rFonts w:cs="Times New Roman"/>
          <w:szCs w:val="24"/>
        </w:rPr>
      </w:pPr>
      <w:r w:rsidRPr="00056FDA" w:rsidDel="00FB632C">
        <w:rPr>
          <w:rFonts w:cs="Times New Roman"/>
          <w:szCs w:val="24"/>
        </w:rPr>
        <w:t xml:space="preserve">In its 83rd Report, the Law Commission considered a similar issue under the Guardians and Wards Act, 1890. The Commission noted that “guardian” under the Guardian and Wards Act is defined to include persons “having the care of a minor,” which suggests that the term “guardian” includes </w:t>
      </w:r>
      <w:r w:rsidRPr="00056FDA" w:rsidDel="00FB632C">
        <w:rPr>
          <w:rFonts w:cs="Times New Roman"/>
          <w:i/>
          <w:szCs w:val="24"/>
        </w:rPr>
        <w:t xml:space="preserve">de facto </w:t>
      </w:r>
      <w:r w:rsidRPr="00056FDA" w:rsidDel="00FB632C">
        <w:rPr>
          <w:rFonts w:cs="Times New Roman"/>
          <w:szCs w:val="24"/>
        </w:rPr>
        <w:t>guardians (persons who, as a matter of fact, have custody and care of a minor).</w:t>
      </w:r>
      <w:r w:rsidR="00DD593D" w:rsidRPr="00056FDA">
        <w:rPr>
          <w:rStyle w:val="FootnoteReference"/>
          <w:rFonts w:cs="Times New Roman"/>
          <w:szCs w:val="24"/>
        </w:rPr>
        <w:footnoteReference w:id="63"/>
      </w:r>
      <w:r w:rsidRPr="00056FDA" w:rsidDel="00FB632C">
        <w:rPr>
          <w:rFonts w:cs="Times New Roman"/>
          <w:szCs w:val="24"/>
        </w:rPr>
        <w:t xml:space="preserve"> The Commission recommended that the Guardians and Wards Act be amended to clarify that “a </w:t>
      </w:r>
      <w:r w:rsidRPr="00056FDA" w:rsidDel="00FB632C">
        <w:rPr>
          <w:rFonts w:cs="Times New Roman"/>
          <w:i/>
          <w:szCs w:val="24"/>
        </w:rPr>
        <w:t>de facto</w:t>
      </w:r>
      <w:r w:rsidRPr="00056FDA" w:rsidDel="00FB632C">
        <w:rPr>
          <w:rFonts w:cs="Times New Roman"/>
          <w:szCs w:val="24"/>
        </w:rPr>
        <w:t xml:space="preserve"> guardian is included within the deﬁnition of ‘guardian.’”</w:t>
      </w:r>
      <w:r w:rsidR="00DD593D" w:rsidRPr="00056FDA">
        <w:rPr>
          <w:rStyle w:val="FootnoteReference"/>
          <w:rFonts w:cs="Times New Roman"/>
          <w:szCs w:val="24"/>
        </w:rPr>
        <w:footnoteReference w:id="64"/>
      </w:r>
      <w:r w:rsidRPr="00056FDA" w:rsidDel="00FB632C">
        <w:rPr>
          <w:rFonts w:cs="Times New Roman"/>
          <w:szCs w:val="24"/>
        </w:rPr>
        <w:t xml:space="preserve"> The Commission also noted that the definition of “guardian” in the MTP Act is similar to the definition in the Guardian and Wards Act, 1890.</w:t>
      </w:r>
      <w:r w:rsidR="00DD593D" w:rsidRPr="00056FDA">
        <w:rPr>
          <w:rStyle w:val="FootnoteReference"/>
          <w:rFonts w:cs="Times New Roman"/>
          <w:szCs w:val="24"/>
        </w:rPr>
        <w:footnoteReference w:id="65"/>
      </w:r>
      <w:r w:rsidRPr="00056FDA" w:rsidDel="00FB632C">
        <w:rPr>
          <w:rFonts w:cs="Times New Roman"/>
          <w:szCs w:val="24"/>
        </w:rPr>
        <w:t xml:space="preserve"> Thus, it is reasonable to conclude that a guardian under the MTP Act includes a </w:t>
      </w:r>
      <w:r w:rsidRPr="00056FDA" w:rsidDel="00FB632C">
        <w:rPr>
          <w:rFonts w:cs="Times New Roman"/>
          <w:i/>
          <w:szCs w:val="24"/>
        </w:rPr>
        <w:t xml:space="preserve">de facto </w:t>
      </w:r>
      <w:r w:rsidRPr="00056FDA" w:rsidDel="00FB632C">
        <w:rPr>
          <w:rFonts w:cs="Times New Roman"/>
          <w:szCs w:val="24"/>
        </w:rPr>
        <w:t>guardian as well and that legal guardianship is not required to give consent for an abortion.</w:t>
      </w:r>
    </w:p>
    <w:p w14:paraId="2A3BED45" w14:textId="1488AE9A" w:rsidR="00F8433B" w:rsidRPr="00056FDA" w:rsidRDefault="00FE6FA8" w:rsidP="001C5B3D">
      <w:pPr>
        <w:spacing w:before="0" w:after="0" w:line="480" w:lineRule="auto"/>
        <w:rPr>
          <w:rFonts w:cs="Times New Roman"/>
          <w:szCs w:val="24"/>
        </w:rPr>
      </w:pPr>
      <w:r w:rsidRPr="00056FDA">
        <w:rPr>
          <w:rFonts w:cs="Times New Roman"/>
          <w:szCs w:val="24"/>
        </w:rPr>
        <w:t xml:space="preserve">However, the POCSO Act suggests a different result. </w:t>
      </w:r>
      <w:r w:rsidR="00F8433B" w:rsidRPr="00056FDA" w:rsidDel="00FB632C">
        <w:rPr>
          <w:rFonts w:cs="Times New Roman"/>
          <w:szCs w:val="24"/>
        </w:rPr>
        <w:t>Under the POCSO Act, a doctor can insert medical equipment into a minor’s vagina only if it is done with the consent of the child’s “parents or guardian.”</w:t>
      </w:r>
      <w:r w:rsidR="00DD593D" w:rsidRPr="00056FDA">
        <w:rPr>
          <w:rStyle w:val="FootnoteReference"/>
          <w:rFonts w:cs="Times New Roman"/>
          <w:szCs w:val="24"/>
        </w:rPr>
        <w:footnoteReference w:id="66"/>
      </w:r>
      <w:r w:rsidR="00F8433B" w:rsidRPr="00056FDA" w:rsidDel="00FB632C">
        <w:rPr>
          <w:rFonts w:cs="Times New Roman"/>
          <w:szCs w:val="24"/>
        </w:rPr>
        <w:t xml:space="preserve"> The POCSO Act does not define the term “guardian,” but it does state that, for undefined terms, we should look to the </w:t>
      </w:r>
      <w:r w:rsidR="00B04E97" w:rsidRPr="00056FDA">
        <w:rPr>
          <w:rFonts w:cs="Times New Roman"/>
          <w:szCs w:val="24"/>
        </w:rPr>
        <w:t>IPC, CrPC, JJ Act</w:t>
      </w:r>
      <w:r w:rsidR="00F8433B" w:rsidRPr="00056FDA" w:rsidDel="00FB632C">
        <w:rPr>
          <w:rFonts w:cs="Times New Roman"/>
          <w:szCs w:val="24"/>
        </w:rPr>
        <w:t xml:space="preserve"> and Information Technology Act, 2000.</w:t>
      </w:r>
      <w:r w:rsidR="00DD593D" w:rsidRPr="00056FDA">
        <w:rPr>
          <w:rStyle w:val="FootnoteReference"/>
          <w:rFonts w:cs="Times New Roman"/>
          <w:szCs w:val="24"/>
        </w:rPr>
        <w:footnoteReference w:id="67"/>
      </w:r>
      <w:r w:rsidR="00F8433B" w:rsidRPr="00056FDA" w:rsidDel="00FB632C">
        <w:rPr>
          <w:rFonts w:cs="Times New Roman"/>
          <w:szCs w:val="24"/>
        </w:rPr>
        <w:t xml:space="preserve"> The only one of these that defines “guardian” is the </w:t>
      </w:r>
      <w:r w:rsidR="00B04E97" w:rsidRPr="00056FDA">
        <w:rPr>
          <w:rFonts w:cs="Times New Roman"/>
          <w:szCs w:val="24"/>
        </w:rPr>
        <w:t>JJ</w:t>
      </w:r>
      <w:r w:rsidR="00F8433B" w:rsidRPr="00056FDA" w:rsidDel="00FB632C">
        <w:rPr>
          <w:rFonts w:cs="Times New Roman"/>
          <w:szCs w:val="24"/>
        </w:rPr>
        <w:t xml:space="preserve"> Act, which provides as follows:</w:t>
      </w:r>
    </w:p>
    <w:p w14:paraId="08E5F22F" w14:textId="77777777" w:rsidR="003747A7" w:rsidRPr="00056FDA" w:rsidDel="00FB632C" w:rsidRDefault="003747A7" w:rsidP="001C5B3D">
      <w:pPr>
        <w:spacing w:before="0" w:after="0" w:line="480" w:lineRule="auto"/>
        <w:rPr>
          <w:rFonts w:cs="Times New Roman"/>
          <w:szCs w:val="24"/>
        </w:rPr>
      </w:pPr>
    </w:p>
    <w:p w14:paraId="580A3752" w14:textId="77777777" w:rsidR="00F8433B" w:rsidRPr="00056FDA" w:rsidDel="00FB632C" w:rsidRDefault="00F8433B" w:rsidP="001C5B3D">
      <w:pPr>
        <w:spacing w:before="0" w:after="0" w:line="480" w:lineRule="auto"/>
        <w:ind w:left="720"/>
        <w:rPr>
          <w:rFonts w:cs="Times New Roman"/>
          <w:szCs w:val="24"/>
        </w:rPr>
      </w:pPr>
      <w:r w:rsidRPr="00056FDA" w:rsidDel="00FB632C">
        <w:rPr>
          <w:rFonts w:cs="Times New Roman"/>
          <w:szCs w:val="24"/>
        </w:rPr>
        <w:t xml:space="preserve">“guardian” in relation to a child, means his natural guardian or any other person having, in the opinion of the Committee or, as the case may be, the Board, the actual charge of the child, and </w:t>
      </w:r>
      <w:r w:rsidRPr="00056FDA" w:rsidDel="00FB632C">
        <w:rPr>
          <w:rFonts w:cs="Times New Roman"/>
          <w:i/>
          <w:szCs w:val="24"/>
        </w:rPr>
        <w:t>recognised by the Committee or, as the case may be, the Board as a guardian in the course of proceedings</w:t>
      </w:r>
      <w:r w:rsidRPr="00056FDA" w:rsidDel="00FB632C">
        <w:rPr>
          <w:rFonts w:cs="Times New Roman"/>
          <w:szCs w:val="24"/>
        </w:rPr>
        <w:t>.</w:t>
      </w:r>
      <w:r w:rsidR="00DD593D" w:rsidRPr="00056FDA">
        <w:rPr>
          <w:rStyle w:val="FootnoteReference"/>
          <w:rFonts w:cs="Times New Roman"/>
          <w:szCs w:val="24"/>
        </w:rPr>
        <w:footnoteReference w:id="68"/>
      </w:r>
    </w:p>
    <w:p w14:paraId="1AF93B07" w14:textId="77777777" w:rsidR="00F8433B" w:rsidRPr="00056FDA" w:rsidDel="00FB632C" w:rsidRDefault="00F8433B" w:rsidP="001C5B3D">
      <w:pPr>
        <w:spacing w:before="0" w:after="0" w:line="480" w:lineRule="auto"/>
        <w:rPr>
          <w:rFonts w:cs="Times New Roman"/>
          <w:szCs w:val="24"/>
        </w:rPr>
      </w:pPr>
    </w:p>
    <w:p w14:paraId="6DC7EFFC" w14:textId="7888AD0B" w:rsidR="006243E2" w:rsidRPr="00056FDA" w:rsidRDefault="00FE6FA8" w:rsidP="001C5B3D">
      <w:pPr>
        <w:spacing w:before="0" w:after="0" w:line="480" w:lineRule="auto"/>
        <w:rPr>
          <w:rFonts w:cs="Times New Roman"/>
          <w:szCs w:val="24"/>
        </w:rPr>
      </w:pPr>
      <w:r w:rsidRPr="00056FDA">
        <w:rPr>
          <w:rFonts w:cs="Times New Roman"/>
          <w:szCs w:val="24"/>
        </w:rPr>
        <w:t xml:space="preserve">Thus, </w:t>
      </w:r>
      <w:r w:rsidR="009A50BE" w:rsidRPr="00056FDA">
        <w:rPr>
          <w:rFonts w:cs="Times New Roman"/>
          <w:szCs w:val="24"/>
        </w:rPr>
        <w:t xml:space="preserve">under the POCSO Act, as interpreted by </w:t>
      </w:r>
      <w:r w:rsidR="00B04E97" w:rsidRPr="00056FDA">
        <w:rPr>
          <w:rFonts w:cs="Times New Roman"/>
          <w:szCs w:val="24"/>
        </w:rPr>
        <w:t>JJ</w:t>
      </w:r>
      <w:r w:rsidR="009A50BE" w:rsidRPr="00056FDA">
        <w:rPr>
          <w:rFonts w:cs="Times New Roman"/>
          <w:szCs w:val="24"/>
        </w:rPr>
        <w:t xml:space="preserve"> Act, </w:t>
      </w:r>
      <w:r w:rsidR="00875B61" w:rsidRPr="00056FDA">
        <w:rPr>
          <w:rFonts w:cs="Times New Roman"/>
          <w:szCs w:val="24"/>
        </w:rPr>
        <w:t xml:space="preserve">a person must be </w:t>
      </w:r>
      <w:r w:rsidR="00875B61" w:rsidRPr="00056FDA">
        <w:rPr>
          <w:rFonts w:cs="Times New Roman"/>
          <w:i/>
          <w:szCs w:val="24"/>
        </w:rPr>
        <w:t xml:space="preserve">legally recognized </w:t>
      </w:r>
      <w:r w:rsidR="00875B61" w:rsidRPr="00056FDA">
        <w:rPr>
          <w:rFonts w:cs="Times New Roman"/>
          <w:szCs w:val="24"/>
        </w:rPr>
        <w:t xml:space="preserve">before they can qualify as </w:t>
      </w:r>
      <w:r w:rsidR="009A50BE" w:rsidRPr="00056FDA">
        <w:rPr>
          <w:rFonts w:cs="Times New Roman"/>
          <w:szCs w:val="24"/>
        </w:rPr>
        <w:t>a child’s guardian. U</w:t>
      </w:r>
      <w:r w:rsidR="00F8433B" w:rsidRPr="00056FDA" w:rsidDel="00FB632C">
        <w:rPr>
          <w:rFonts w:cs="Times New Roman"/>
          <w:szCs w:val="24"/>
        </w:rPr>
        <w:t xml:space="preserve">nder this definition, </w:t>
      </w:r>
      <w:r w:rsidR="009A50BE" w:rsidRPr="00056FDA">
        <w:rPr>
          <w:rFonts w:cs="Times New Roman"/>
          <w:szCs w:val="24"/>
        </w:rPr>
        <w:t xml:space="preserve">a person who has </w:t>
      </w:r>
      <w:r w:rsidR="009A50BE" w:rsidRPr="00056FDA">
        <w:rPr>
          <w:rFonts w:cs="Times New Roman"/>
          <w:i/>
          <w:szCs w:val="24"/>
        </w:rPr>
        <w:t>de facto</w:t>
      </w:r>
      <w:r w:rsidR="009A50BE" w:rsidRPr="00056FDA">
        <w:rPr>
          <w:rFonts w:cs="Times New Roman"/>
          <w:szCs w:val="24"/>
        </w:rPr>
        <w:t xml:space="preserve"> care of a minor, but who has not been legally recognized as guardian, cannot consent to an abortion on behalf of a minor. A doctor </w:t>
      </w:r>
      <w:r w:rsidR="00F8433B" w:rsidRPr="00056FDA" w:rsidDel="00FB632C">
        <w:rPr>
          <w:rFonts w:cs="Times New Roman"/>
          <w:szCs w:val="24"/>
        </w:rPr>
        <w:t xml:space="preserve">who performed an abortion </w:t>
      </w:r>
      <w:r w:rsidR="004E6813" w:rsidRPr="00056FDA">
        <w:rPr>
          <w:rFonts w:cs="Times New Roman"/>
          <w:szCs w:val="24"/>
        </w:rPr>
        <w:t xml:space="preserve">in such a situation </w:t>
      </w:r>
      <w:r w:rsidR="00F8433B" w:rsidRPr="00056FDA" w:rsidDel="00FB632C">
        <w:rPr>
          <w:rFonts w:cs="Times New Roman"/>
          <w:szCs w:val="24"/>
        </w:rPr>
        <w:t xml:space="preserve">could be criminally prosecuted under the POCSO Act. </w:t>
      </w:r>
      <w:r w:rsidR="004E6813" w:rsidRPr="00056FDA">
        <w:rPr>
          <w:rFonts w:cs="Times New Roman"/>
          <w:szCs w:val="24"/>
        </w:rPr>
        <w:t>T</w:t>
      </w:r>
      <w:r w:rsidR="004E6813" w:rsidRPr="00056FDA" w:rsidDel="00FB632C">
        <w:rPr>
          <w:rFonts w:cs="Times New Roman"/>
          <w:szCs w:val="24"/>
        </w:rPr>
        <w:t>his conflicts with the MTP Act because</w:t>
      </w:r>
      <w:r w:rsidR="004E6813" w:rsidRPr="00056FDA">
        <w:rPr>
          <w:rFonts w:cs="Times New Roman"/>
          <w:szCs w:val="24"/>
        </w:rPr>
        <w:t xml:space="preserve">, as explained earlier, under </w:t>
      </w:r>
      <w:r w:rsidR="001E51EB" w:rsidRPr="00056FDA">
        <w:rPr>
          <w:rFonts w:cs="Times New Roman"/>
          <w:szCs w:val="24"/>
        </w:rPr>
        <w:t xml:space="preserve">the MTP </w:t>
      </w:r>
      <w:r w:rsidR="004E6813" w:rsidRPr="00056FDA">
        <w:rPr>
          <w:rFonts w:cs="Times New Roman"/>
          <w:szCs w:val="24"/>
        </w:rPr>
        <w:t xml:space="preserve">Act, a person does not need to be legally recognized to be a guardian—they can just have </w:t>
      </w:r>
      <w:r w:rsidR="004E6813" w:rsidRPr="00056FDA" w:rsidDel="00FB632C">
        <w:rPr>
          <w:rFonts w:cs="Times New Roman"/>
          <w:szCs w:val="24"/>
        </w:rPr>
        <w:t>custody and care of a minor</w:t>
      </w:r>
      <w:r w:rsidR="004E6813" w:rsidRPr="00056FDA">
        <w:rPr>
          <w:rFonts w:cs="Times New Roman"/>
          <w:szCs w:val="24"/>
        </w:rPr>
        <w:t>.</w:t>
      </w:r>
      <w:r w:rsidR="001E51EB" w:rsidRPr="00056FDA">
        <w:rPr>
          <w:rFonts w:cs="Times New Roman"/>
          <w:szCs w:val="24"/>
        </w:rPr>
        <w:t xml:space="preserve"> </w:t>
      </w:r>
    </w:p>
    <w:p w14:paraId="24675096" w14:textId="3ABC920A" w:rsidR="00916C96" w:rsidRPr="00056FDA" w:rsidRDefault="00350AD4" w:rsidP="001C5B3D">
      <w:pPr>
        <w:pStyle w:val="Heading2"/>
        <w:spacing w:before="0" w:after="0" w:line="480" w:lineRule="auto"/>
        <w:ind w:firstLine="0"/>
        <w:contextualSpacing w:val="0"/>
        <w:rPr>
          <w:u w:val="single"/>
        </w:rPr>
      </w:pPr>
      <w:r w:rsidRPr="00056FDA">
        <w:rPr>
          <w:u w:val="single"/>
        </w:rPr>
        <w:t>Conclusion</w:t>
      </w:r>
    </w:p>
    <w:p w14:paraId="2E637323" w14:textId="77777777" w:rsidR="003747A7" w:rsidRPr="00056FDA" w:rsidRDefault="003747A7" w:rsidP="003747A7">
      <w:pPr>
        <w:rPr>
          <w:szCs w:val="24"/>
        </w:rPr>
      </w:pPr>
    </w:p>
    <w:p w14:paraId="2A8B4157" w14:textId="16130620" w:rsidR="00C90BAE" w:rsidRPr="00056FDA" w:rsidRDefault="001C1459" w:rsidP="001C5B3D">
      <w:pPr>
        <w:spacing w:before="0" w:after="0" w:line="480" w:lineRule="auto"/>
        <w:rPr>
          <w:rFonts w:cs="Times New Roman"/>
          <w:szCs w:val="24"/>
        </w:rPr>
      </w:pPr>
      <w:r w:rsidRPr="00056FDA">
        <w:rPr>
          <w:rFonts w:cs="Times New Roman"/>
          <w:szCs w:val="24"/>
        </w:rPr>
        <w:t>This article examined the unintended consequences of the legal framework related to abortion in India, specifically in relation to abortion for minor girls. It addressed concerns regarding abortion for minor girls</w:t>
      </w:r>
      <w:r w:rsidR="00314201" w:rsidRPr="00056FDA">
        <w:rPr>
          <w:rFonts w:cs="Times New Roman"/>
          <w:szCs w:val="24"/>
        </w:rPr>
        <w:t>,</w:t>
      </w:r>
      <w:r w:rsidRPr="00056FDA">
        <w:rPr>
          <w:rFonts w:cs="Times New Roman"/>
          <w:szCs w:val="24"/>
        </w:rPr>
        <w:t xml:space="preserve"> for healthcare providers and the written permission requirement from the guardian. It also highlighted the implications for women and healthcare providers of the lack of clarity in the legal framework.</w:t>
      </w:r>
    </w:p>
    <w:p w14:paraId="3844CE2C" w14:textId="77777777" w:rsidR="003747A7" w:rsidRPr="00056FDA" w:rsidRDefault="003747A7" w:rsidP="001C5B3D">
      <w:pPr>
        <w:spacing w:before="0" w:after="0" w:line="480" w:lineRule="auto"/>
        <w:rPr>
          <w:rFonts w:cs="Times New Roman"/>
          <w:szCs w:val="24"/>
        </w:rPr>
      </w:pPr>
    </w:p>
    <w:p w14:paraId="3B567EF2" w14:textId="1E786E57" w:rsidR="00C90BAE" w:rsidRPr="00056FDA" w:rsidRDefault="009568E6" w:rsidP="001C5B3D">
      <w:pPr>
        <w:spacing w:before="0" w:after="0" w:line="480" w:lineRule="auto"/>
        <w:rPr>
          <w:rFonts w:eastAsia="Times New Roman" w:cs="Times New Roman"/>
          <w:szCs w:val="24"/>
        </w:rPr>
      </w:pPr>
      <w:r w:rsidRPr="00056FDA">
        <w:rPr>
          <w:rFonts w:cs="Times New Roman"/>
          <w:szCs w:val="24"/>
        </w:rPr>
        <w:t>The article raises several issues for further discussion</w:t>
      </w:r>
      <w:r w:rsidR="001C1459" w:rsidRPr="00056FDA">
        <w:rPr>
          <w:rFonts w:cs="Times New Roman"/>
          <w:szCs w:val="24"/>
        </w:rPr>
        <w:t>, including whether legislation should be amended to decriminalise consensual sex with a minor in certain cases</w:t>
      </w:r>
      <w:r w:rsidR="00C90BAE" w:rsidRPr="00056FDA">
        <w:rPr>
          <w:rFonts w:cs="Times New Roman"/>
          <w:szCs w:val="24"/>
        </w:rPr>
        <w:t>,</w:t>
      </w:r>
      <w:r w:rsidR="00C90BAE" w:rsidRPr="00056FDA">
        <w:rPr>
          <w:rStyle w:val="FootnoteReference"/>
          <w:rFonts w:eastAsia="Times New Roman" w:cs="Times New Roman"/>
          <w:szCs w:val="24"/>
        </w:rPr>
        <w:footnoteReference w:id="69"/>
      </w:r>
      <w:r w:rsidR="001C1459" w:rsidRPr="00056FDA">
        <w:rPr>
          <w:rFonts w:cs="Times New Roman"/>
          <w:szCs w:val="24"/>
        </w:rPr>
        <w:t xml:space="preserve"> and whether the mandatory reporting of sexual offences to </w:t>
      </w:r>
      <w:r w:rsidR="00656C2F" w:rsidRPr="00056FDA">
        <w:rPr>
          <w:rFonts w:cs="Times New Roman"/>
          <w:szCs w:val="24"/>
        </w:rPr>
        <w:t xml:space="preserve">the </w:t>
      </w:r>
      <w:r w:rsidR="001C1459" w:rsidRPr="00056FDA">
        <w:rPr>
          <w:rFonts w:cs="Times New Roman"/>
          <w:szCs w:val="24"/>
        </w:rPr>
        <w:t>police be abolished.</w:t>
      </w:r>
      <w:r w:rsidR="00C90BAE" w:rsidRPr="00056FDA">
        <w:rPr>
          <w:rFonts w:cs="Times New Roman"/>
          <w:szCs w:val="24"/>
        </w:rPr>
        <w:t xml:space="preserve"> </w:t>
      </w:r>
      <w:r w:rsidR="00C90BAE" w:rsidRPr="00056FDA">
        <w:rPr>
          <w:rFonts w:eastAsia="Times New Roman" w:cs="Times New Roman"/>
          <w:szCs w:val="24"/>
        </w:rPr>
        <w:t xml:space="preserve">On the one hand, mandatory reporting fails to recognize victims’ autonomy and </w:t>
      </w:r>
      <w:r w:rsidR="00C90BAE" w:rsidRPr="00056FDA">
        <w:rPr>
          <w:rFonts w:cs="Times New Roman"/>
          <w:szCs w:val="24"/>
        </w:rPr>
        <w:t xml:space="preserve">drives minor girls to seek MTP services from unqualified practitioners who will not make a report. </w:t>
      </w:r>
      <w:r w:rsidR="00C90BAE" w:rsidRPr="00056FDA">
        <w:rPr>
          <w:rFonts w:eastAsia="Times New Roman" w:cs="Times New Roman"/>
          <w:szCs w:val="24"/>
        </w:rPr>
        <w:t xml:space="preserve">On the other hand, mandatory reporting may be useful to guard against rape victims being pressured to not file a </w:t>
      </w:r>
      <w:r w:rsidR="001D22C9" w:rsidRPr="00056FDA">
        <w:rPr>
          <w:rFonts w:eastAsia="Times New Roman" w:cs="Times New Roman"/>
          <w:szCs w:val="24"/>
        </w:rPr>
        <w:t xml:space="preserve">criminal </w:t>
      </w:r>
      <w:r w:rsidR="00C90BAE" w:rsidRPr="00056FDA">
        <w:rPr>
          <w:rFonts w:eastAsia="Times New Roman" w:cs="Times New Roman"/>
          <w:szCs w:val="24"/>
        </w:rPr>
        <w:t>case</w:t>
      </w:r>
      <w:r w:rsidR="001D22C9" w:rsidRPr="00056FDA">
        <w:rPr>
          <w:rFonts w:eastAsia="Times New Roman" w:cs="Times New Roman"/>
          <w:szCs w:val="24"/>
        </w:rPr>
        <w:t xml:space="preserve"> against the perpetrator</w:t>
      </w:r>
      <w:r w:rsidR="00C90BAE" w:rsidRPr="00056FDA">
        <w:rPr>
          <w:rFonts w:eastAsia="Times New Roman" w:cs="Times New Roman"/>
          <w:szCs w:val="24"/>
        </w:rPr>
        <w:t xml:space="preserve">. </w:t>
      </w:r>
    </w:p>
    <w:p w14:paraId="42A63A43" w14:textId="77777777" w:rsidR="003747A7" w:rsidRPr="00056FDA" w:rsidRDefault="003747A7" w:rsidP="001C5B3D">
      <w:pPr>
        <w:spacing w:before="0" w:after="0" w:line="480" w:lineRule="auto"/>
        <w:rPr>
          <w:rFonts w:cs="Times New Roman"/>
          <w:szCs w:val="24"/>
        </w:rPr>
      </w:pPr>
    </w:p>
    <w:p w14:paraId="0050E9AD" w14:textId="0D2DB196" w:rsidR="00C90BAE" w:rsidRPr="00056FDA" w:rsidRDefault="00C90BAE" w:rsidP="001C5B3D">
      <w:pPr>
        <w:spacing w:before="0" w:after="0" w:line="480" w:lineRule="auto"/>
        <w:rPr>
          <w:rFonts w:cs="Times New Roman"/>
          <w:szCs w:val="24"/>
        </w:rPr>
      </w:pPr>
      <w:r w:rsidRPr="00056FDA">
        <w:rPr>
          <w:rFonts w:cs="Times New Roman"/>
          <w:szCs w:val="24"/>
        </w:rPr>
        <w:t xml:space="preserve">The article also highlights the need for clarity on various technicalities that create ambiguities in the law, thereby creating further obstacles to </w:t>
      </w:r>
      <w:r w:rsidR="00656C2F" w:rsidRPr="00056FDA">
        <w:rPr>
          <w:rFonts w:cs="Times New Roman"/>
          <w:szCs w:val="24"/>
        </w:rPr>
        <w:t xml:space="preserve">access </w:t>
      </w:r>
      <w:r w:rsidRPr="00056FDA">
        <w:rPr>
          <w:rFonts w:cs="Times New Roman"/>
          <w:szCs w:val="24"/>
        </w:rPr>
        <w:t>safe abortion services for minor girls. These include the need to clearly define ‘guardian’ competent to consent on a minor’s behalf under the MTP</w:t>
      </w:r>
      <w:r w:rsidR="00B55F3C" w:rsidRPr="00056FDA">
        <w:rPr>
          <w:rFonts w:cs="Times New Roman"/>
          <w:szCs w:val="24"/>
        </w:rPr>
        <w:t xml:space="preserve"> Act</w:t>
      </w:r>
      <w:r w:rsidRPr="00056FDA">
        <w:rPr>
          <w:rFonts w:cs="Times New Roman"/>
          <w:szCs w:val="24"/>
        </w:rPr>
        <w:t>, perhaps in the State JJ Rules, which are yet to be formulated. The relationship between the IPC and the MTP Act also needs to be clarified, with if need be, necessary amendments to the relevant sections of the IPC.</w:t>
      </w:r>
    </w:p>
    <w:p w14:paraId="7E15F2BB" w14:textId="77777777" w:rsidR="003747A7" w:rsidRPr="00056FDA" w:rsidRDefault="003747A7" w:rsidP="001C5B3D">
      <w:pPr>
        <w:spacing w:before="0" w:after="0" w:line="480" w:lineRule="auto"/>
        <w:rPr>
          <w:rFonts w:cs="Times New Roman"/>
          <w:szCs w:val="24"/>
        </w:rPr>
      </w:pPr>
    </w:p>
    <w:p w14:paraId="62281947" w14:textId="77777777" w:rsidR="003747A7" w:rsidRPr="00056FDA" w:rsidRDefault="00C90BAE" w:rsidP="001C5B3D">
      <w:pPr>
        <w:spacing w:before="0" w:after="0" w:line="480" w:lineRule="auto"/>
        <w:rPr>
          <w:rFonts w:eastAsia="Times New Roman" w:cs="Times New Roman"/>
          <w:szCs w:val="24"/>
        </w:rPr>
      </w:pPr>
      <w:r w:rsidRPr="00056FDA">
        <w:rPr>
          <w:rFonts w:cs="Times New Roman"/>
          <w:szCs w:val="24"/>
        </w:rPr>
        <w:t xml:space="preserve">Other issues for debate include the need for guardian’s consent in all cases, and the need to create exceptions to the same, especially in cases where the guardian of the minor may not have the latter’s best interests as the paramount consideration. </w:t>
      </w:r>
      <w:r w:rsidRPr="00056FDA">
        <w:rPr>
          <w:rFonts w:eastAsia="Times New Roman" w:cs="Times New Roman"/>
          <w:szCs w:val="24"/>
        </w:rPr>
        <w:t xml:space="preserve">In the United States, for example, minors are allowed, in certain </w:t>
      </w:r>
      <w:r w:rsidR="004E7E4D" w:rsidRPr="00056FDA">
        <w:rPr>
          <w:rFonts w:eastAsia="Times New Roman" w:cs="Times New Roman"/>
          <w:szCs w:val="24"/>
        </w:rPr>
        <w:t>situations</w:t>
      </w:r>
      <w:r w:rsidRPr="00056FDA">
        <w:rPr>
          <w:rFonts w:eastAsia="Times New Roman" w:cs="Times New Roman"/>
          <w:szCs w:val="24"/>
        </w:rPr>
        <w:t>, to terminate a pregnancy without a guardian’s consent through a court procedure known as a “judicial bypass.”</w:t>
      </w:r>
      <w:r w:rsidRPr="00056FDA">
        <w:rPr>
          <w:rStyle w:val="FootnoteReference"/>
          <w:rFonts w:eastAsia="Times New Roman" w:cs="Times New Roman"/>
          <w:szCs w:val="24"/>
        </w:rPr>
        <w:footnoteReference w:id="70"/>
      </w:r>
      <w:r w:rsidRPr="00056FDA">
        <w:rPr>
          <w:rFonts w:eastAsia="Times New Roman" w:cs="Times New Roman"/>
          <w:szCs w:val="24"/>
        </w:rPr>
        <w:t xml:space="preserve"> </w:t>
      </w:r>
      <w:r w:rsidR="00813498" w:rsidRPr="00056FDA">
        <w:rPr>
          <w:rFonts w:eastAsia="Times New Roman" w:cs="Times New Roman"/>
          <w:szCs w:val="24"/>
        </w:rPr>
        <w:t xml:space="preserve">Given that this process has also been criticized, the capacity of adolescents to consent to certain medical procedures to avail of sexual and reproductive health services must be considered. </w:t>
      </w:r>
      <w:r w:rsidR="00656C2F" w:rsidRPr="00056FDA">
        <w:rPr>
          <w:rFonts w:eastAsia="Times New Roman" w:cs="Times New Roman"/>
          <w:szCs w:val="24"/>
        </w:rPr>
        <w:t xml:space="preserve">The “best interests of the child” standard promises to resolve many ambiguities within and between laws. Though contained in text of the JJ Act and the POCSO Act, the standard has of late come to a new light in judgments that have begun to methodically assess applications for undergoing abortion through the criteria of best interests. </w:t>
      </w:r>
    </w:p>
    <w:p w14:paraId="442BCB81" w14:textId="77777777" w:rsidR="003747A7" w:rsidRPr="00056FDA" w:rsidRDefault="003747A7" w:rsidP="001C5B3D">
      <w:pPr>
        <w:spacing w:before="0" w:after="0" w:line="480" w:lineRule="auto"/>
        <w:rPr>
          <w:rFonts w:eastAsia="Times New Roman" w:cs="Times New Roman"/>
          <w:szCs w:val="24"/>
        </w:rPr>
      </w:pPr>
    </w:p>
    <w:p w14:paraId="525044C6" w14:textId="375E9FF8" w:rsidR="00E32E7C" w:rsidRPr="00056FDA" w:rsidRDefault="00656C2F" w:rsidP="001C5B3D">
      <w:pPr>
        <w:spacing w:before="0" w:after="0" w:line="480" w:lineRule="auto"/>
        <w:rPr>
          <w:rFonts w:eastAsia="Times New Roman" w:cs="Times New Roman"/>
          <w:szCs w:val="24"/>
        </w:rPr>
      </w:pPr>
      <w:r w:rsidRPr="00056FDA">
        <w:rPr>
          <w:rFonts w:eastAsia="Times New Roman" w:cs="Times New Roman"/>
          <w:szCs w:val="24"/>
        </w:rPr>
        <w:t xml:space="preserve">While this article introduces this lens as a powerful and compassionate tool for future child rights advocacy in the case of access to abortion services, it also acknowledges that these continue to be important issues to be discussed and addressed and resolved, and it is hoped that </w:t>
      </w:r>
      <w:r w:rsidR="001C1459" w:rsidRPr="00056FDA">
        <w:rPr>
          <w:rFonts w:cs="Times New Roman"/>
          <w:szCs w:val="24"/>
        </w:rPr>
        <w:t>there will be momentum to do so in the near future.</w:t>
      </w:r>
    </w:p>
    <w:sectPr w:rsidR="00E32E7C" w:rsidRPr="00056FDA" w:rsidSect="00056FDA">
      <w:footerReference w:type="even" r:id="rId18"/>
      <w:footerReference w:type="default" r:id="rId19"/>
      <w:pgSz w:w="12240" w:h="15840"/>
      <w:pgMar w:top="1440" w:right="1440" w:bottom="1440" w:left="1440" w:header="720" w:footer="720" w:gutter="0"/>
      <w:pgBorders w:display="firstPage" w:offsetFrom="page">
        <w:top w:val="single" w:sz="4" w:space="31" w:color="auto"/>
        <w:left w:val="single" w:sz="4" w:space="31" w:color="auto"/>
        <w:bottom w:val="single" w:sz="4" w:space="31" w:color="auto"/>
        <w:right w:val="single" w:sz="4" w:space="31"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7ABC39" w14:textId="77777777" w:rsidR="008414D5" w:rsidRDefault="008414D5" w:rsidP="00263DB6">
      <w:r>
        <w:separator/>
      </w:r>
    </w:p>
  </w:endnote>
  <w:endnote w:type="continuationSeparator" w:id="0">
    <w:p w14:paraId="0F8F1E03" w14:textId="77777777" w:rsidR="008414D5" w:rsidRDefault="008414D5" w:rsidP="00263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Bold">
    <w:altName w:val="Times New Roman"/>
    <w:panose1 w:val="020208030705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D4B8B" w14:textId="77777777" w:rsidR="00DD6BA6" w:rsidRDefault="00DD6BA6" w:rsidP="0077353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37E04C" w14:textId="77777777" w:rsidR="00DD6BA6" w:rsidRDefault="00DD6BA6" w:rsidP="00906C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46A6B" w14:textId="77777777" w:rsidR="00DD6BA6" w:rsidRDefault="00DD6BA6" w:rsidP="0077353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246BF">
      <w:rPr>
        <w:rStyle w:val="PageNumber"/>
        <w:noProof/>
      </w:rPr>
      <w:t>1</w:t>
    </w:r>
    <w:r>
      <w:rPr>
        <w:rStyle w:val="PageNumber"/>
      </w:rPr>
      <w:fldChar w:fldCharType="end"/>
    </w:r>
  </w:p>
  <w:p w14:paraId="67B38AFF" w14:textId="77777777" w:rsidR="00DD6BA6" w:rsidRDefault="00DD6BA6" w:rsidP="00906C1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3F2450" w14:textId="77777777" w:rsidR="008414D5" w:rsidRDefault="008414D5" w:rsidP="00263DB6">
      <w:r>
        <w:separator/>
      </w:r>
    </w:p>
  </w:footnote>
  <w:footnote w:type="continuationSeparator" w:id="0">
    <w:p w14:paraId="1EE5EF32" w14:textId="77777777" w:rsidR="008414D5" w:rsidRDefault="008414D5" w:rsidP="00263DB6">
      <w:r>
        <w:continuationSeparator/>
      </w:r>
    </w:p>
  </w:footnote>
  <w:footnote w:id="1">
    <w:p w14:paraId="7F3F4EB2" w14:textId="483811B2" w:rsidR="00DD6BA6" w:rsidRPr="008F5BF0" w:rsidRDefault="00DD6BA6" w:rsidP="008738D8">
      <w:pPr>
        <w:rPr>
          <w:i/>
          <w:sz w:val="20"/>
          <w:szCs w:val="20"/>
        </w:rPr>
      </w:pPr>
      <w:r w:rsidRPr="008F5BF0">
        <w:rPr>
          <w:rStyle w:val="FootnoteReference"/>
          <w:sz w:val="20"/>
          <w:szCs w:val="20"/>
        </w:rPr>
        <w:footnoteRef/>
      </w:r>
      <w:r w:rsidRPr="008F5BF0">
        <w:rPr>
          <w:sz w:val="20"/>
          <w:szCs w:val="20"/>
        </w:rPr>
        <w:t xml:space="preserve"> ‘Maternal Mortality Ratio (Modeled Estimate, per 100,000 Live Births)’ (World Bank, 2017) </w:t>
      </w:r>
      <w:r w:rsidRPr="008F5BF0">
        <w:rPr>
          <w:b/>
          <w:sz w:val="20"/>
          <w:szCs w:val="20"/>
        </w:rPr>
        <w:t>https://data.worldbank.org/indicator/SH.STA.MMRT?locations=IN</w:t>
      </w:r>
      <w:r w:rsidRPr="008F5BF0">
        <w:rPr>
          <w:sz w:val="20"/>
          <w:szCs w:val="20"/>
        </w:rPr>
        <w:t xml:space="preserve">; </w:t>
      </w:r>
      <w:r w:rsidRPr="008F5BF0">
        <w:rPr>
          <w:i/>
          <w:sz w:val="20"/>
          <w:szCs w:val="20"/>
        </w:rPr>
        <w:t xml:space="preserve">see also </w:t>
      </w:r>
      <w:r w:rsidRPr="008F5BF0">
        <w:rPr>
          <w:sz w:val="20"/>
          <w:szCs w:val="20"/>
        </w:rPr>
        <w:t>Governmen</w:t>
      </w:r>
      <w:r w:rsidR="008738D8">
        <w:rPr>
          <w:sz w:val="20"/>
          <w:szCs w:val="20"/>
        </w:rPr>
        <w:t xml:space="preserve">t of India, ‘Maternal Mortality Ratio Bulletin 2011-13’ </w:t>
      </w:r>
      <w:r w:rsidRPr="008F5BF0">
        <w:rPr>
          <w:sz w:val="20"/>
          <w:szCs w:val="20"/>
        </w:rPr>
        <w:t xml:space="preserve">(Census India, 2013) </w:t>
      </w:r>
      <w:r w:rsidRPr="008F5BF0">
        <w:rPr>
          <w:i/>
          <w:sz w:val="20"/>
          <w:szCs w:val="20"/>
        </w:rPr>
        <w:t xml:space="preserve"> </w:t>
      </w:r>
      <w:r w:rsidRPr="008F5BF0">
        <w:rPr>
          <w:b/>
          <w:sz w:val="20"/>
          <w:szCs w:val="20"/>
        </w:rPr>
        <w:t>www.censusindia.gov.in/vital_statistics/mmr_bulletin_2011-13.pdf</w:t>
      </w:r>
      <w:r w:rsidRPr="008F5BF0">
        <w:rPr>
          <w:sz w:val="20"/>
          <w:szCs w:val="20"/>
        </w:rPr>
        <w:t xml:space="preserve"> (India’s MMR for 2011−2013 was 167 per 100,000).</w:t>
      </w:r>
    </w:p>
  </w:footnote>
  <w:footnote w:id="2">
    <w:p w14:paraId="3ABB06FD" w14:textId="6B627DA4" w:rsidR="00DD6BA6" w:rsidRPr="008F5BF0" w:rsidRDefault="00DD6BA6" w:rsidP="008738D8">
      <w:pPr>
        <w:rPr>
          <w:sz w:val="20"/>
          <w:szCs w:val="20"/>
        </w:rPr>
      </w:pPr>
      <w:r w:rsidRPr="008F5BF0">
        <w:rPr>
          <w:rStyle w:val="FootnoteReference"/>
          <w:sz w:val="20"/>
          <w:szCs w:val="20"/>
        </w:rPr>
        <w:footnoteRef/>
      </w:r>
      <w:r w:rsidRPr="008F5BF0">
        <w:rPr>
          <w:sz w:val="20"/>
          <w:szCs w:val="20"/>
        </w:rPr>
        <w:t xml:space="preserve"> WHO et al, </w:t>
      </w:r>
      <w:r w:rsidRPr="008F5BF0">
        <w:rPr>
          <w:i/>
          <w:sz w:val="20"/>
          <w:szCs w:val="20"/>
        </w:rPr>
        <w:t xml:space="preserve">Trends in Maternal Mortality: 1990 to 2015 </w:t>
      </w:r>
      <w:r w:rsidRPr="008F5BF0">
        <w:rPr>
          <w:sz w:val="20"/>
          <w:szCs w:val="20"/>
        </w:rPr>
        <w:t>(2015) xi.</w:t>
      </w:r>
    </w:p>
  </w:footnote>
  <w:footnote w:id="3">
    <w:p w14:paraId="3407E95C" w14:textId="0F5FC36B" w:rsidR="00DD6BA6" w:rsidRPr="008F5BF0" w:rsidRDefault="00DD6BA6" w:rsidP="008738D8">
      <w:pPr>
        <w:rPr>
          <w:rFonts w:eastAsia="Times New Roman" w:cs="Times New Roman"/>
          <w:sz w:val="20"/>
          <w:szCs w:val="20"/>
        </w:rPr>
      </w:pPr>
      <w:r w:rsidRPr="008F5BF0">
        <w:rPr>
          <w:rStyle w:val="FootnoteReference"/>
          <w:sz w:val="20"/>
          <w:szCs w:val="20"/>
        </w:rPr>
        <w:footnoteRef/>
      </w:r>
      <w:r w:rsidRPr="008F5BF0">
        <w:rPr>
          <w:sz w:val="20"/>
          <w:szCs w:val="20"/>
        </w:rPr>
        <w:t xml:space="preserve"> Melissa Stillman et al, Guttamcher Inst., </w:t>
      </w:r>
      <w:r w:rsidRPr="008F5BF0">
        <w:rPr>
          <w:i/>
          <w:sz w:val="20"/>
          <w:szCs w:val="20"/>
        </w:rPr>
        <w:t xml:space="preserve">Abortion in India: A Literature Review </w:t>
      </w:r>
      <w:r w:rsidRPr="008F5BF0">
        <w:rPr>
          <w:sz w:val="20"/>
          <w:szCs w:val="20"/>
        </w:rPr>
        <w:t xml:space="preserve">(2014) 14. </w:t>
      </w:r>
    </w:p>
  </w:footnote>
  <w:footnote w:id="4">
    <w:p w14:paraId="2E9032E8" w14:textId="36B9B4A3" w:rsidR="00DD6BA6" w:rsidRPr="008F5BF0" w:rsidRDefault="00DD6BA6" w:rsidP="008738D8">
      <w:pPr>
        <w:rPr>
          <w:rFonts w:eastAsia="Times New Roman" w:cs="Times New Roman"/>
          <w:color w:val="000000"/>
          <w:sz w:val="20"/>
          <w:szCs w:val="20"/>
        </w:rPr>
      </w:pPr>
      <w:r w:rsidRPr="008F5BF0">
        <w:rPr>
          <w:rStyle w:val="FootnoteReference"/>
          <w:sz w:val="20"/>
          <w:szCs w:val="20"/>
        </w:rPr>
        <w:footnoteRef/>
      </w:r>
      <w:r w:rsidRPr="008F5BF0">
        <w:rPr>
          <w:sz w:val="20"/>
          <w:szCs w:val="20"/>
        </w:rPr>
        <w:t xml:space="preserve"> Meena Menon, </w:t>
      </w:r>
      <w:r w:rsidRPr="008F5BF0">
        <w:rPr>
          <w:rFonts w:eastAsia="Times New Roman" w:cs="Times New Roman"/>
          <w:i/>
          <w:color w:val="000000"/>
          <w:sz w:val="20"/>
          <w:szCs w:val="20"/>
        </w:rPr>
        <w:t>‘</w:t>
      </w:r>
      <w:r w:rsidRPr="008F5BF0">
        <w:rPr>
          <w:rFonts w:eastAsia="Times New Roman" w:cs="Times New Roman"/>
          <w:color w:val="000000"/>
          <w:sz w:val="20"/>
          <w:szCs w:val="20"/>
        </w:rPr>
        <w:t xml:space="preserve">Unsafe Abortions Killing A Woman Every Two Hours’, </w:t>
      </w:r>
      <w:r w:rsidRPr="008F5BF0">
        <w:rPr>
          <w:rFonts w:eastAsia="Times New Roman" w:cs="Times New Roman"/>
          <w:i/>
          <w:color w:val="000000"/>
          <w:sz w:val="20"/>
          <w:szCs w:val="20"/>
        </w:rPr>
        <w:t xml:space="preserve">The Hindu </w:t>
      </w:r>
      <w:r w:rsidRPr="008F5BF0">
        <w:rPr>
          <w:rFonts w:eastAsia="Times New Roman" w:cs="Times New Roman"/>
          <w:color w:val="000000"/>
          <w:sz w:val="20"/>
          <w:szCs w:val="20"/>
        </w:rPr>
        <w:t xml:space="preserve">(6 May, 2013), </w:t>
      </w:r>
      <w:r w:rsidRPr="008F5BF0">
        <w:rPr>
          <w:rFonts w:eastAsia="Times New Roman" w:cs="Times New Roman"/>
          <w:b/>
          <w:color w:val="000000"/>
          <w:sz w:val="20"/>
          <w:szCs w:val="20"/>
        </w:rPr>
        <w:t>www.thehindu.com/news/national/unsafe-abortions-killing-a-woman-every-two-hours/article4686897.ece.</w:t>
      </w:r>
    </w:p>
  </w:footnote>
  <w:footnote w:id="5">
    <w:p w14:paraId="6CFDC8DE" w14:textId="3AB7187F" w:rsidR="00DD6BA6" w:rsidRPr="008F5BF0" w:rsidRDefault="00DD6BA6" w:rsidP="008F5BF0">
      <w:pPr>
        <w:rPr>
          <w:sz w:val="20"/>
          <w:szCs w:val="20"/>
        </w:rPr>
      </w:pPr>
      <w:r w:rsidRPr="008F5BF0">
        <w:rPr>
          <w:rStyle w:val="FootnoteReference"/>
          <w:sz w:val="20"/>
          <w:szCs w:val="20"/>
        </w:rPr>
        <w:footnoteRef/>
      </w:r>
      <w:r w:rsidRPr="008F5BF0">
        <w:rPr>
          <w:sz w:val="20"/>
          <w:szCs w:val="20"/>
        </w:rPr>
        <w:t xml:space="preserve"> </w:t>
      </w:r>
      <w:r w:rsidRPr="008F5BF0">
        <w:rPr>
          <w:i/>
          <w:sz w:val="20"/>
          <w:szCs w:val="20"/>
        </w:rPr>
        <w:t>Ms X v Union of India</w:t>
      </w:r>
      <w:r w:rsidRPr="008F5BF0">
        <w:rPr>
          <w:sz w:val="20"/>
          <w:szCs w:val="20"/>
        </w:rPr>
        <w:t xml:space="preserve"> WP(C)593 of 2016 (Supreme Court of India); </w:t>
      </w:r>
      <w:r w:rsidRPr="008F5BF0">
        <w:rPr>
          <w:i/>
          <w:sz w:val="20"/>
          <w:szCs w:val="20"/>
        </w:rPr>
        <w:t xml:space="preserve">Mamta Verma v Union of India </w:t>
      </w:r>
      <w:r w:rsidRPr="008F5BF0">
        <w:rPr>
          <w:sz w:val="20"/>
          <w:szCs w:val="20"/>
        </w:rPr>
        <w:t>Writ Petition(C) 2250 of 2017 (Supreme Court of India).</w:t>
      </w:r>
    </w:p>
  </w:footnote>
  <w:footnote w:id="6">
    <w:p w14:paraId="4F1F770D" w14:textId="77777777" w:rsidR="003310F9" w:rsidRPr="008F5BF0" w:rsidRDefault="003310F9" w:rsidP="008F5BF0">
      <w:pPr>
        <w:pStyle w:val="FootnoteText"/>
      </w:pPr>
      <w:r w:rsidRPr="008F5BF0">
        <w:rPr>
          <w:rStyle w:val="FootnoteReference"/>
        </w:rPr>
        <w:footnoteRef/>
      </w:r>
      <w:r w:rsidRPr="008F5BF0">
        <w:t xml:space="preserve"> Aruna Kashyap and Pratibha Menon, ‘Demystifying the Best Interests Principle in India’ (CRY, 2007) </w:t>
      </w:r>
      <w:hyperlink r:id="rId1" w:history="1">
        <w:r w:rsidRPr="008F5BF0">
          <w:rPr>
            <w:rStyle w:val="Hyperlink"/>
            <w:b/>
          </w:rPr>
          <w:t>www.cry.org/resources/pdf/NCRRF/Aruna_&amp;_Pratibha_2007_Report.pdf</w:t>
        </w:r>
      </w:hyperlink>
      <w:r w:rsidRPr="008F5BF0">
        <w:t xml:space="preserve">. </w:t>
      </w:r>
    </w:p>
  </w:footnote>
  <w:footnote w:id="7">
    <w:p w14:paraId="264BBDBD" w14:textId="0FE6177E" w:rsidR="009A7B41" w:rsidRPr="008F5BF0" w:rsidRDefault="009A7B41" w:rsidP="008F5BF0">
      <w:pPr>
        <w:pStyle w:val="FootnoteText"/>
      </w:pPr>
      <w:r w:rsidRPr="008F5BF0">
        <w:rPr>
          <w:rStyle w:val="FootnoteReference"/>
        </w:rPr>
        <w:footnoteRef/>
      </w:r>
      <w:r w:rsidRPr="008F5BF0">
        <w:t xml:space="preserve"> Supreme Court of India, Suchitra Srivastava &amp; Another v. Chandigarh Administration, 28 August 2009, SLP(C) 5845/2009</w:t>
      </w:r>
    </w:p>
  </w:footnote>
  <w:footnote w:id="8">
    <w:p w14:paraId="5EDD6978" w14:textId="77777777" w:rsidR="00DD6BA6" w:rsidRPr="008F5BF0" w:rsidRDefault="00DD6BA6" w:rsidP="008F5BF0">
      <w:pPr>
        <w:pStyle w:val="FootnoteText"/>
      </w:pPr>
      <w:r w:rsidRPr="008F5BF0">
        <w:rPr>
          <w:rStyle w:val="FootnoteReference"/>
        </w:rPr>
        <w:footnoteRef/>
      </w:r>
      <w:r w:rsidRPr="008F5BF0">
        <w:t xml:space="preserve"> POCSO Act, s 2(1)(d).</w:t>
      </w:r>
    </w:p>
  </w:footnote>
  <w:footnote w:id="9">
    <w:p w14:paraId="6F2414E1" w14:textId="77777777" w:rsidR="00DD6BA6" w:rsidRPr="008F5BF0" w:rsidRDefault="00DD6BA6" w:rsidP="008F5BF0">
      <w:pPr>
        <w:rPr>
          <w:sz w:val="20"/>
          <w:szCs w:val="20"/>
        </w:rPr>
      </w:pPr>
      <w:r w:rsidRPr="008F5BF0">
        <w:rPr>
          <w:rStyle w:val="FootnoteReference"/>
          <w:sz w:val="20"/>
          <w:szCs w:val="20"/>
        </w:rPr>
        <w:footnoteRef/>
      </w:r>
      <w:r w:rsidRPr="008F5BF0">
        <w:rPr>
          <w:sz w:val="20"/>
          <w:szCs w:val="20"/>
        </w:rPr>
        <w:t xml:space="preserve"> The concept of ‘evolving capacities,’ recognised under Article 5 of the United Nations Convention on the Rights of the Child, suggests that children’s competencies grow with age, which allows them to take greater responsibility for actions affecting their lives. </w:t>
      </w:r>
    </w:p>
  </w:footnote>
  <w:footnote w:id="10">
    <w:p w14:paraId="5641F858" w14:textId="77777777" w:rsidR="00DD6BA6" w:rsidRPr="008F5BF0" w:rsidRDefault="00DD6BA6" w:rsidP="008F5BF0">
      <w:pPr>
        <w:rPr>
          <w:sz w:val="20"/>
          <w:szCs w:val="20"/>
        </w:rPr>
      </w:pPr>
      <w:r w:rsidRPr="008F5BF0">
        <w:rPr>
          <w:rStyle w:val="FootnoteReference"/>
          <w:sz w:val="20"/>
          <w:szCs w:val="20"/>
        </w:rPr>
        <w:footnoteRef/>
      </w:r>
      <w:r w:rsidRPr="008F5BF0">
        <w:rPr>
          <w:sz w:val="20"/>
          <w:szCs w:val="20"/>
        </w:rPr>
        <w:t xml:space="preserve"> IPC, s 375. </w:t>
      </w:r>
    </w:p>
  </w:footnote>
  <w:footnote w:id="11">
    <w:p w14:paraId="3BE12481" w14:textId="77777777" w:rsidR="00DD6BA6" w:rsidRPr="008F5BF0" w:rsidRDefault="00DD6BA6" w:rsidP="008F5BF0">
      <w:pPr>
        <w:rPr>
          <w:sz w:val="20"/>
          <w:szCs w:val="20"/>
        </w:rPr>
      </w:pPr>
      <w:r w:rsidRPr="008F5BF0">
        <w:rPr>
          <w:rStyle w:val="FootnoteReference"/>
          <w:sz w:val="20"/>
          <w:szCs w:val="20"/>
        </w:rPr>
        <w:footnoteRef/>
      </w:r>
      <w:r w:rsidRPr="008F5BF0">
        <w:rPr>
          <w:sz w:val="20"/>
          <w:szCs w:val="20"/>
        </w:rPr>
        <w:t xml:space="preserve"> Juvenile Justice (Care and Protection of Children) Act, 2015, s 2(14)(viii).</w:t>
      </w:r>
    </w:p>
  </w:footnote>
  <w:footnote w:id="12">
    <w:p w14:paraId="7EB6B31E" w14:textId="1D339BED" w:rsidR="00DD6BA6" w:rsidRPr="008F5BF0" w:rsidRDefault="00DD6BA6" w:rsidP="003747A7">
      <w:pPr>
        <w:rPr>
          <w:sz w:val="20"/>
          <w:szCs w:val="20"/>
        </w:rPr>
      </w:pPr>
      <w:r w:rsidRPr="008F5BF0">
        <w:rPr>
          <w:rStyle w:val="FootnoteReference"/>
          <w:sz w:val="20"/>
          <w:szCs w:val="20"/>
        </w:rPr>
        <w:footnoteRef/>
      </w:r>
      <w:r w:rsidRPr="008F5BF0">
        <w:rPr>
          <w:sz w:val="20"/>
          <w:szCs w:val="20"/>
        </w:rPr>
        <w:t xml:space="preserve"> MTP Regulations, 2003, s 5(1).</w:t>
      </w:r>
    </w:p>
  </w:footnote>
  <w:footnote w:id="13">
    <w:p w14:paraId="42027E3C" w14:textId="52B2C552" w:rsidR="00DD6BA6" w:rsidRPr="008F5BF0" w:rsidRDefault="00DD6BA6" w:rsidP="003747A7">
      <w:pPr>
        <w:rPr>
          <w:sz w:val="20"/>
          <w:szCs w:val="20"/>
        </w:rPr>
      </w:pPr>
      <w:r w:rsidRPr="008F5BF0">
        <w:rPr>
          <w:rStyle w:val="FootnoteReference"/>
          <w:sz w:val="20"/>
          <w:szCs w:val="20"/>
        </w:rPr>
        <w:footnoteRef/>
      </w:r>
      <w:r w:rsidRPr="008F5BF0">
        <w:rPr>
          <w:sz w:val="20"/>
          <w:szCs w:val="20"/>
        </w:rPr>
        <w:t xml:space="preserve"> </w:t>
      </w:r>
      <w:r w:rsidRPr="008F5BF0">
        <w:rPr>
          <w:i/>
          <w:sz w:val="20"/>
          <w:szCs w:val="20"/>
        </w:rPr>
        <w:t xml:space="preserve">Ibid </w:t>
      </w:r>
      <w:r w:rsidRPr="008F5BF0">
        <w:rPr>
          <w:sz w:val="20"/>
          <w:szCs w:val="20"/>
        </w:rPr>
        <w:t>at  ss 5(3), 6.</w:t>
      </w:r>
    </w:p>
  </w:footnote>
  <w:footnote w:id="14">
    <w:p w14:paraId="74B192D8" w14:textId="2F48B2C2" w:rsidR="00DD6BA6" w:rsidRPr="008F5BF0" w:rsidRDefault="00DD6BA6" w:rsidP="003747A7">
      <w:pPr>
        <w:rPr>
          <w:sz w:val="20"/>
          <w:szCs w:val="20"/>
        </w:rPr>
      </w:pPr>
      <w:r w:rsidRPr="008F5BF0">
        <w:rPr>
          <w:rStyle w:val="FootnoteReference"/>
          <w:sz w:val="20"/>
          <w:szCs w:val="20"/>
        </w:rPr>
        <w:footnoteRef/>
      </w:r>
      <w:r w:rsidRPr="008F5BF0">
        <w:rPr>
          <w:sz w:val="20"/>
          <w:szCs w:val="20"/>
        </w:rPr>
        <w:t xml:space="preserve"> POCSO Act s 19(1), (6) r/w s 21.</w:t>
      </w:r>
      <w:r w:rsidRPr="008F5BF0">
        <w:rPr>
          <w:sz w:val="20"/>
          <w:szCs w:val="20"/>
        </w:rPr>
        <w:tab/>
      </w:r>
    </w:p>
  </w:footnote>
  <w:footnote w:id="15">
    <w:p w14:paraId="5B5B5A82" w14:textId="4783E504" w:rsidR="00DD6BA6" w:rsidRPr="008F5BF0" w:rsidRDefault="00DD6BA6" w:rsidP="003747A7">
      <w:pPr>
        <w:rPr>
          <w:sz w:val="20"/>
          <w:szCs w:val="20"/>
        </w:rPr>
      </w:pPr>
      <w:r w:rsidRPr="008F5BF0">
        <w:rPr>
          <w:rStyle w:val="FootnoteReference"/>
          <w:sz w:val="20"/>
          <w:szCs w:val="20"/>
        </w:rPr>
        <w:footnoteRef/>
      </w:r>
      <w:r w:rsidRPr="008F5BF0">
        <w:rPr>
          <w:sz w:val="20"/>
          <w:szCs w:val="20"/>
        </w:rPr>
        <w:t xml:space="preserve"> </w:t>
      </w:r>
      <w:r w:rsidRPr="008F5BF0">
        <w:rPr>
          <w:i/>
          <w:sz w:val="20"/>
          <w:szCs w:val="20"/>
        </w:rPr>
        <w:t xml:space="preserve">Ibid </w:t>
      </w:r>
      <w:r w:rsidRPr="008F5BF0">
        <w:rPr>
          <w:sz w:val="20"/>
          <w:szCs w:val="20"/>
        </w:rPr>
        <w:t>at ss 2(d), 3(a).</w:t>
      </w:r>
      <w:r w:rsidRPr="008F5BF0">
        <w:rPr>
          <w:sz w:val="20"/>
          <w:szCs w:val="20"/>
        </w:rPr>
        <w:tab/>
      </w:r>
    </w:p>
  </w:footnote>
  <w:footnote w:id="16">
    <w:p w14:paraId="5AAC18BF" w14:textId="524784EA" w:rsidR="00DD6BA6" w:rsidRPr="008F5BF0" w:rsidRDefault="00DD6BA6" w:rsidP="003747A7">
      <w:pPr>
        <w:rPr>
          <w:sz w:val="20"/>
          <w:szCs w:val="20"/>
        </w:rPr>
      </w:pPr>
      <w:r w:rsidRPr="008F5BF0">
        <w:rPr>
          <w:rStyle w:val="FootnoteReference"/>
          <w:sz w:val="20"/>
          <w:szCs w:val="20"/>
        </w:rPr>
        <w:footnoteRef/>
      </w:r>
      <w:r w:rsidRPr="008F5BF0">
        <w:rPr>
          <w:sz w:val="20"/>
          <w:szCs w:val="20"/>
        </w:rPr>
        <w:t xml:space="preserve"> </w:t>
      </w:r>
      <w:r w:rsidRPr="008F5BF0">
        <w:rPr>
          <w:i/>
          <w:sz w:val="20"/>
          <w:szCs w:val="20"/>
        </w:rPr>
        <w:t xml:space="preserve">Ibid </w:t>
      </w:r>
      <w:r w:rsidRPr="008F5BF0">
        <w:rPr>
          <w:sz w:val="20"/>
          <w:szCs w:val="20"/>
        </w:rPr>
        <w:t>at ss 19(1), 21(1).</w:t>
      </w:r>
    </w:p>
  </w:footnote>
  <w:footnote w:id="17">
    <w:p w14:paraId="173E4A54" w14:textId="6F9CCA88" w:rsidR="00DD6BA6" w:rsidRPr="008F5BF0" w:rsidRDefault="00DD6BA6" w:rsidP="008F5BF0">
      <w:pPr>
        <w:rPr>
          <w:sz w:val="20"/>
          <w:szCs w:val="20"/>
        </w:rPr>
      </w:pPr>
      <w:r w:rsidRPr="008F5BF0">
        <w:rPr>
          <w:rStyle w:val="FootnoteReference"/>
          <w:sz w:val="20"/>
          <w:szCs w:val="20"/>
        </w:rPr>
        <w:footnoteRef/>
      </w:r>
      <w:r w:rsidRPr="008F5BF0">
        <w:rPr>
          <w:sz w:val="20"/>
          <w:szCs w:val="20"/>
        </w:rPr>
        <w:t xml:space="preserve"> Code of Criminal Procedure, s 357C (as amended 2013); IPC, s 376.</w:t>
      </w:r>
    </w:p>
  </w:footnote>
  <w:footnote w:id="18">
    <w:p w14:paraId="4BB6446B" w14:textId="6D12C4CE" w:rsidR="00DD6BA6" w:rsidRPr="008F5BF0" w:rsidRDefault="00DD6BA6" w:rsidP="008F5BF0">
      <w:pPr>
        <w:rPr>
          <w:sz w:val="20"/>
          <w:szCs w:val="20"/>
        </w:rPr>
      </w:pPr>
      <w:r w:rsidRPr="008F5BF0">
        <w:rPr>
          <w:rStyle w:val="FootnoteReference"/>
          <w:sz w:val="20"/>
          <w:szCs w:val="20"/>
        </w:rPr>
        <w:footnoteRef/>
      </w:r>
      <w:r w:rsidRPr="008F5BF0">
        <w:rPr>
          <w:sz w:val="20"/>
          <w:szCs w:val="20"/>
        </w:rPr>
        <w:t xml:space="preserve"> IPC, s 375.</w:t>
      </w:r>
    </w:p>
  </w:footnote>
  <w:footnote w:id="19">
    <w:p w14:paraId="2A6B96C9" w14:textId="0415075A" w:rsidR="00DD6BA6" w:rsidRPr="008F5BF0" w:rsidRDefault="00DD6BA6" w:rsidP="008F5BF0">
      <w:pPr>
        <w:rPr>
          <w:sz w:val="20"/>
          <w:szCs w:val="20"/>
        </w:rPr>
      </w:pPr>
      <w:r w:rsidRPr="008F5BF0">
        <w:rPr>
          <w:rStyle w:val="FootnoteReference"/>
          <w:sz w:val="20"/>
          <w:szCs w:val="20"/>
        </w:rPr>
        <w:footnoteRef/>
      </w:r>
      <w:r w:rsidRPr="008F5BF0">
        <w:rPr>
          <w:sz w:val="20"/>
          <w:szCs w:val="20"/>
        </w:rPr>
        <w:t xml:space="preserve"> </w:t>
      </w:r>
      <w:r w:rsidRPr="008F5BF0">
        <w:rPr>
          <w:i/>
          <w:sz w:val="20"/>
          <w:szCs w:val="20"/>
        </w:rPr>
        <w:t xml:space="preserve"> Ibid </w:t>
      </w:r>
      <w:r w:rsidRPr="008F5BF0">
        <w:rPr>
          <w:sz w:val="20"/>
          <w:szCs w:val="20"/>
        </w:rPr>
        <w:t>at s 166B (as amended 2013).</w:t>
      </w:r>
    </w:p>
  </w:footnote>
  <w:footnote w:id="20">
    <w:p w14:paraId="2A298DD5" w14:textId="77777777" w:rsidR="00DD6BA6" w:rsidRPr="008F5BF0" w:rsidRDefault="00DD6BA6" w:rsidP="008F5BF0">
      <w:pPr>
        <w:rPr>
          <w:sz w:val="20"/>
          <w:szCs w:val="20"/>
        </w:rPr>
      </w:pPr>
      <w:r w:rsidRPr="008F5BF0">
        <w:rPr>
          <w:rStyle w:val="FootnoteReference"/>
          <w:sz w:val="20"/>
          <w:szCs w:val="20"/>
        </w:rPr>
        <w:footnoteRef/>
      </w:r>
      <w:r w:rsidRPr="008F5BF0">
        <w:rPr>
          <w:sz w:val="20"/>
          <w:szCs w:val="20"/>
        </w:rPr>
        <w:t xml:space="preserve"> MTP Act, s 3(1) (“Notwithstanding anything contained in the Indian Penal Code (45 of 1860), a registered medical practitioner shall not be guilty of any offence under that Code or under any other law for the time being in force, if any pregnancy is terminated by him in accordance with the provisions of this Act.”).</w:t>
      </w:r>
    </w:p>
  </w:footnote>
  <w:footnote w:id="21">
    <w:p w14:paraId="1732FC59" w14:textId="4D228CA0" w:rsidR="00DD6BA6" w:rsidRPr="008F5BF0" w:rsidRDefault="00DD6BA6" w:rsidP="008F5BF0">
      <w:pPr>
        <w:rPr>
          <w:sz w:val="20"/>
          <w:szCs w:val="20"/>
        </w:rPr>
      </w:pPr>
      <w:r w:rsidRPr="008F5BF0">
        <w:rPr>
          <w:rStyle w:val="FootnoteReference"/>
          <w:sz w:val="20"/>
          <w:szCs w:val="20"/>
        </w:rPr>
        <w:footnoteRef/>
      </w:r>
      <w:r w:rsidRPr="008F5BF0">
        <w:rPr>
          <w:sz w:val="20"/>
          <w:szCs w:val="20"/>
        </w:rPr>
        <w:t xml:space="preserve"> </w:t>
      </w:r>
      <w:r w:rsidRPr="008F5BF0">
        <w:rPr>
          <w:i/>
          <w:sz w:val="20"/>
          <w:szCs w:val="20"/>
        </w:rPr>
        <w:t>Samira Kohli v. Prabha Manchanda</w:t>
      </w:r>
      <w:r w:rsidRPr="008F5BF0">
        <w:rPr>
          <w:sz w:val="20"/>
          <w:szCs w:val="20"/>
        </w:rPr>
        <w:t xml:space="preserve">, Appeal (C) 1949 of 2004 (Supreme Court of India) (2008) </w:t>
      </w:r>
    </w:p>
  </w:footnote>
  <w:footnote w:id="22">
    <w:p w14:paraId="1A079F40" w14:textId="77777777" w:rsidR="00DD6BA6" w:rsidRPr="008F5BF0" w:rsidRDefault="00DD6BA6" w:rsidP="008F5BF0">
      <w:pPr>
        <w:rPr>
          <w:sz w:val="20"/>
          <w:szCs w:val="20"/>
        </w:rPr>
      </w:pPr>
      <w:r w:rsidRPr="008F5BF0">
        <w:rPr>
          <w:rStyle w:val="FootnoteReference"/>
          <w:sz w:val="20"/>
          <w:szCs w:val="20"/>
        </w:rPr>
        <w:footnoteRef/>
      </w:r>
      <w:r w:rsidRPr="008F5BF0">
        <w:rPr>
          <w:sz w:val="20"/>
          <w:szCs w:val="20"/>
        </w:rPr>
        <w:t xml:space="preserve"> MTP Act, s 3(4)(a). The term ‘guardian’ is not defined in the POCSO Act. A minor seeking an abortion is considered a child in need of care and protection under the Juvenile Justice Act. As per this Act, a ‘guardian’ includes the natural guardian of the child, as well as any person who has the actual charge of the child. One may look to the personal laws to determine who a child’s natural guardian is – mother, father, or husband, in most cases. In the ordinary course of things, a shelter home may not be said to be the guardian of the child unless it has the physical charge of the child, and the child is unwanted within the definition of the Act. </w:t>
      </w:r>
    </w:p>
  </w:footnote>
  <w:footnote w:id="23">
    <w:p w14:paraId="5BAD52BF" w14:textId="77777777" w:rsidR="00DD6BA6" w:rsidRPr="008F5BF0" w:rsidRDefault="00DD6BA6" w:rsidP="008F5BF0">
      <w:pPr>
        <w:rPr>
          <w:sz w:val="20"/>
          <w:szCs w:val="20"/>
        </w:rPr>
      </w:pPr>
      <w:r w:rsidRPr="008F5BF0">
        <w:rPr>
          <w:rStyle w:val="FootnoteReference"/>
          <w:sz w:val="20"/>
          <w:szCs w:val="20"/>
        </w:rPr>
        <w:footnoteRef/>
      </w:r>
      <w:r w:rsidRPr="008F5BF0">
        <w:rPr>
          <w:sz w:val="20"/>
          <w:szCs w:val="20"/>
        </w:rPr>
        <w:t xml:space="preserve"> IPC, s 375(b) (as amended 2013).</w:t>
      </w:r>
    </w:p>
  </w:footnote>
  <w:footnote w:id="24">
    <w:p w14:paraId="234C4327" w14:textId="77777777" w:rsidR="00DD6BA6" w:rsidRPr="008F5BF0" w:rsidRDefault="00DD6BA6" w:rsidP="008F5BF0">
      <w:pPr>
        <w:rPr>
          <w:sz w:val="20"/>
          <w:szCs w:val="20"/>
        </w:rPr>
      </w:pPr>
      <w:r w:rsidRPr="008F5BF0">
        <w:rPr>
          <w:rStyle w:val="FootnoteReference"/>
          <w:sz w:val="20"/>
          <w:szCs w:val="20"/>
        </w:rPr>
        <w:footnoteRef/>
      </w:r>
      <w:r w:rsidRPr="008F5BF0">
        <w:rPr>
          <w:sz w:val="20"/>
          <w:szCs w:val="20"/>
        </w:rPr>
        <w:t xml:space="preserve"> </w:t>
      </w:r>
      <w:r w:rsidRPr="008F5BF0">
        <w:rPr>
          <w:i/>
          <w:sz w:val="20"/>
          <w:szCs w:val="20"/>
        </w:rPr>
        <w:t xml:space="preserve">Ibid </w:t>
      </w:r>
      <w:r w:rsidRPr="008F5BF0">
        <w:rPr>
          <w:sz w:val="20"/>
          <w:szCs w:val="20"/>
        </w:rPr>
        <w:t>at s 375 (as amended 2013).</w:t>
      </w:r>
    </w:p>
  </w:footnote>
  <w:footnote w:id="25">
    <w:p w14:paraId="3FB8F9DF" w14:textId="77777777" w:rsidR="00DD6BA6" w:rsidRPr="008F5BF0" w:rsidRDefault="00DD6BA6" w:rsidP="008F5BF0">
      <w:pPr>
        <w:rPr>
          <w:sz w:val="20"/>
          <w:szCs w:val="20"/>
        </w:rPr>
      </w:pPr>
      <w:r w:rsidRPr="008F5BF0">
        <w:rPr>
          <w:rStyle w:val="FootnoteReference"/>
          <w:sz w:val="20"/>
          <w:szCs w:val="20"/>
        </w:rPr>
        <w:footnoteRef/>
      </w:r>
      <w:r w:rsidRPr="008F5BF0">
        <w:rPr>
          <w:sz w:val="20"/>
          <w:szCs w:val="20"/>
        </w:rPr>
        <w:t xml:space="preserve"> Ministry of Health and Family Welfare, ‘Guidelines &amp; Protocols: Medico-Legal Care for Survivors/Victims of Sexual Violence’ (MHFW)  </w:t>
      </w:r>
      <w:r w:rsidRPr="008F5BF0">
        <w:rPr>
          <w:b/>
          <w:sz w:val="20"/>
          <w:szCs w:val="20"/>
        </w:rPr>
        <w:t>https://mohfw.gov.in/sites/default/files/953522324.pdf</w:t>
      </w:r>
      <w:r w:rsidRPr="008F5BF0">
        <w:rPr>
          <w:sz w:val="20"/>
          <w:szCs w:val="20"/>
        </w:rPr>
        <w:t>; POCSO Rules, Ru 5(4)(iv).</w:t>
      </w:r>
    </w:p>
  </w:footnote>
  <w:footnote w:id="26">
    <w:p w14:paraId="0B5FAD4D" w14:textId="68A18A95" w:rsidR="009F158D" w:rsidRPr="008F5BF0" w:rsidRDefault="009F158D" w:rsidP="008F5BF0">
      <w:pPr>
        <w:pStyle w:val="FootnoteText"/>
      </w:pPr>
      <w:r w:rsidRPr="008F5BF0">
        <w:rPr>
          <w:rStyle w:val="FootnoteReference"/>
        </w:rPr>
        <w:footnoteRef/>
      </w:r>
      <w:r w:rsidRPr="008F5BF0">
        <w:t xml:space="preserve"> High Court of Madhya Pradesh (Indore Bench), Halo Bi v. State of Madhya Pradesh &amp;Ors.,16 January 2013, WP(C) 7032/2012. </w:t>
      </w:r>
    </w:p>
  </w:footnote>
  <w:footnote w:id="27">
    <w:p w14:paraId="3D4FE81A" w14:textId="5D72DE0B" w:rsidR="007B7A12" w:rsidRPr="008F5BF0" w:rsidRDefault="007B7A12" w:rsidP="008F5BF0">
      <w:pPr>
        <w:pStyle w:val="FootnoteText"/>
      </w:pPr>
      <w:r w:rsidRPr="008F5BF0">
        <w:rPr>
          <w:rStyle w:val="FootnoteReference"/>
        </w:rPr>
        <w:footnoteRef/>
      </w:r>
      <w:r w:rsidRPr="008F5BF0">
        <w:t xml:space="preserve"> Supreme Court of India, Smt. Vinitha Ashok v. Lakshmi Hospital &amp; Others, 25 September 2001 (Appeal (C) 2977/1992)</w:t>
      </w:r>
    </w:p>
  </w:footnote>
  <w:footnote w:id="28">
    <w:p w14:paraId="1D017C17" w14:textId="01F5FF3B" w:rsidR="00DD6BA6" w:rsidRPr="008F5BF0" w:rsidRDefault="00DD6BA6" w:rsidP="008F5BF0">
      <w:pPr>
        <w:rPr>
          <w:rFonts w:eastAsia="Times New Roman" w:cs="Times New Roman"/>
          <w:sz w:val="20"/>
          <w:szCs w:val="20"/>
        </w:rPr>
      </w:pPr>
      <w:r w:rsidRPr="008F5BF0">
        <w:rPr>
          <w:rStyle w:val="FootnoteReference"/>
          <w:sz w:val="20"/>
          <w:szCs w:val="20"/>
        </w:rPr>
        <w:footnoteRef/>
      </w:r>
      <w:r w:rsidRPr="008F5BF0">
        <w:rPr>
          <w:sz w:val="20"/>
          <w:szCs w:val="20"/>
        </w:rPr>
        <w:t xml:space="preserve"> R Kumar and Meenal Kumar, </w:t>
      </w:r>
      <w:r w:rsidRPr="008F5BF0">
        <w:rPr>
          <w:i/>
          <w:sz w:val="20"/>
          <w:szCs w:val="20"/>
        </w:rPr>
        <w:t xml:space="preserve">Teenage Girls Health Development: Nutrition, Mental and Physical Growth </w:t>
      </w:r>
      <w:r w:rsidRPr="008F5BF0">
        <w:rPr>
          <w:sz w:val="20"/>
          <w:szCs w:val="20"/>
        </w:rPr>
        <w:t xml:space="preserve">(2009) 89; </w:t>
      </w:r>
      <w:r w:rsidRPr="008F5BF0">
        <w:rPr>
          <w:rFonts w:eastAsia="Times New Roman" w:cs="Times New Roman"/>
          <w:sz w:val="20"/>
          <w:szCs w:val="20"/>
        </w:rPr>
        <w:t xml:space="preserve">MK Gupta, CP Mishra and Chandra Prabha, ‘Perception Regarding Sexuality among Adolescent Girls: A Community Based Study from Rural India’ (2013) 44 Indian J Preventive &amp; Soc Med 64. </w:t>
      </w:r>
    </w:p>
  </w:footnote>
  <w:footnote w:id="29">
    <w:p w14:paraId="5D023773" w14:textId="554D2F08" w:rsidR="00DD6BA6" w:rsidRPr="008F5BF0" w:rsidRDefault="00DD6BA6" w:rsidP="008F5BF0">
      <w:pPr>
        <w:rPr>
          <w:i/>
          <w:sz w:val="20"/>
          <w:szCs w:val="20"/>
        </w:rPr>
      </w:pPr>
      <w:r w:rsidRPr="008F5BF0">
        <w:rPr>
          <w:rStyle w:val="FootnoteReference"/>
          <w:sz w:val="20"/>
          <w:szCs w:val="20"/>
        </w:rPr>
        <w:footnoteRef/>
      </w:r>
      <w:r w:rsidRPr="008F5BF0">
        <w:rPr>
          <w:sz w:val="20"/>
          <w:szCs w:val="20"/>
        </w:rPr>
        <w:t xml:space="preserve"> </w:t>
      </w:r>
      <w:r w:rsidRPr="008F5BF0">
        <w:rPr>
          <w:i/>
          <w:sz w:val="20"/>
          <w:szCs w:val="20"/>
        </w:rPr>
        <w:t>Justice Puttuswamy v. Union of India</w:t>
      </w:r>
      <w:r w:rsidRPr="008F5BF0">
        <w:rPr>
          <w:sz w:val="20"/>
          <w:szCs w:val="20"/>
        </w:rPr>
        <w:t xml:space="preserve">, Writ Petition (Civil) NO 494 OF 2012 (2017), </w:t>
      </w:r>
      <w:r w:rsidRPr="008F5BF0">
        <w:rPr>
          <w:b/>
          <w:sz w:val="20"/>
          <w:szCs w:val="20"/>
        </w:rPr>
        <w:t>http://supremecourtofindia.nic.in/pdf/jud/ALL%20WP(C)%20No.494%20of%202012%20Right%20to%20Privacy.pdf</w:t>
      </w:r>
      <w:r w:rsidRPr="008F5BF0">
        <w:rPr>
          <w:sz w:val="20"/>
          <w:szCs w:val="20"/>
        </w:rPr>
        <w:t xml:space="preserve"> (reading the right to privacy into the Indian Constitution). </w:t>
      </w:r>
    </w:p>
  </w:footnote>
  <w:footnote w:id="30">
    <w:p w14:paraId="3916205A" w14:textId="7D4D23E3" w:rsidR="00DD6BA6" w:rsidRPr="008F5BF0" w:rsidRDefault="00DD6BA6" w:rsidP="008F5BF0">
      <w:pPr>
        <w:rPr>
          <w:i/>
          <w:sz w:val="20"/>
          <w:szCs w:val="20"/>
        </w:rPr>
      </w:pPr>
      <w:r w:rsidRPr="008F5BF0">
        <w:rPr>
          <w:rStyle w:val="FootnoteReference"/>
          <w:sz w:val="20"/>
          <w:szCs w:val="20"/>
        </w:rPr>
        <w:footnoteRef/>
      </w:r>
      <w:r w:rsidRPr="008F5BF0">
        <w:rPr>
          <w:sz w:val="20"/>
          <w:szCs w:val="20"/>
        </w:rPr>
        <w:t xml:space="preserve"> ‘Network of Lawyers (NOL) 1</w:t>
      </w:r>
      <w:r w:rsidRPr="008F5BF0">
        <w:rPr>
          <w:sz w:val="20"/>
          <w:szCs w:val="20"/>
          <w:vertAlign w:val="superscript"/>
        </w:rPr>
        <w:t>st</w:t>
      </w:r>
      <w:r w:rsidRPr="008F5BF0">
        <w:rPr>
          <w:sz w:val="20"/>
          <w:szCs w:val="20"/>
        </w:rPr>
        <w:t xml:space="preserve"> Training Programme Report (Lawyers Collective, 2014)</w:t>
      </w:r>
      <w:r w:rsidRPr="008F5BF0">
        <w:rPr>
          <w:i/>
          <w:sz w:val="20"/>
          <w:szCs w:val="20"/>
        </w:rPr>
        <w:t xml:space="preserve"> </w:t>
      </w:r>
      <w:r w:rsidRPr="008F5BF0">
        <w:rPr>
          <w:b/>
          <w:sz w:val="20"/>
          <w:szCs w:val="20"/>
        </w:rPr>
        <w:t>www.lawyerscollective.org/wp-content/uploads/2008/08/NOL_TRAINING_REPORT_1.pdf</w:t>
      </w:r>
      <w:r w:rsidRPr="008F5BF0">
        <w:rPr>
          <w:sz w:val="20"/>
          <w:szCs w:val="20"/>
        </w:rPr>
        <w:t>.</w:t>
      </w:r>
    </w:p>
  </w:footnote>
  <w:footnote w:id="31">
    <w:p w14:paraId="20E3F3EA" w14:textId="66A62258" w:rsidR="00DD6BA6" w:rsidRPr="008F5BF0" w:rsidRDefault="00DD6BA6" w:rsidP="008F5BF0">
      <w:pPr>
        <w:rPr>
          <w:sz w:val="20"/>
          <w:szCs w:val="20"/>
        </w:rPr>
      </w:pPr>
      <w:r w:rsidRPr="008F5BF0">
        <w:rPr>
          <w:rStyle w:val="FootnoteReference"/>
          <w:sz w:val="20"/>
          <w:szCs w:val="20"/>
        </w:rPr>
        <w:footnoteRef/>
      </w:r>
      <w:r w:rsidRPr="008F5BF0">
        <w:rPr>
          <w:sz w:val="20"/>
          <w:szCs w:val="20"/>
        </w:rPr>
        <w:t xml:space="preserve"> ‘Reporting of the Maharashtra State Consultation to Review the Protection of Children from Sexual Offences Act’ (2014) </w:t>
      </w:r>
      <w:r w:rsidRPr="008F5BF0">
        <w:rPr>
          <w:b/>
          <w:sz w:val="20"/>
          <w:szCs w:val="20"/>
        </w:rPr>
        <w:t>http://esocialsciences.org/Download/Download.aspx?qs=sO61F/RYd+YqfWs04so3Md7C167rWaW5plNQ5lJXErDs1rLlJND5icKvEAnX2oubrR6CQnplQwl1pwLrG1JLIJLJIblg3F9QbbmPnMxNx4hUMd7cDYnjK1Cz+cbjBe0lgL6ZQDhf1UriEKOnedp5hQ==.</w:t>
      </w:r>
    </w:p>
  </w:footnote>
  <w:footnote w:id="32">
    <w:p w14:paraId="64111BF7" w14:textId="70A1156D" w:rsidR="00DD6BA6" w:rsidRPr="008F5BF0" w:rsidRDefault="00DD6BA6" w:rsidP="008F5BF0">
      <w:pPr>
        <w:rPr>
          <w:sz w:val="20"/>
          <w:szCs w:val="20"/>
        </w:rPr>
      </w:pPr>
      <w:r w:rsidRPr="008F5BF0">
        <w:rPr>
          <w:rStyle w:val="FootnoteReference"/>
          <w:sz w:val="20"/>
          <w:szCs w:val="20"/>
        </w:rPr>
        <w:footnoteRef/>
      </w:r>
      <w:r w:rsidRPr="008F5BF0">
        <w:rPr>
          <w:sz w:val="20"/>
          <w:szCs w:val="20"/>
        </w:rPr>
        <w:t xml:space="preserve"> WHO, </w:t>
      </w:r>
      <w:r w:rsidRPr="008F5BF0">
        <w:rPr>
          <w:i/>
          <w:sz w:val="20"/>
          <w:szCs w:val="20"/>
        </w:rPr>
        <w:t xml:space="preserve">Safe Abortion: Technical and Policy Guidance for Health Systems </w:t>
      </w:r>
      <w:r w:rsidRPr="008F5BF0">
        <w:rPr>
          <w:sz w:val="20"/>
          <w:szCs w:val="20"/>
        </w:rPr>
        <w:t>(2</w:t>
      </w:r>
      <w:r w:rsidRPr="008F5BF0">
        <w:rPr>
          <w:sz w:val="20"/>
          <w:szCs w:val="20"/>
          <w:vertAlign w:val="superscript"/>
        </w:rPr>
        <w:t>nd</w:t>
      </w:r>
      <w:r w:rsidRPr="008F5BF0">
        <w:rPr>
          <w:sz w:val="20"/>
          <w:szCs w:val="20"/>
        </w:rPr>
        <w:t xml:space="preserve"> ed 2012) 68-9. </w:t>
      </w:r>
    </w:p>
  </w:footnote>
  <w:footnote w:id="33">
    <w:p w14:paraId="7F6AC943" w14:textId="4D72D440" w:rsidR="00DD6BA6" w:rsidRPr="008F5BF0" w:rsidRDefault="00DD6BA6" w:rsidP="008F5BF0">
      <w:pPr>
        <w:rPr>
          <w:sz w:val="20"/>
          <w:szCs w:val="20"/>
        </w:rPr>
      </w:pPr>
      <w:r w:rsidRPr="008F5BF0">
        <w:rPr>
          <w:rStyle w:val="FootnoteReference"/>
          <w:sz w:val="20"/>
          <w:szCs w:val="20"/>
        </w:rPr>
        <w:footnoteRef/>
      </w:r>
      <w:r w:rsidRPr="008F5BF0">
        <w:rPr>
          <w:sz w:val="20"/>
          <w:szCs w:val="20"/>
        </w:rPr>
        <w:t xml:space="preserve"> </w:t>
      </w:r>
      <w:r w:rsidRPr="008F5BF0">
        <w:rPr>
          <w:i/>
          <w:sz w:val="20"/>
          <w:szCs w:val="20"/>
        </w:rPr>
        <w:t xml:space="preserve">Ibid </w:t>
      </w:r>
      <w:r w:rsidRPr="008F5BF0">
        <w:rPr>
          <w:sz w:val="20"/>
          <w:szCs w:val="20"/>
        </w:rPr>
        <w:t xml:space="preserve">at 68. </w:t>
      </w:r>
    </w:p>
  </w:footnote>
  <w:footnote w:id="34">
    <w:p w14:paraId="3EB81D2E" w14:textId="4945789C" w:rsidR="00DD6BA6" w:rsidRPr="008F5BF0" w:rsidRDefault="00DD6BA6" w:rsidP="008F5BF0">
      <w:pPr>
        <w:rPr>
          <w:sz w:val="20"/>
          <w:szCs w:val="20"/>
        </w:rPr>
      </w:pPr>
      <w:r w:rsidRPr="008F5BF0">
        <w:rPr>
          <w:rStyle w:val="FootnoteReference"/>
          <w:sz w:val="20"/>
          <w:szCs w:val="20"/>
        </w:rPr>
        <w:footnoteRef/>
      </w:r>
      <w:r w:rsidRPr="008F5BF0">
        <w:rPr>
          <w:sz w:val="20"/>
          <w:szCs w:val="20"/>
        </w:rPr>
        <w:t xml:space="preserve"> POCSO Act, ss 3(b), (d), 19(1). </w:t>
      </w:r>
    </w:p>
  </w:footnote>
  <w:footnote w:id="35">
    <w:p w14:paraId="384441B5" w14:textId="32E5E7CB" w:rsidR="00DD6BA6" w:rsidRPr="008F5BF0" w:rsidRDefault="00DD6BA6" w:rsidP="008F5BF0">
      <w:pPr>
        <w:rPr>
          <w:sz w:val="20"/>
          <w:szCs w:val="20"/>
        </w:rPr>
      </w:pPr>
      <w:r w:rsidRPr="008F5BF0">
        <w:rPr>
          <w:rStyle w:val="FootnoteReference"/>
          <w:sz w:val="20"/>
          <w:szCs w:val="20"/>
        </w:rPr>
        <w:footnoteRef/>
      </w:r>
      <w:r w:rsidRPr="008F5BF0">
        <w:rPr>
          <w:sz w:val="20"/>
          <w:szCs w:val="20"/>
        </w:rPr>
        <w:t xml:space="preserve"> </w:t>
      </w:r>
      <w:r w:rsidRPr="008F5BF0">
        <w:rPr>
          <w:i/>
          <w:sz w:val="20"/>
          <w:szCs w:val="20"/>
        </w:rPr>
        <w:t xml:space="preserve">Ibid </w:t>
      </w:r>
      <w:r w:rsidRPr="008F5BF0">
        <w:rPr>
          <w:sz w:val="20"/>
          <w:szCs w:val="20"/>
        </w:rPr>
        <w:t>at s</w:t>
      </w:r>
      <w:r w:rsidRPr="008F5BF0">
        <w:rPr>
          <w:rFonts w:eastAsia="Times New Roman" w:cs="Times New Roman"/>
          <w:sz w:val="20"/>
          <w:szCs w:val="20"/>
        </w:rPr>
        <w:t xml:space="preserve"> 34(1).</w:t>
      </w:r>
    </w:p>
  </w:footnote>
  <w:footnote w:id="36">
    <w:p w14:paraId="0ADDCD44" w14:textId="77777777" w:rsidR="00B04E97" w:rsidRPr="008F5BF0" w:rsidRDefault="00B04E97" w:rsidP="008F5BF0">
      <w:pPr>
        <w:rPr>
          <w:rFonts w:cs="Times New Roman"/>
          <w:sz w:val="20"/>
          <w:szCs w:val="20"/>
        </w:rPr>
      </w:pPr>
      <w:r w:rsidRPr="008F5BF0">
        <w:rPr>
          <w:rStyle w:val="FootnoteReference"/>
          <w:sz w:val="20"/>
          <w:szCs w:val="20"/>
        </w:rPr>
        <w:footnoteRef/>
      </w:r>
      <w:r w:rsidRPr="008F5BF0">
        <w:rPr>
          <w:sz w:val="20"/>
          <w:szCs w:val="20"/>
        </w:rPr>
        <w:t xml:space="preserve"> </w:t>
      </w:r>
      <w:r w:rsidRPr="008F5BF0">
        <w:rPr>
          <w:rFonts w:cs="Times New Roman"/>
          <w:i/>
          <w:sz w:val="20"/>
          <w:szCs w:val="20"/>
        </w:rPr>
        <w:t>RR v Poland</w:t>
      </w:r>
      <w:r w:rsidRPr="008F5BF0">
        <w:rPr>
          <w:rFonts w:cs="Times New Roman"/>
          <w:sz w:val="20"/>
          <w:szCs w:val="20"/>
        </w:rPr>
        <w:t>, No. 27617/04 Eur. Ct. H.R. (2011).</w:t>
      </w:r>
    </w:p>
  </w:footnote>
  <w:footnote w:id="37">
    <w:p w14:paraId="2D9987FC" w14:textId="02DB4A27" w:rsidR="00DD6BA6" w:rsidRPr="008F5BF0" w:rsidRDefault="00DD6BA6" w:rsidP="008F5BF0">
      <w:pPr>
        <w:rPr>
          <w:rFonts w:eastAsia="Times New Roman" w:cs="Times New Roman"/>
          <w:i/>
          <w:color w:val="000000"/>
          <w:sz w:val="20"/>
          <w:szCs w:val="20"/>
        </w:rPr>
      </w:pPr>
      <w:r w:rsidRPr="008F5BF0">
        <w:rPr>
          <w:rStyle w:val="FootnoteReference"/>
          <w:sz w:val="20"/>
          <w:szCs w:val="20"/>
        </w:rPr>
        <w:footnoteRef/>
      </w:r>
      <w:r w:rsidRPr="008F5BF0">
        <w:rPr>
          <w:sz w:val="20"/>
          <w:szCs w:val="20"/>
        </w:rPr>
        <w:t xml:space="preserve"> ‘</w:t>
      </w:r>
      <w:r w:rsidRPr="008F5BF0">
        <w:rPr>
          <w:rFonts w:eastAsia="Times New Roman" w:cs="Times New Roman"/>
          <w:color w:val="000000"/>
          <w:sz w:val="20"/>
          <w:szCs w:val="20"/>
        </w:rPr>
        <w:t>Readers Ask, Experts Answer’ (2015) 3(2) J Indian Medico Legal and Ethics Association 55</w:t>
      </w:r>
      <w:r w:rsidRPr="008F5BF0">
        <w:rPr>
          <w:vanish/>
          <w:sz w:val="20"/>
          <w:szCs w:val="20"/>
        </w:rPr>
        <w:t>Added the best interest section here, and the good faith exception above. d byacy of the best interests standard by building a s</w:t>
      </w:r>
      <w:r w:rsidRPr="008F5BF0">
        <w:rPr>
          <w:rFonts w:eastAsia="Times New Roman" w:cs="Times New Roman"/>
          <w:color w:val="000000"/>
          <w:sz w:val="20"/>
          <w:szCs w:val="20"/>
        </w:rPr>
        <w:t xml:space="preserve"> </w:t>
      </w:r>
      <w:r w:rsidRPr="008F5BF0">
        <w:rPr>
          <w:rFonts w:eastAsia="Times New Roman" w:cs="Times New Roman"/>
          <w:b/>
          <w:color w:val="000000"/>
          <w:sz w:val="20"/>
          <w:szCs w:val="20"/>
        </w:rPr>
        <w:t>www.imlea-india.org/journal/Apr-June15.pdf</w:t>
      </w:r>
      <w:r w:rsidRPr="008F5BF0">
        <w:rPr>
          <w:rFonts w:eastAsia="Times New Roman" w:cs="Times New Roman"/>
          <w:color w:val="000000"/>
          <w:sz w:val="20"/>
          <w:szCs w:val="20"/>
        </w:rPr>
        <w:t>.</w:t>
      </w:r>
    </w:p>
  </w:footnote>
  <w:footnote w:id="38">
    <w:p w14:paraId="6264E874" w14:textId="0CCACF76" w:rsidR="0035220D" w:rsidRPr="008F5BF0" w:rsidRDefault="0035220D" w:rsidP="008F5BF0">
      <w:pPr>
        <w:pStyle w:val="FootnoteText"/>
      </w:pPr>
      <w:r w:rsidRPr="008F5BF0">
        <w:rPr>
          <w:rStyle w:val="FootnoteReference"/>
        </w:rPr>
        <w:footnoteRef/>
      </w:r>
      <w:r w:rsidRPr="008F5BF0">
        <w:t xml:space="preserve"> Madras High Court, M. Kala v. The Inspector of Police, 24 March 2015 (WP8750/2015)</w:t>
      </w:r>
    </w:p>
  </w:footnote>
  <w:footnote w:id="39">
    <w:p w14:paraId="7602901B" w14:textId="13AFC589" w:rsidR="00DD6BA6" w:rsidRPr="008F5BF0" w:rsidRDefault="00DD6BA6" w:rsidP="008F5BF0">
      <w:pPr>
        <w:rPr>
          <w:sz w:val="20"/>
          <w:szCs w:val="20"/>
        </w:rPr>
      </w:pPr>
      <w:r w:rsidRPr="008F5BF0">
        <w:rPr>
          <w:rStyle w:val="FootnoteReference"/>
          <w:sz w:val="20"/>
          <w:szCs w:val="20"/>
        </w:rPr>
        <w:footnoteRef/>
      </w:r>
      <w:r w:rsidRPr="008F5BF0">
        <w:rPr>
          <w:sz w:val="20"/>
          <w:szCs w:val="20"/>
        </w:rPr>
        <w:t xml:space="preserve"> National Institute of Public Cooperation and Child Development, </w:t>
      </w:r>
      <w:r w:rsidRPr="008F5BF0">
        <w:rPr>
          <w:i/>
          <w:sz w:val="20"/>
          <w:szCs w:val="20"/>
        </w:rPr>
        <w:t xml:space="preserve">Training Manual on Protection of Children from Sexual Offences (POCSO) Act &amp; Rules 2012 for District Child Protection Officers (DCPOs) of District Child Protection Units (DCPUs) </w:t>
      </w:r>
      <w:r w:rsidRPr="008F5BF0">
        <w:rPr>
          <w:sz w:val="20"/>
          <w:szCs w:val="20"/>
        </w:rPr>
        <w:t xml:space="preserve">154, </w:t>
      </w:r>
      <w:r w:rsidRPr="008F5BF0">
        <w:rPr>
          <w:b/>
          <w:sz w:val="20"/>
          <w:szCs w:val="20"/>
        </w:rPr>
        <w:t>http://nipccd.nic.in/reports/posco/dcp.pdf</w:t>
      </w:r>
      <w:r w:rsidRPr="008F5BF0">
        <w:rPr>
          <w:sz w:val="20"/>
          <w:szCs w:val="20"/>
        </w:rPr>
        <w:t>.</w:t>
      </w:r>
    </w:p>
  </w:footnote>
  <w:footnote w:id="40">
    <w:p w14:paraId="5B5F5989" w14:textId="26BBB279" w:rsidR="00DD6BA6" w:rsidRPr="008F5BF0" w:rsidRDefault="00DD6BA6" w:rsidP="008F5BF0">
      <w:pPr>
        <w:rPr>
          <w:sz w:val="20"/>
          <w:szCs w:val="20"/>
        </w:rPr>
      </w:pPr>
      <w:r w:rsidRPr="008F5BF0">
        <w:rPr>
          <w:rStyle w:val="FootnoteReference"/>
          <w:sz w:val="20"/>
          <w:szCs w:val="20"/>
        </w:rPr>
        <w:footnoteRef/>
      </w:r>
      <w:r w:rsidRPr="008F5BF0">
        <w:rPr>
          <w:sz w:val="20"/>
          <w:szCs w:val="20"/>
        </w:rPr>
        <w:t xml:space="preserve"> </w:t>
      </w:r>
      <w:r w:rsidRPr="008F5BF0">
        <w:rPr>
          <w:rFonts w:eastAsia="Times New Roman" w:cs="Times New Roman"/>
          <w:color w:val="000000"/>
          <w:sz w:val="20"/>
          <w:szCs w:val="20"/>
        </w:rPr>
        <w:t xml:space="preserve">Maitri Porecha, ‘Doctor’s Dilemma: Minor's Sexual Ailment’, </w:t>
      </w:r>
      <w:r w:rsidRPr="008F5BF0">
        <w:rPr>
          <w:rFonts w:eastAsia="Times New Roman" w:cs="Times New Roman"/>
          <w:i/>
          <w:color w:val="000000"/>
          <w:sz w:val="20"/>
          <w:szCs w:val="20"/>
        </w:rPr>
        <w:t xml:space="preserve">DNA India </w:t>
      </w:r>
      <w:r w:rsidRPr="008F5BF0">
        <w:rPr>
          <w:rFonts w:eastAsia="Times New Roman" w:cs="Times New Roman"/>
          <w:color w:val="000000"/>
          <w:sz w:val="20"/>
          <w:szCs w:val="20"/>
        </w:rPr>
        <w:t xml:space="preserve">(22 October 2014), </w:t>
      </w:r>
      <w:r w:rsidRPr="008F5BF0">
        <w:rPr>
          <w:b/>
          <w:sz w:val="20"/>
          <w:szCs w:val="20"/>
        </w:rPr>
        <w:t>www.dnaindia.com/mumbai/report-doctor-s-dilemma-minor-s-sexual-ailment-2028280</w:t>
      </w:r>
      <w:r w:rsidRPr="008F5BF0">
        <w:rPr>
          <w:sz w:val="20"/>
          <w:szCs w:val="20"/>
        </w:rPr>
        <w:t>.</w:t>
      </w:r>
    </w:p>
  </w:footnote>
  <w:footnote w:id="41">
    <w:p w14:paraId="7CF08AFD" w14:textId="29EBD1F1" w:rsidR="00DD6BA6" w:rsidRPr="008F5BF0" w:rsidRDefault="00DD6BA6" w:rsidP="008F5BF0">
      <w:pPr>
        <w:rPr>
          <w:sz w:val="20"/>
          <w:szCs w:val="20"/>
        </w:rPr>
      </w:pPr>
      <w:r w:rsidRPr="008F5BF0">
        <w:rPr>
          <w:rStyle w:val="FootnoteReference"/>
          <w:sz w:val="20"/>
          <w:szCs w:val="20"/>
        </w:rPr>
        <w:footnoteRef/>
      </w:r>
      <w:r w:rsidRPr="008F5BF0">
        <w:rPr>
          <w:sz w:val="20"/>
          <w:szCs w:val="20"/>
        </w:rPr>
        <w:t xml:space="preserve"> </w:t>
      </w:r>
      <w:r w:rsidR="009A7B41" w:rsidRPr="008F5BF0">
        <w:rPr>
          <w:sz w:val="20"/>
          <w:szCs w:val="20"/>
        </w:rPr>
        <w:t xml:space="preserve">Given that MTP Act provides exceptions to the IPC provisions on abortion, an act falling outside of the purview of the former may be said to punishable under the latter. </w:t>
      </w:r>
    </w:p>
  </w:footnote>
  <w:footnote w:id="42">
    <w:p w14:paraId="68A6020C" w14:textId="21CF09A5" w:rsidR="00175B4C" w:rsidRPr="008F5BF0" w:rsidRDefault="00175B4C" w:rsidP="008F5BF0">
      <w:pPr>
        <w:pStyle w:val="FootnoteText"/>
      </w:pPr>
      <w:r w:rsidRPr="008F5BF0">
        <w:rPr>
          <w:rStyle w:val="FootnoteReference"/>
        </w:rPr>
        <w:footnoteRef/>
      </w:r>
      <w:r w:rsidRPr="008F5BF0">
        <w:t xml:space="preserve"> For e.g. High Court of Punjab and Haryana, Kamla Devi v. State of Haryana &amp; Others, 9 February 2015 (WP(C) 2007/2015); High Court of Gujarat, Janak Ramsang Hanzariya v. State of Gujarat, 7 May 2010 (Crim. App. 702/2010); High Court of Punjab and Haryana, Vijender v. State of Haryana &amp; Others, 7 October 2014 (WP(C) 20783/2014) (“A rape victim shall not be further traumatized by putting through a needless process of approaching courts for taking permission. The Medical Termination of Pregnancy Act does not contemplate such a procedure at all and the medical personnel before whom the person shows up is bound to respond to an information regarding the complaint of rape...the medical personnel will take the decision regarding the termination and carry out the procedure.”)</w:t>
      </w:r>
    </w:p>
  </w:footnote>
  <w:footnote w:id="43">
    <w:p w14:paraId="78D11B93" w14:textId="7D3377D5" w:rsidR="00DD6BA6" w:rsidRPr="008F5BF0" w:rsidRDefault="00DD6BA6" w:rsidP="008F5BF0">
      <w:pPr>
        <w:rPr>
          <w:smallCaps/>
          <w:sz w:val="20"/>
          <w:szCs w:val="20"/>
        </w:rPr>
      </w:pPr>
      <w:r w:rsidRPr="008F5BF0">
        <w:rPr>
          <w:rStyle w:val="FootnoteReference"/>
          <w:sz w:val="20"/>
          <w:szCs w:val="20"/>
        </w:rPr>
        <w:footnoteRef/>
      </w:r>
      <w:r w:rsidRPr="008F5BF0">
        <w:rPr>
          <w:sz w:val="20"/>
          <w:szCs w:val="20"/>
        </w:rPr>
        <w:t xml:space="preserve"> Anil Aggrawal, </w:t>
      </w:r>
      <w:r w:rsidRPr="008F5BF0">
        <w:rPr>
          <w:i/>
          <w:sz w:val="20"/>
          <w:szCs w:val="20"/>
        </w:rPr>
        <w:t xml:space="preserve">Essentials of Forensic Medicine and Toxicology </w:t>
      </w:r>
      <w:r w:rsidRPr="008F5BF0">
        <w:rPr>
          <w:sz w:val="20"/>
          <w:szCs w:val="20"/>
        </w:rPr>
        <w:t xml:space="preserve">(2014) 156. </w:t>
      </w:r>
    </w:p>
  </w:footnote>
  <w:footnote w:id="44">
    <w:p w14:paraId="091BDCE7" w14:textId="6159871A" w:rsidR="00DD6BA6" w:rsidRPr="008F5BF0" w:rsidRDefault="00DD6BA6" w:rsidP="008F5BF0">
      <w:pPr>
        <w:rPr>
          <w:sz w:val="20"/>
          <w:szCs w:val="20"/>
        </w:rPr>
      </w:pPr>
      <w:r w:rsidRPr="008F5BF0">
        <w:rPr>
          <w:rStyle w:val="FootnoteReference"/>
          <w:sz w:val="20"/>
          <w:szCs w:val="20"/>
        </w:rPr>
        <w:footnoteRef/>
      </w:r>
      <w:r w:rsidRPr="008F5BF0">
        <w:rPr>
          <w:sz w:val="20"/>
          <w:szCs w:val="20"/>
        </w:rPr>
        <w:t xml:space="preserve"> ‘Medicolegal Issues: Guidelines to Medical Officers’ (NHSRC) </w:t>
      </w:r>
      <w:r w:rsidRPr="008F5BF0">
        <w:rPr>
          <w:b/>
          <w:sz w:val="20"/>
          <w:szCs w:val="20"/>
        </w:rPr>
        <w:t>http://nhsrcindia.org/nhsrc_quality/sites/default/files/medico_legal.pdf</w:t>
      </w:r>
      <w:r w:rsidRPr="008F5BF0">
        <w:rPr>
          <w:sz w:val="20"/>
          <w:szCs w:val="20"/>
        </w:rPr>
        <w:t>.</w:t>
      </w:r>
    </w:p>
  </w:footnote>
  <w:footnote w:id="45">
    <w:p w14:paraId="0CF63F32" w14:textId="2D2F87AF" w:rsidR="00DD6BA6" w:rsidRPr="008F5BF0" w:rsidRDefault="00DD6BA6" w:rsidP="008F5BF0">
      <w:pPr>
        <w:rPr>
          <w:sz w:val="20"/>
          <w:szCs w:val="20"/>
        </w:rPr>
      </w:pPr>
      <w:r w:rsidRPr="008F5BF0">
        <w:rPr>
          <w:rStyle w:val="FootnoteReference"/>
          <w:sz w:val="20"/>
          <w:szCs w:val="20"/>
        </w:rPr>
        <w:footnoteRef/>
      </w:r>
      <w:r w:rsidRPr="008F5BF0">
        <w:rPr>
          <w:sz w:val="20"/>
          <w:szCs w:val="20"/>
        </w:rPr>
        <w:t xml:space="preserve">  Kerala Medico-legal Code, </w:t>
      </w:r>
      <w:r w:rsidRPr="008F5BF0">
        <w:rPr>
          <w:b/>
          <w:sz w:val="20"/>
          <w:szCs w:val="20"/>
        </w:rPr>
        <w:t>http://dhs.kerala.gov.in/docs/orders/code.pdf</w:t>
      </w:r>
      <w:r w:rsidRPr="008F5BF0">
        <w:rPr>
          <w:sz w:val="20"/>
          <w:szCs w:val="20"/>
        </w:rPr>
        <w:t>.</w:t>
      </w:r>
    </w:p>
  </w:footnote>
  <w:footnote w:id="46">
    <w:p w14:paraId="5DE31A42" w14:textId="0E78C18E" w:rsidR="00DD6BA6" w:rsidRPr="008F5BF0" w:rsidRDefault="00DD6BA6" w:rsidP="008F5BF0">
      <w:pPr>
        <w:rPr>
          <w:sz w:val="20"/>
          <w:szCs w:val="20"/>
        </w:rPr>
      </w:pPr>
      <w:r w:rsidRPr="008F5BF0">
        <w:rPr>
          <w:rStyle w:val="FootnoteReference"/>
          <w:sz w:val="20"/>
          <w:szCs w:val="20"/>
        </w:rPr>
        <w:footnoteRef/>
      </w:r>
      <w:r w:rsidRPr="008F5BF0">
        <w:rPr>
          <w:sz w:val="20"/>
          <w:szCs w:val="20"/>
        </w:rPr>
        <w:t xml:space="preserve"> </w:t>
      </w:r>
      <w:r w:rsidRPr="008F5BF0">
        <w:rPr>
          <w:i/>
          <w:sz w:val="20"/>
          <w:szCs w:val="20"/>
        </w:rPr>
        <w:t xml:space="preserve">Supra </w:t>
      </w:r>
      <w:r w:rsidRPr="008F5BF0">
        <w:rPr>
          <w:sz w:val="20"/>
          <w:szCs w:val="20"/>
        </w:rPr>
        <w:t xml:space="preserve">note 31. </w:t>
      </w:r>
    </w:p>
  </w:footnote>
  <w:footnote w:id="47">
    <w:p w14:paraId="6C733F8C" w14:textId="77777777" w:rsidR="00DD6BA6" w:rsidRPr="008F5BF0" w:rsidRDefault="00DD6BA6" w:rsidP="008F5BF0">
      <w:pPr>
        <w:rPr>
          <w:sz w:val="20"/>
          <w:szCs w:val="20"/>
        </w:rPr>
      </w:pPr>
      <w:r w:rsidRPr="008F5BF0">
        <w:rPr>
          <w:rStyle w:val="FootnoteReference"/>
          <w:sz w:val="20"/>
          <w:szCs w:val="20"/>
        </w:rPr>
        <w:footnoteRef/>
      </w:r>
      <w:r w:rsidRPr="008F5BF0">
        <w:rPr>
          <w:sz w:val="20"/>
          <w:szCs w:val="20"/>
        </w:rPr>
        <w:t xml:space="preserve"> POCSO Rule 5(4)(iv).</w:t>
      </w:r>
    </w:p>
  </w:footnote>
  <w:footnote w:id="48">
    <w:p w14:paraId="1C59DB71" w14:textId="5A660F78" w:rsidR="00DD6BA6" w:rsidRPr="008F5BF0" w:rsidRDefault="00DD6BA6" w:rsidP="008F5BF0">
      <w:pPr>
        <w:rPr>
          <w:sz w:val="20"/>
          <w:szCs w:val="20"/>
        </w:rPr>
      </w:pPr>
      <w:r w:rsidRPr="008F5BF0">
        <w:rPr>
          <w:rStyle w:val="FootnoteReference"/>
          <w:sz w:val="20"/>
          <w:szCs w:val="20"/>
        </w:rPr>
        <w:footnoteRef/>
      </w:r>
      <w:r w:rsidRPr="008F5BF0">
        <w:rPr>
          <w:sz w:val="20"/>
          <w:szCs w:val="20"/>
        </w:rPr>
        <w:t xml:space="preserve"> </w:t>
      </w:r>
      <w:r w:rsidRPr="008F5BF0">
        <w:rPr>
          <w:i/>
          <w:sz w:val="20"/>
          <w:szCs w:val="20"/>
        </w:rPr>
        <w:t xml:space="preserve">Supra </w:t>
      </w:r>
      <w:r w:rsidRPr="008F5BF0">
        <w:rPr>
          <w:sz w:val="20"/>
          <w:szCs w:val="20"/>
        </w:rPr>
        <w:t>note 31, at 5 (emphasis added).</w:t>
      </w:r>
    </w:p>
  </w:footnote>
  <w:footnote w:id="49">
    <w:p w14:paraId="3E444203" w14:textId="0F70E17D" w:rsidR="00DD6BA6" w:rsidRPr="008F5BF0" w:rsidRDefault="00DD6BA6" w:rsidP="008F5BF0">
      <w:pPr>
        <w:rPr>
          <w:sz w:val="20"/>
          <w:szCs w:val="20"/>
        </w:rPr>
      </w:pPr>
      <w:r w:rsidRPr="008F5BF0">
        <w:rPr>
          <w:rStyle w:val="FootnoteReference"/>
          <w:sz w:val="20"/>
          <w:szCs w:val="20"/>
        </w:rPr>
        <w:footnoteRef/>
      </w:r>
      <w:r w:rsidRPr="008F5BF0">
        <w:rPr>
          <w:sz w:val="20"/>
          <w:szCs w:val="20"/>
        </w:rPr>
        <w:t xml:space="preserve"> Aggrawal (2014), </w:t>
      </w:r>
      <w:r w:rsidRPr="008F5BF0">
        <w:rPr>
          <w:i/>
          <w:sz w:val="20"/>
          <w:szCs w:val="20"/>
        </w:rPr>
        <w:t xml:space="preserve">supra </w:t>
      </w:r>
      <w:r w:rsidRPr="008F5BF0">
        <w:rPr>
          <w:sz w:val="20"/>
          <w:szCs w:val="20"/>
        </w:rPr>
        <w:t xml:space="preserve">note 45, at </w:t>
      </w:r>
      <w:r w:rsidRPr="008F5BF0">
        <w:rPr>
          <w:smallCaps/>
          <w:sz w:val="20"/>
          <w:szCs w:val="20"/>
        </w:rPr>
        <w:t>466</w:t>
      </w:r>
      <w:r w:rsidRPr="008F5BF0">
        <w:rPr>
          <w:sz w:val="20"/>
          <w:szCs w:val="20"/>
        </w:rPr>
        <w:t>.</w:t>
      </w:r>
    </w:p>
  </w:footnote>
  <w:footnote w:id="50">
    <w:p w14:paraId="5BA53D43" w14:textId="77777777" w:rsidR="00DD6BA6" w:rsidRPr="008F5BF0" w:rsidRDefault="00DD6BA6" w:rsidP="008F5BF0">
      <w:pPr>
        <w:rPr>
          <w:sz w:val="20"/>
          <w:szCs w:val="20"/>
        </w:rPr>
      </w:pPr>
      <w:r w:rsidRPr="008F5BF0">
        <w:rPr>
          <w:rStyle w:val="FootnoteReference"/>
          <w:sz w:val="20"/>
          <w:szCs w:val="20"/>
        </w:rPr>
        <w:footnoteRef/>
      </w:r>
      <w:r w:rsidRPr="008F5BF0">
        <w:rPr>
          <w:sz w:val="20"/>
          <w:szCs w:val="20"/>
        </w:rPr>
        <w:t xml:space="preserve"> </w:t>
      </w:r>
      <w:r w:rsidRPr="008F5BF0">
        <w:rPr>
          <w:smallCaps/>
          <w:sz w:val="20"/>
          <w:szCs w:val="20"/>
        </w:rPr>
        <w:t>National Comm’n for Protection of Child Rights, Monitoring Guidelines for NCPCR/SCPCR for Roles and Functions of Various Stakeholders</w:t>
      </w:r>
      <w:r w:rsidRPr="008F5BF0">
        <w:rPr>
          <w:sz w:val="20"/>
          <w:szCs w:val="20"/>
        </w:rPr>
        <w:t>, pp. 53-54.</w:t>
      </w:r>
    </w:p>
  </w:footnote>
  <w:footnote w:id="51">
    <w:p w14:paraId="6D2C1AD0" w14:textId="747A9755" w:rsidR="00DD6BA6" w:rsidRPr="008F5BF0" w:rsidRDefault="00DD6BA6" w:rsidP="008F5BF0">
      <w:pPr>
        <w:rPr>
          <w:sz w:val="20"/>
          <w:szCs w:val="20"/>
        </w:rPr>
      </w:pPr>
      <w:r w:rsidRPr="008F5BF0">
        <w:rPr>
          <w:rStyle w:val="FootnoteReference"/>
          <w:sz w:val="20"/>
          <w:szCs w:val="20"/>
        </w:rPr>
        <w:footnoteRef/>
      </w:r>
      <w:r w:rsidRPr="008F5BF0">
        <w:rPr>
          <w:sz w:val="20"/>
          <w:szCs w:val="20"/>
        </w:rPr>
        <w:t xml:space="preserve"> </w:t>
      </w:r>
      <w:r w:rsidRPr="008F5BF0">
        <w:rPr>
          <w:i/>
          <w:sz w:val="20"/>
          <w:szCs w:val="20"/>
        </w:rPr>
        <w:t xml:space="preserve">Supra </w:t>
      </w:r>
      <w:r w:rsidRPr="008F5BF0">
        <w:rPr>
          <w:sz w:val="20"/>
          <w:szCs w:val="20"/>
        </w:rPr>
        <w:t>note 31, at 20.</w:t>
      </w:r>
    </w:p>
  </w:footnote>
  <w:footnote w:id="52">
    <w:p w14:paraId="500D97D8" w14:textId="6324FB88" w:rsidR="00DD6BA6" w:rsidRPr="008F5BF0" w:rsidRDefault="00DD6BA6" w:rsidP="008F5BF0">
      <w:pPr>
        <w:rPr>
          <w:sz w:val="20"/>
          <w:szCs w:val="20"/>
        </w:rPr>
      </w:pPr>
      <w:r w:rsidRPr="008F5BF0">
        <w:rPr>
          <w:rStyle w:val="FootnoteReference"/>
          <w:i/>
          <w:sz w:val="20"/>
          <w:szCs w:val="20"/>
        </w:rPr>
        <w:footnoteRef/>
      </w:r>
      <w:r w:rsidRPr="008F5BF0">
        <w:rPr>
          <w:i/>
          <w:sz w:val="20"/>
          <w:szCs w:val="20"/>
        </w:rPr>
        <w:t xml:space="preserve"> Ibid </w:t>
      </w:r>
      <w:r w:rsidRPr="008F5BF0">
        <w:rPr>
          <w:sz w:val="20"/>
          <w:szCs w:val="20"/>
        </w:rPr>
        <w:t>at 24 (“If a person has come directly to the hospital without the police requisition, the hospital is bound to provide treatment and conduct a medical examination with consent of the survivor/parent/guardian (depending on age). A police requisition is not required for this.”).</w:t>
      </w:r>
    </w:p>
  </w:footnote>
  <w:footnote w:id="53">
    <w:p w14:paraId="34872418" w14:textId="50CC92D7" w:rsidR="00DD6BA6" w:rsidRPr="008F5BF0" w:rsidRDefault="00DD6BA6" w:rsidP="008F5BF0">
      <w:pPr>
        <w:rPr>
          <w:sz w:val="20"/>
          <w:szCs w:val="20"/>
        </w:rPr>
      </w:pPr>
      <w:r w:rsidRPr="008F5BF0">
        <w:rPr>
          <w:rStyle w:val="FootnoteReference"/>
          <w:sz w:val="20"/>
          <w:szCs w:val="20"/>
        </w:rPr>
        <w:footnoteRef/>
      </w:r>
      <w:r w:rsidRPr="008F5BF0">
        <w:rPr>
          <w:sz w:val="20"/>
          <w:szCs w:val="20"/>
        </w:rPr>
        <w:t xml:space="preserve"> </w:t>
      </w:r>
      <w:r w:rsidRPr="008F5BF0">
        <w:rPr>
          <w:i/>
          <w:sz w:val="20"/>
          <w:szCs w:val="20"/>
        </w:rPr>
        <w:t xml:space="preserve">Ibid </w:t>
      </w:r>
      <w:r w:rsidRPr="008F5BF0">
        <w:rPr>
          <w:sz w:val="20"/>
          <w:szCs w:val="20"/>
        </w:rPr>
        <w:t>at 41.</w:t>
      </w:r>
    </w:p>
  </w:footnote>
  <w:footnote w:id="54">
    <w:p w14:paraId="3F807267" w14:textId="532A265C" w:rsidR="00DD6BA6" w:rsidRPr="008F5BF0" w:rsidRDefault="00DD6BA6" w:rsidP="008F5BF0">
      <w:pPr>
        <w:rPr>
          <w:sz w:val="20"/>
          <w:szCs w:val="20"/>
        </w:rPr>
      </w:pPr>
      <w:r w:rsidRPr="008F5BF0">
        <w:rPr>
          <w:rStyle w:val="FootnoteReference"/>
          <w:sz w:val="20"/>
          <w:szCs w:val="20"/>
        </w:rPr>
        <w:footnoteRef/>
      </w:r>
      <w:r w:rsidRPr="008F5BF0">
        <w:rPr>
          <w:sz w:val="20"/>
          <w:szCs w:val="20"/>
        </w:rPr>
        <w:t xml:space="preserve"> </w:t>
      </w:r>
      <w:r w:rsidRPr="008F5BF0">
        <w:rPr>
          <w:rFonts w:cs="Times New Roman"/>
          <w:sz w:val="20"/>
          <w:szCs w:val="20"/>
        </w:rPr>
        <w:t>Code of Criminal Procedure, s 357C.</w:t>
      </w:r>
    </w:p>
  </w:footnote>
  <w:footnote w:id="55">
    <w:p w14:paraId="3DB1B069" w14:textId="130E729D" w:rsidR="00DD6BA6" w:rsidRPr="008F5BF0" w:rsidRDefault="00DD6BA6" w:rsidP="008F5BF0">
      <w:pPr>
        <w:rPr>
          <w:sz w:val="20"/>
          <w:szCs w:val="20"/>
        </w:rPr>
      </w:pPr>
      <w:r w:rsidRPr="008F5BF0">
        <w:rPr>
          <w:rStyle w:val="FootnoteReference"/>
          <w:sz w:val="20"/>
          <w:szCs w:val="20"/>
        </w:rPr>
        <w:footnoteRef/>
      </w:r>
      <w:r w:rsidRPr="008F5BF0">
        <w:rPr>
          <w:sz w:val="20"/>
          <w:szCs w:val="20"/>
        </w:rPr>
        <w:t xml:space="preserve"> POCSO Act, s 42A.</w:t>
      </w:r>
    </w:p>
  </w:footnote>
  <w:footnote w:id="56">
    <w:p w14:paraId="08480E7E" w14:textId="0347A88B" w:rsidR="006F0277" w:rsidRPr="008F5BF0" w:rsidRDefault="006F0277" w:rsidP="008F5BF0">
      <w:pPr>
        <w:pStyle w:val="FootnoteText"/>
      </w:pPr>
      <w:r w:rsidRPr="008F5BF0">
        <w:rPr>
          <w:rStyle w:val="FootnoteReference"/>
        </w:rPr>
        <w:footnoteRef/>
      </w:r>
      <w:r w:rsidRPr="008F5BF0">
        <w:t xml:space="preserve"> High Court of Punjab and Haryana, Bashir Khan v. State of Punjab</w:t>
      </w:r>
      <w:r w:rsidR="0035220D" w:rsidRPr="008F5BF0">
        <w:t xml:space="preserve"> &amp; Another, 2 August 2014 WP(C) 14058/2014. </w:t>
      </w:r>
    </w:p>
  </w:footnote>
  <w:footnote w:id="57">
    <w:p w14:paraId="64C98190" w14:textId="2E57D7CD" w:rsidR="00DD6BA6" w:rsidRPr="008F5BF0" w:rsidRDefault="00DD6BA6" w:rsidP="008F5BF0">
      <w:pPr>
        <w:rPr>
          <w:sz w:val="20"/>
          <w:szCs w:val="20"/>
        </w:rPr>
      </w:pPr>
      <w:r w:rsidRPr="008F5BF0">
        <w:rPr>
          <w:rStyle w:val="FootnoteReference"/>
          <w:sz w:val="20"/>
          <w:szCs w:val="20"/>
        </w:rPr>
        <w:footnoteRef/>
      </w:r>
      <w:r w:rsidRPr="008F5BF0">
        <w:rPr>
          <w:sz w:val="20"/>
          <w:szCs w:val="20"/>
        </w:rPr>
        <w:t xml:space="preserve"> NCPCR, ‘Monitoring Guidelines for NCPCR/SCPCR for Roles and Functions of Various </w:t>
      </w:r>
      <w:r w:rsidR="009A7B41" w:rsidRPr="008F5BF0">
        <w:rPr>
          <w:sz w:val="20"/>
          <w:szCs w:val="20"/>
        </w:rPr>
        <w:t>Stakeholders</w:t>
      </w:r>
      <w:r w:rsidRPr="008F5BF0">
        <w:rPr>
          <w:sz w:val="20"/>
          <w:szCs w:val="20"/>
        </w:rPr>
        <w:t xml:space="preserve">’ 54.  </w:t>
      </w:r>
    </w:p>
  </w:footnote>
  <w:footnote w:id="58">
    <w:p w14:paraId="217C4DDA" w14:textId="07DFE00B" w:rsidR="00DD6BA6" w:rsidRPr="008F5BF0" w:rsidRDefault="00DD6BA6" w:rsidP="008F5BF0">
      <w:pPr>
        <w:rPr>
          <w:sz w:val="20"/>
          <w:szCs w:val="20"/>
        </w:rPr>
      </w:pPr>
      <w:r w:rsidRPr="008F5BF0">
        <w:rPr>
          <w:rStyle w:val="FootnoteReference"/>
          <w:sz w:val="20"/>
          <w:szCs w:val="20"/>
        </w:rPr>
        <w:footnoteRef/>
      </w:r>
      <w:r w:rsidRPr="008F5BF0">
        <w:rPr>
          <w:sz w:val="20"/>
          <w:szCs w:val="20"/>
        </w:rPr>
        <w:t xml:space="preserve"> POCSO Rule 4(2)(a).</w:t>
      </w:r>
    </w:p>
  </w:footnote>
  <w:footnote w:id="59">
    <w:p w14:paraId="38C3642F" w14:textId="77777777" w:rsidR="00DD6BA6" w:rsidRPr="008F5BF0" w:rsidRDefault="00DD6BA6" w:rsidP="008F5BF0">
      <w:pPr>
        <w:rPr>
          <w:sz w:val="20"/>
          <w:szCs w:val="20"/>
        </w:rPr>
      </w:pPr>
      <w:r w:rsidRPr="008F5BF0">
        <w:rPr>
          <w:rStyle w:val="FootnoteReference"/>
          <w:sz w:val="20"/>
          <w:szCs w:val="20"/>
        </w:rPr>
        <w:footnoteRef/>
      </w:r>
      <w:r w:rsidRPr="008F5BF0">
        <w:rPr>
          <w:sz w:val="20"/>
          <w:szCs w:val="20"/>
        </w:rPr>
        <w:t xml:space="preserve"> 1989 AIR 2039 (emphasis added).</w:t>
      </w:r>
    </w:p>
  </w:footnote>
  <w:footnote w:id="60">
    <w:p w14:paraId="3AE73D8F" w14:textId="3CE73DA7" w:rsidR="00DD6BA6" w:rsidRPr="008F5BF0" w:rsidRDefault="00DD6BA6" w:rsidP="008F5BF0">
      <w:pPr>
        <w:rPr>
          <w:sz w:val="20"/>
          <w:szCs w:val="20"/>
        </w:rPr>
      </w:pPr>
      <w:r w:rsidRPr="008F5BF0">
        <w:rPr>
          <w:rStyle w:val="FootnoteReference"/>
          <w:sz w:val="20"/>
          <w:szCs w:val="20"/>
        </w:rPr>
        <w:footnoteRef/>
      </w:r>
      <w:r w:rsidRPr="008F5BF0">
        <w:rPr>
          <w:sz w:val="20"/>
          <w:szCs w:val="20"/>
        </w:rPr>
        <w:t xml:space="preserve"> </w:t>
      </w:r>
      <w:r w:rsidRPr="008F5BF0">
        <w:rPr>
          <w:i/>
          <w:sz w:val="20"/>
          <w:szCs w:val="20"/>
        </w:rPr>
        <w:t xml:space="preserve">See supra </w:t>
      </w:r>
      <w:r w:rsidRPr="008F5BF0">
        <w:rPr>
          <w:sz w:val="20"/>
          <w:szCs w:val="20"/>
        </w:rPr>
        <w:t xml:space="preserve">note 31, at 34 (“After the examination the medical practitioner should document the report, formulate opinion, sign the report and handover the report and sealed samples to police under due acknowledgement.”); Health Department Haryana, ‘Haryana Medico Legal Manual’ (2012) 6 </w:t>
      </w:r>
      <w:r w:rsidRPr="008F5BF0">
        <w:rPr>
          <w:b/>
          <w:sz w:val="20"/>
          <w:szCs w:val="20"/>
        </w:rPr>
        <w:t>http://gurgaon.haryanapolice.gov.in/writereaddata/Images/pdf/Haryana_Medicol_egal_Manual_2012.pdf.</w:t>
      </w:r>
      <w:r w:rsidRPr="008F5BF0">
        <w:rPr>
          <w:sz w:val="20"/>
          <w:szCs w:val="20"/>
        </w:rPr>
        <w:t xml:space="preserve"> (“</w:t>
      </w:r>
      <w:r w:rsidRPr="008F5BF0">
        <w:rPr>
          <w:rFonts w:eastAsia="Times New Roman" w:cs="Times New Roman"/>
          <w:color w:val="000000"/>
          <w:sz w:val="20"/>
          <w:szCs w:val="20"/>
        </w:rPr>
        <w:t xml:space="preserve">Whenever a suspected medico legal case is brought in the emergency, it shall be the duty of the Medical Officer on duty to send information to the police station/post of the area, in Form I in triplicate. Information shall be sent to the police by the quickest possible means. Acknowledgement from the police officer receiving the information will be kept in the file of the patient and in other OPD cases it shall be pasted in the OPD register or with the Medical Officer for further reference.”); Kerala Medico-Legal Code 2011, </w:t>
      </w:r>
      <w:r w:rsidRPr="008F5BF0">
        <w:rPr>
          <w:sz w:val="20"/>
          <w:szCs w:val="20"/>
        </w:rPr>
        <w:t xml:space="preserve">at 24, </w:t>
      </w:r>
      <w:r w:rsidRPr="008F5BF0">
        <w:rPr>
          <w:b/>
          <w:sz w:val="20"/>
          <w:szCs w:val="20"/>
        </w:rPr>
        <w:t>http://dhs.kerala.gov.in/docs/orders/code.pdf</w:t>
      </w:r>
      <w:r w:rsidRPr="008F5BF0">
        <w:rPr>
          <w:sz w:val="20"/>
          <w:szCs w:val="20"/>
        </w:rPr>
        <w:t xml:space="preserve"> (“Intimation should be written in duplicate. The original should be issued to the police and the receipt of the same may be acknowledged on the office copy by the Officer receiving the same”).</w:t>
      </w:r>
    </w:p>
  </w:footnote>
  <w:footnote w:id="61">
    <w:p w14:paraId="543172A9" w14:textId="0E34F880" w:rsidR="00DD6BA6" w:rsidRPr="008F5BF0" w:rsidRDefault="00DD6BA6" w:rsidP="008F5BF0">
      <w:pPr>
        <w:rPr>
          <w:sz w:val="20"/>
          <w:szCs w:val="20"/>
        </w:rPr>
      </w:pPr>
      <w:r w:rsidRPr="008F5BF0">
        <w:rPr>
          <w:rStyle w:val="FootnoteReference"/>
          <w:sz w:val="20"/>
          <w:szCs w:val="20"/>
        </w:rPr>
        <w:footnoteRef/>
      </w:r>
      <w:r w:rsidRPr="008F5BF0">
        <w:rPr>
          <w:sz w:val="20"/>
          <w:szCs w:val="20"/>
        </w:rPr>
        <w:t xml:space="preserve"> MTP Act, s 2(a).</w:t>
      </w:r>
    </w:p>
  </w:footnote>
  <w:footnote w:id="62">
    <w:p w14:paraId="1FBB6641" w14:textId="212E0F42" w:rsidR="00DD6BA6" w:rsidRPr="008F5BF0" w:rsidRDefault="00DD6BA6" w:rsidP="008F5BF0">
      <w:pPr>
        <w:rPr>
          <w:sz w:val="20"/>
          <w:szCs w:val="20"/>
        </w:rPr>
      </w:pPr>
      <w:r w:rsidRPr="008F5BF0">
        <w:rPr>
          <w:rStyle w:val="FootnoteReference"/>
          <w:sz w:val="20"/>
          <w:szCs w:val="20"/>
        </w:rPr>
        <w:footnoteRef/>
      </w:r>
      <w:r w:rsidRPr="008F5BF0">
        <w:rPr>
          <w:sz w:val="20"/>
          <w:szCs w:val="20"/>
        </w:rPr>
        <w:t xml:space="preserve"> </w:t>
      </w:r>
      <w:r w:rsidRPr="008F5BF0">
        <w:rPr>
          <w:i/>
          <w:sz w:val="20"/>
          <w:szCs w:val="20"/>
        </w:rPr>
        <w:t xml:space="preserve">Ibid </w:t>
      </w:r>
      <w:r w:rsidRPr="008F5BF0">
        <w:rPr>
          <w:sz w:val="20"/>
          <w:szCs w:val="20"/>
        </w:rPr>
        <w:t>at s 3(1).</w:t>
      </w:r>
    </w:p>
  </w:footnote>
  <w:footnote w:id="63">
    <w:p w14:paraId="0808A3D3" w14:textId="3D22C677" w:rsidR="00DD6BA6" w:rsidRPr="008F5BF0" w:rsidRDefault="00DD6BA6" w:rsidP="008F5BF0">
      <w:pPr>
        <w:rPr>
          <w:sz w:val="20"/>
          <w:szCs w:val="20"/>
        </w:rPr>
      </w:pPr>
      <w:r w:rsidRPr="008F5BF0">
        <w:rPr>
          <w:rStyle w:val="FootnoteReference"/>
          <w:sz w:val="20"/>
          <w:szCs w:val="20"/>
        </w:rPr>
        <w:footnoteRef/>
      </w:r>
      <w:r w:rsidRPr="008F5BF0">
        <w:rPr>
          <w:sz w:val="20"/>
          <w:szCs w:val="20"/>
        </w:rPr>
        <w:t xml:space="preserve"> Law Commission of India, ‘Eighty-Third Report on the Guardians and Wards Act, 1890 and Certain Provisions of the Hindu Minority and Guardianship Act, 1956’ (1980) ss 4.10, 4.13.</w:t>
      </w:r>
    </w:p>
  </w:footnote>
  <w:footnote w:id="64">
    <w:p w14:paraId="4E8194BE" w14:textId="699F0DBA" w:rsidR="00DD6BA6" w:rsidRPr="008F5BF0" w:rsidRDefault="00DD6BA6" w:rsidP="008F5BF0">
      <w:pPr>
        <w:rPr>
          <w:sz w:val="20"/>
          <w:szCs w:val="20"/>
        </w:rPr>
      </w:pPr>
      <w:r w:rsidRPr="008F5BF0">
        <w:rPr>
          <w:rStyle w:val="FootnoteReference"/>
          <w:sz w:val="20"/>
          <w:szCs w:val="20"/>
        </w:rPr>
        <w:footnoteRef/>
      </w:r>
      <w:r w:rsidRPr="008F5BF0">
        <w:rPr>
          <w:sz w:val="20"/>
          <w:szCs w:val="20"/>
        </w:rPr>
        <w:t xml:space="preserve"> </w:t>
      </w:r>
      <w:r w:rsidRPr="008F5BF0">
        <w:rPr>
          <w:i/>
          <w:sz w:val="20"/>
          <w:szCs w:val="20"/>
        </w:rPr>
        <w:t>Ibid</w:t>
      </w:r>
      <w:r w:rsidRPr="008F5BF0">
        <w:rPr>
          <w:sz w:val="20"/>
          <w:szCs w:val="20"/>
        </w:rPr>
        <w:t xml:space="preserve"> at s 4.13.</w:t>
      </w:r>
    </w:p>
  </w:footnote>
  <w:footnote w:id="65">
    <w:p w14:paraId="5C34149D" w14:textId="1444DBE3" w:rsidR="00DD6BA6" w:rsidRPr="008F5BF0" w:rsidRDefault="00DD6BA6" w:rsidP="008F5BF0">
      <w:pPr>
        <w:rPr>
          <w:sz w:val="20"/>
          <w:szCs w:val="20"/>
        </w:rPr>
      </w:pPr>
      <w:r w:rsidRPr="008F5BF0">
        <w:rPr>
          <w:rStyle w:val="FootnoteReference"/>
          <w:sz w:val="20"/>
          <w:szCs w:val="20"/>
        </w:rPr>
        <w:footnoteRef/>
      </w:r>
      <w:r w:rsidRPr="008F5BF0">
        <w:rPr>
          <w:sz w:val="20"/>
          <w:szCs w:val="20"/>
        </w:rPr>
        <w:t xml:space="preserve"> </w:t>
      </w:r>
      <w:r w:rsidRPr="008F5BF0">
        <w:rPr>
          <w:i/>
          <w:sz w:val="20"/>
          <w:szCs w:val="20"/>
        </w:rPr>
        <w:t>Ibid</w:t>
      </w:r>
      <w:r w:rsidRPr="008F5BF0">
        <w:rPr>
          <w:sz w:val="20"/>
          <w:szCs w:val="20"/>
        </w:rPr>
        <w:t xml:space="preserve"> at s 4.14.</w:t>
      </w:r>
    </w:p>
  </w:footnote>
  <w:footnote w:id="66">
    <w:p w14:paraId="5507B1D6" w14:textId="30B43EB3" w:rsidR="00DD6BA6" w:rsidRPr="008F5BF0" w:rsidRDefault="00DD6BA6" w:rsidP="008F5BF0">
      <w:pPr>
        <w:rPr>
          <w:sz w:val="20"/>
          <w:szCs w:val="20"/>
        </w:rPr>
      </w:pPr>
      <w:r w:rsidRPr="008F5BF0">
        <w:rPr>
          <w:rStyle w:val="FootnoteReference"/>
          <w:sz w:val="20"/>
          <w:szCs w:val="20"/>
        </w:rPr>
        <w:footnoteRef/>
      </w:r>
      <w:r w:rsidRPr="008F5BF0">
        <w:rPr>
          <w:sz w:val="20"/>
          <w:szCs w:val="20"/>
        </w:rPr>
        <w:t xml:space="preserve"> POCSO Act, s 41.</w:t>
      </w:r>
    </w:p>
  </w:footnote>
  <w:footnote w:id="67">
    <w:p w14:paraId="233E40AD" w14:textId="0DD62B74" w:rsidR="00DD6BA6" w:rsidRPr="008F5BF0" w:rsidRDefault="00DD6BA6" w:rsidP="008F5BF0">
      <w:pPr>
        <w:rPr>
          <w:sz w:val="20"/>
          <w:szCs w:val="20"/>
        </w:rPr>
      </w:pPr>
      <w:r w:rsidRPr="008F5BF0">
        <w:rPr>
          <w:rStyle w:val="FootnoteReference"/>
          <w:sz w:val="20"/>
          <w:szCs w:val="20"/>
        </w:rPr>
        <w:footnoteRef/>
      </w:r>
      <w:r w:rsidRPr="008F5BF0">
        <w:rPr>
          <w:sz w:val="20"/>
          <w:szCs w:val="20"/>
        </w:rPr>
        <w:t xml:space="preserve"> </w:t>
      </w:r>
      <w:r w:rsidRPr="008F5BF0">
        <w:rPr>
          <w:i/>
          <w:sz w:val="20"/>
          <w:szCs w:val="20"/>
        </w:rPr>
        <w:t xml:space="preserve">Ibid </w:t>
      </w:r>
      <w:r w:rsidRPr="008F5BF0">
        <w:rPr>
          <w:sz w:val="20"/>
          <w:szCs w:val="20"/>
        </w:rPr>
        <w:t>at s 2(2).</w:t>
      </w:r>
    </w:p>
  </w:footnote>
  <w:footnote w:id="68">
    <w:p w14:paraId="2643EFD6" w14:textId="6C4DAD1F" w:rsidR="00DD6BA6" w:rsidRPr="008F5BF0" w:rsidRDefault="00DD6BA6" w:rsidP="008F5BF0">
      <w:pPr>
        <w:rPr>
          <w:sz w:val="20"/>
          <w:szCs w:val="20"/>
        </w:rPr>
      </w:pPr>
      <w:r w:rsidRPr="008F5BF0">
        <w:rPr>
          <w:rStyle w:val="FootnoteReference"/>
          <w:sz w:val="20"/>
          <w:szCs w:val="20"/>
        </w:rPr>
        <w:footnoteRef/>
      </w:r>
      <w:r w:rsidRPr="008F5BF0">
        <w:rPr>
          <w:sz w:val="20"/>
          <w:szCs w:val="20"/>
        </w:rPr>
        <w:t xml:space="preserve"> Juvenile Justice (Care and Protection of Children) Act, 2000, s 2(31) (emphasis added).</w:t>
      </w:r>
    </w:p>
  </w:footnote>
  <w:footnote w:id="69">
    <w:p w14:paraId="25999469" w14:textId="47EBE872" w:rsidR="00DD6BA6" w:rsidRPr="008F5BF0" w:rsidRDefault="00DD6BA6" w:rsidP="008F5BF0">
      <w:pPr>
        <w:rPr>
          <w:rFonts w:eastAsia="Times New Roman" w:cs="Times New Roman"/>
          <w:sz w:val="20"/>
          <w:szCs w:val="20"/>
        </w:rPr>
      </w:pPr>
      <w:r w:rsidRPr="008F5BF0">
        <w:rPr>
          <w:rStyle w:val="FootnoteReference"/>
          <w:sz w:val="20"/>
          <w:szCs w:val="20"/>
        </w:rPr>
        <w:footnoteRef/>
      </w:r>
      <w:r w:rsidRPr="008F5BF0">
        <w:rPr>
          <w:sz w:val="20"/>
          <w:szCs w:val="20"/>
        </w:rPr>
        <w:t xml:space="preserve"> Indian Social Institute, ‘Children/ Child Labor’ (2011) 14-15 </w:t>
      </w:r>
      <w:r w:rsidRPr="008F5BF0">
        <w:rPr>
          <w:rFonts w:eastAsia="Times New Roman" w:cs="Times New Roman"/>
          <w:b/>
          <w:sz w:val="20"/>
          <w:szCs w:val="20"/>
        </w:rPr>
        <w:t>www.isidelhi.org.in/hrnews/HR_THEMATIC_ISSUES/Children/Children-2011.pdf.</w:t>
      </w:r>
    </w:p>
  </w:footnote>
  <w:footnote w:id="70">
    <w:p w14:paraId="0FDF4F32" w14:textId="38947F64" w:rsidR="00DD6BA6" w:rsidRPr="008F5BF0" w:rsidRDefault="00DD6BA6" w:rsidP="008F5BF0">
      <w:pPr>
        <w:rPr>
          <w:sz w:val="20"/>
          <w:szCs w:val="20"/>
        </w:rPr>
      </w:pPr>
      <w:r w:rsidRPr="008F5BF0">
        <w:rPr>
          <w:rStyle w:val="FootnoteReference"/>
          <w:sz w:val="20"/>
          <w:szCs w:val="20"/>
        </w:rPr>
        <w:footnoteRef/>
      </w:r>
      <w:r w:rsidRPr="008F5BF0">
        <w:rPr>
          <w:sz w:val="20"/>
          <w:szCs w:val="20"/>
        </w:rPr>
        <w:t xml:space="preserve"> ‘Judicial Bypass FAQ’ (Planned Parenthood of the Rocky Mountain, 2016) </w:t>
      </w:r>
      <w:r w:rsidRPr="008F5BF0">
        <w:rPr>
          <w:b/>
          <w:sz w:val="20"/>
          <w:szCs w:val="20"/>
        </w:rPr>
        <w:t>www.plannedparenthood.org/planned-parenthood-rocky-mountains/judicial-bypass-faq</w:t>
      </w:r>
      <w:r w:rsidRPr="008F5BF0">
        <w:rPr>
          <w:sz w:val="20"/>
          <w:szCs w:val="20"/>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BE0F8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172883"/>
    <w:multiLevelType w:val="hybridMultilevel"/>
    <w:tmpl w:val="CD500E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29A7BAE"/>
    <w:multiLevelType w:val="hybridMultilevel"/>
    <w:tmpl w:val="34AAB69A"/>
    <w:lvl w:ilvl="0" w:tplc="96A015A2">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8C19AE"/>
    <w:multiLevelType w:val="hybridMultilevel"/>
    <w:tmpl w:val="A78C16F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88C1B7B"/>
    <w:multiLevelType w:val="hybridMultilevel"/>
    <w:tmpl w:val="1C80B0B8"/>
    <w:lvl w:ilvl="0" w:tplc="2C7A898C">
      <w:start w:val="1"/>
      <w:numFmt w:val="decimal"/>
      <w:pStyle w:val="Heading2"/>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5A399B"/>
    <w:multiLevelType w:val="hybridMultilevel"/>
    <w:tmpl w:val="B21C672E"/>
    <w:lvl w:ilvl="0" w:tplc="04090001">
      <w:numFmt w:val="bullet"/>
      <w:lvlText w:val=""/>
      <w:lvlJc w:val="left"/>
      <w:pPr>
        <w:ind w:left="360" w:hanging="360"/>
      </w:pPr>
      <w:rPr>
        <w:rFonts w:ascii="Symbol" w:eastAsia="Times New Roman"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B43702"/>
    <w:multiLevelType w:val="hybridMultilevel"/>
    <w:tmpl w:val="5B94DA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E74049"/>
    <w:multiLevelType w:val="hybridMultilevel"/>
    <w:tmpl w:val="CCB02EA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8D00FAC"/>
    <w:multiLevelType w:val="hybridMultilevel"/>
    <w:tmpl w:val="B65468A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DEB01C0"/>
    <w:multiLevelType w:val="hybridMultilevel"/>
    <w:tmpl w:val="3A263C44"/>
    <w:lvl w:ilvl="0" w:tplc="87DECB48">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F314928"/>
    <w:multiLevelType w:val="hybridMultilevel"/>
    <w:tmpl w:val="B28E84EA"/>
    <w:lvl w:ilvl="0" w:tplc="832A7F08">
      <w:start w:val="4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4B33A6"/>
    <w:multiLevelType w:val="hybridMultilevel"/>
    <w:tmpl w:val="375AC08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201449E"/>
    <w:multiLevelType w:val="hybridMultilevel"/>
    <w:tmpl w:val="01CADF9C"/>
    <w:lvl w:ilvl="0" w:tplc="A8C4EB86">
      <w:start w:val="1"/>
      <w:numFmt w:val="upp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28160FFB"/>
    <w:multiLevelType w:val="hybridMultilevel"/>
    <w:tmpl w:val="886AEB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252FA6"/>
    <w:multiLevelType w:val="hybridMultilevel"/>
    <w:tmpl w:val="FE884B56"/>
    <w:lvl w:ilvl="0" w:tplc="04090001">
      <w:start w:val="3"/>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B4231D8"/>
    <w:multiLevelType w:val="hybridMultilevel"/>
    <w:tmpl w:val="8A9293CE"/>
    <w:lvl w:ilvl="0" w:tplc="CAAA873C">
      <w:start w:val="410"/>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D376395"/>
    <w:multiLevelType w:val="hybridMultilevel"/>
    <w:tmpl w:val="273EEA5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F02C14"/>
    <w:multiLevelType w:val="hybridMultilevel"/>
    <w:tmpl w:val="85FEC4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3006D6"/>
    <w:multiLevelType w:val="hybridMultilevel"/>
    <w:tmpl w:val="059C722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AA5CEF"/>
    <w:multiLevelType w:val="hybridMultilevel"/>
    <w:tmpl w:val="D6AE7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D75F82"/>
    <w:multiLevelType w:val="hybridMultilevel"/>
    <w:tmpl w:val="23CA6CCE"/>
    <w:lvl w:ilvl="0" w:tplc="5FE081C0">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97176E"/>
    <w:multiLevelType w:val="hybridMultilevel"/>
    <w:tmpl w:val="0C5A5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1904B2"/>
    <w:multiLevelType w:val="hybridMultilevel"/>
    <w:tmpl w:val="1430D12A"/>
    <w:lvl w:ilvl="0" w:tplc="49C6A360">
      <w:start w:val="1"/>
      <w:numFmt w:val="decimal"/>
      <w:lvlText w:val="%1."/>
      <w:lvlJc w:val="left"/>
      <w:pPr>
        <w:tabs>
          <w:tab w:val="num" w:pos="720"/>
        </w:tabs>
        <w:ind w:left="720" w:hanging="360"/>
      </w:pPr>
      <w:rPr>
        <w:rFonts w:hint="default"/>
        <w:b w:val="0"/>
        <w:i w:val="0"/>
        <w:color w:val="auto"/>
      </w:rPr>
    </w:lvl>
    <w:lvl w:ilvl="1" w:tplc="73C8338A">
      <w:start w:val="1"/>
      <w:numFmt w:val="bullet"/>
      <w:lvlText w:val=""/>
      <w:lvlJc w:val="left"/>
      <w:pPr>
        <w:tabs>
          <w:tab w:val="num" w:pos="1437"/>
        </w:tabs>
        <w:ind w:left="1250" w:hanging="170"/>
      </w:pPr>
      <w:rPr>
        <w:rFonts w:ascii="Symbol" w:hAnsi="Symbol" w:hint="default"/>
        <w:b w:val="0"/>
        <w:i w:val="0"/>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65F7A36"/>
    <w:multiLevelType w:val="hybridMultilevel"/>
    <w:tmpl w:val="108AC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7B2EF1"/>
    <w:multiLevelType w:val="hybridMultilevel"/>
    <w:tmpl w:val="EF96EEBE"/>
    <w:lvl w:ilvl="0" w:tplc="B2B0936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48389E"/>
    <w:multiLevelType w:val="hybridMultilevel"/>
    <w:tmpl w:val="3C4223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BD51F3"/>
    <w:multiLevelType w:val="hybridMultilevel"/>
    <w:tmpl w:val="256C18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994621"/>
    <w:multiLevelType w:val="hybridMultilevel"/>
    <w:tmpl w:val="81E6BD16"/>
    <w:lvl w:ilvl="0" w:tplc="26782400">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EE00E28"/>
    <w:multiLevelType w:val="hybridMultilevel"/>
    <w:tmpl w:val="87BA943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F0042B2"/>
    <w:multiLevelType w:val="hybridMultilevel"/>
    <w:tmpl w:val="4412D724"/>
    <w:lvl w:ilvl="0" w:tplc="51905AE4">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02F25EF"/>
    <w:multiLevelType w:val="hybridMultilevel"/>
    <w:tmpl w:val="B1ACBA0A"/>
    <w:lvl w:ilvl="0" w:tplc="04090001">
      <w:start w:val="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74B63E8"/>
    <w:multiLevelType w:val="hybridMultilevel"/>
    <w:tmpl w:val="266098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85094E"/>
    <w:multiLevelType w:val="hybridMultilevel"/>
    <w:tmpl w:val="06322586"/>
    <w:lvl w:ilvl="0" w:tplc="CC0206AA">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CE67035"/>
    <w:multiLevelType w:val="hybridMultilevel"/>
    <w:tmpl w:val="D0DE60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7BD502E"/>
    <w:multiLevelType w:val="hybridMultilevel"/>
    <w:tmpl w:val="71869F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0211E0"/>
    <w:multiLevelType w:val="hybridMultilevel"/>
    <w:tmpl w:val="93464FFE"/>
    <w:lvl w:ilvl="0" w:tplc="EEA274C8">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A81F1A"/>
    <w:multiLevelType w:val="hybridMultilevel"/>
    <w:tmpl w:val="E17042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5"/>
  </w:num>
  <w:num w:numId="3">
    <w:abstractNumId w:val="27"/>
  </w:num>
  <w:num w:numId="4">
    <w:abstractNumId w:val="22"/>
  </w:num>
  <w:num w:numId="5">
    <w:abstractNumId w:val="32"/>
  </w:num>
  <w:num w:numId="6">
    <w:abstractNumId w:val="9"/>
  </w:num>
  <w:num w:numId="7">
    <w:abstractNumId w:val="19"/>
  </w:num>
  <w:num w:numId="8">
    <w:abstractNumId w:val="23"/>
  </w:num>
  <w:num w:numId="9">
    <w:abstractNumId w:val="25"/>
  </w:num>
  <w:num w:numId="10">
    <w:abstractNumId w:val="5"/>
  </w:num>
  <w:num w:numId="11">
    <w:abstractNumId w:val="4"/>
  </w:num>
  <w:num w:numId="12">
    <w:abstractNumId w:val="10"/>
  </w:num>
  <w:num w:numId="13">
    <w:abstractNumId w:val="15"/>
  </w:num>
  <w:num w:numId="14">
    <w:abstractNumId w:val="14"/>
  </w:num>
  <w:num w:numId="15">
    <w:abstractNumId w:val="24"/>
  </w:num>
  <w:num w:numId="16">
    <w:abstractNumId w:val="18"/>
  </w:num>
  <w:num w:numId="17">
    <w:abstractNumId w:val="30"/>
  </w:num>
  <w:num w:numId="18">
    <w:abstractNumId w:val="3"/>
  </w:num>
  <w:num w:numId="19">
    <w:abstractNumId w:val="12"/>
  </w:num>
  <w:num w:numId="20">
    <w:abstractNumId w:val="21"/>
  </w:num>
  <w:num w:numId="21">
    <w:abstractNumId w:val="34"/>
  </w:num>
  <w:num w:numId="22">
    <w:abstractNumId w:val="17"/>
  </w:num>
  <w:num w:numId="23">
    <w:abstractNumId w:val="4"/>
  </w:num>
  <w:num w:numId="24">
    <w:abstractNumId w:val="6"/>
  </w:num>
  <w:num w:numId="25">
    <w:abstractNumId w:val="7"/>
  </w:num>
  <w:num w:numId="26">
    <w:abstractNumId w:val="1"/>
  </w:num>
  <w:num w:numId="27">
    <w:abstractNumId w:val="11"/>
  </w:num>
  <w:num w:numId="28">
    <w:abstractNumId w:val="16"/>
  </w:num>
  <w:num w:numId="29">
    <w:abstractNumId w:val="20"/>
  </w:num>
  <w:num w:numId="30">
    <w:abstractNumId w:val="28"/>
  </w:num>
  <w:num w:numId="31">
    <w:abstractNumId w:val="33"/>
  </w:num>
  <w:num w:numId="32">
    <w:abstractNumId w:val="8"/>
  </w:num>
  <w:num w:numId="33">
    <w:abstractNumId w:val="26"/>
  </w:num>
  <w:num w:numId="34">
    <w:abstractNumId w:val="31"/>
  </w:num>
  <w:num w:numId="35">
    <w:abstractNumId w:val="29"/>
  </w:num>
  <w:num w:numId="36">
    <w:abstractNumId w:val="13"/>
  </w:num>
  <w:num w:numId="37">
    <w:abstractNumId w:val="36"/>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US" w:vendorID="64" w:dllVersion="6" w:nlCheck="1" w:checkStyle="0"/>
  <w:activeWritingStyle w:appName="MSWord" w:lang="en-US"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610"/>
    <w:rsid w:val="00000175"/>
    <w:rsid w:val="0000072C"/>
    <w:rsid w:val="00000930"/>
    <w:rsid w:val="00001C69"/>
    <w:rsid w:val="00002552"/>
    <w:rsid w:val="00002F9B"/>
    <w:rsid w:val="000037E9"/>
    <w:rsid w:val="00004579"/>
    <w:rsid w:val="00004DCA"/>
    <w:rsid w:val="00005133"/>
    <w:rsid w:val="00005ECA"/>
    <w:rsid w:val="00007161"/>
    <w:rsid w:val="00010479"/>
    <w:rsid w:val="00011753"/>
    <w:rsid w:val="00013E3E"/>
    <w:rsid w:val="000148DE"/>
    <w:rsid w:val="00015410"/>
    <w:rsid w:val="00015F98"/>
    <w:rsid w:val="00015FF2"/>
    <w:rsid w:val="0001614A"/>
    <w:rsid w:val="0001670A"/>
    <w:rsid w:val="00016BE3"/>
    <w:rsid w:val="00020EF0"/>
    <w:rsid w:val="000215E6"/>
    <w:rsid w:val="00022202"/>
    <w:rsid w:val="00022814"/>
    <w:rsid w:val="00022896"/>
    <w:rsid w:val="00022E27"/>
    <w:rsid w:val="00022ECE"/>
    <w:rsid w:val="000232C4"/>
    <w:rsid w:val="000248D4"/>
    <w:rsid w:val="00024A61"/>
    <w:rsid w:val="00024B3D"/>
    <w:rsid w:val="000260A0"/>
    <w:rsid w:val="00026AB0"/>
    <w:rsid w:val="000276B0"/>
    <w:rsid w:val="000307E6"/>
    <w:rsid w:val="00031FDE"/>
    <w:rsid w:val="00032825"/>
    <w:rsid w:val="00033EA0"/>
    <w:rsid w:val="000342E8"/>
    <w:rsid w:val="00034D5A"/>
    <w:rsid w:val="00036BDF"/>
    <w:rsid w:val="00036C21"/>
    <w:rsid w:val="00036F0F"/>
    <w:rsid w:val="00036F99"/>
    <w:rsid w:val="0003759E"/>
    <w:rsid w:val="000378E4"/>
    <w:rsid w:val="000405DD"/>
    <w:rsid w:val="00041B10"/>
    <w:rsid w:val="00041DD2"/>
    <w:rsid w:val="0004216C"/>
    <w:rsid w:val="00042B54"/>
    <w:rsid w:val="00042D4D"/>
    <w:rsid w:val="000432A7"/>
    <w:rsid w:val="0004568B"/>
    <w:rsid w:val="00045B94"/>
    <w:rsid w:val="00045E2E"/>
    <w:rsid w:val="00045FCB"/>
    <w:rsid w:val="00047A30"/>
    <w:rsid w:val="00047FD1"/>
    <w:rsid w:val="00050869"/>
    <w:rsid w:val="000511F4"/>
    <w:rsid w:val="00051711"/>
    <w:rsid w:val="000526EF"/>
    <w:rsid w:val="000531FC"/>
    <w:rsid w:val="000535FF"/>
    <w:rsid w:val="00054FA6"/>
    <w:rsid w:val="00055561"/>
    <w:rsid w:val="000561F3"/>
    <w:rsid w:val="000565D8"/>
    <w:rsid w:val="00056FDA"/>
    <w:rsid w:val="00057AD7"/>
    <w:rsid w:val="000600E1"/>
    <w:rsid w:val="0006019C"/>
    <w:rsid w:val="00060890"/>
    <w:rsid w:val="00060B4E"/>
    <w:rsid w:val="00060E1F"/>
    <w:rsid w:val="0006177F"/>
    <w:rsid w:val="0006219F"/>
    <w:rsid w:val="0006306D"/>
    <w:rsid w:val="00063508"/>
    <w:rsid w:val="00064A5D"/>
    <w:rsid w:val="00064E39"/>
    <w:rsid w:val="00065939"/>
    <w:rsid w:val="00065F51"/>
    <w:rsid w:val="00066143"/>
    <w:rsid w:val="000661C8"/>
    <w:rsid w:val="00066795"/>
    <w:rsid w:val="00070840"/>
    <w:rsid w:val="00071917"/>
    <w:rsid w:val="00071AA4"/>
    <w:rsid w:val="00071CCC"/>
    <w:rsid w:val="00072A0B"/>
    <w:rsid w:val="00072AA0"/>
    <w:rsid w:val="00072FAC"/>
    <w:rsid w:val="000749CB"/>
    <w:rsid w:val="00074E63"/>
    <w:rsid w:val="00074F6A"/>
    <w:rsid w:val="000750FA"/>
    <w:rsid w:val="00075C6A"/>
    <w:rsid w:val="00076F9F"/>
    <w:rsid w:val="00077CDD"/>
    <w:rsid w:val="00080AFF"/>
    <w:rsid w:val="00080B10"/>
    <w:rsid w:val="00080F6C"/>
    <w:rsid w:val="000826B2"/>
    <w:rsid w:val="00082935"/>
    <w:rsid w:val="00083242"/>
    <w:rsid w:val="00083367"/>
    <w:rsid w:val="0008387E"/>
    <w:rsid w:val="0008440C"/>
    <w:rsid w:val="0008495F"/>
    <w:rsid w:val="0008586D"/>
    <w:rsid w:val="00085EBE"/>
    <w:rsid w:val="00087361"/>
    <w:rsid w:val="00087E57"/>
    <w:rsid w:val="000904B0"/>
    <w:rsid w:val="0009060B"/>
    <w:rsid w:val="0009196D"/>
    <w:rsid w:val="00092340"/>
    <w:rsid w:val="00092381"/>
    <w:rsid w:val="00093023"/>
    <w:rsid w:val="0009305E"/>
    <w:rsid w:val="000930B4"/>
    <w:rsid w:val="000932E4"/>
    <w:rsid w:val="00093FEE"/>
    <w:rsid w:val="00094364"/>
    <w:rsid w:val="00094587"/>
    <w:rsid w:val="00094AD8"/>
    <w:rsid w:val="00094FF0"/>
    <w:rsid w:val="00095CEF"/>
    <w:rsid w:val="00096D0E"/>
    <w:rsid w:val="000A1DE8"/>
    <w:rsid w:val="000A287F"/>
    <w:rsid w:val="000A2F5E"/>
    <w:rsid w:val="000A319D"/>
    <w:rsid w:val="000A4C52"/>
    <w:rsid w:val="000A5493"/>
    <w:rsid w:val="000A5A4C"/>
    <w:rsid w:val="000A68CF"/>
    <w:rsid w:val="000A6EB8"/>
    <w:rsid w:val="000A6EF6"/>
    <w:rsid w:val="000B04BD"/>
    <w:rsid w:val="000B04C2"/>
    <w:rsid w:val="000B0569"/>
    <w:rsid w:val="000B0DDD"/>
    <w:rsid w:val="000B0FFC"/>
    <w:rsid w:val="000B1430"/>
    <w:rsid w:val="000B3239"/>
    <w:rsid w:val="000B500A"/>
    <w:rsid w:val="000B5361"/>
    <w:rsid w:val="000B5819"/>
    <w:rsid w:val="000B5A59"/>
    <w:rsid w:val="000B5A77"/>
    <w:rsid w:val="000B5C9F"/>
    <w:rsid w:val="000B6062"/>
    <w:rsid w:val="000B6E13"/>
    <w:rsid w:val="000C0396"/>
    <w:rsid w:val="000C0C7A"/>
    <w:rsid w:val="000C0CE2"/>
    <w:rsid w:val="000C1307"/>
    <w:rsid w:val="000C1540"/>
    <w:rsid w:val="000C2D9B"/>
    <w:rsid w:val="000C3BC1"/>
    <w:rsid w:val="000C5100"/>
    <w:rsid w:val="000C5C2C"/>
    <w:rsid w:val="000C65F5"/>
    <w:rsid w:val="000C6A44"/>
    <w:rsid w:val="000C6E57"/>
    <w:rsid w:val="000C76A2"/>
    <w:rsid w:val="000C76F8"/>
    <w:rsid w:val="000D1469"/>
    <w:rsid w:val="000D16EB"/>
    <w:rsid w:val="000D19D4"/>
    <w:rsid w:val="000D219D"/>
    <w:rsid w:val="000D3166"/>
    <w:rsid w:val="000D3BBD"/>
    <w:rsid w:val="000D463C"/>
    <w:rsid w:val="000D4F81"/>
    <w:rsid w:val="000D5D4E"/>
    <w:rsid w:val="000D6285"/>
    <w:rsid w:val="000D6799"/>
    <w:rsid w:val="000E1ACD"/>
    <w:rsid w:val="000E353F"/>
    <w:rsid w:val="000E446F"/>
    <w:rsid w:val="000E5EF1"/>
    <w:rsid w:val="000E6B09"/>
    <w:rsid w:val="000E6F8A"/>
    <w:rsid w:val="000E704A"/>
    <w:rsid w:val="000E75E1"/>
    <w:rsid w:val="000F136F"/>
    <w:rsid w:val="000F1B60"/>
    <w:rsid w:val="000F2CA2"/>
    <w:rsid w:val="000F3A59"/>
    <w:rsid w:val="000F3CED"/>
    <w:rsid w:val="000F5DED"/>
    <w:rsid w:val="000F6163"/>
    <w:rsid w:val="000F62AD"/>
    <w:rsid w:val="000F65C6"/>
    <w:rsid w:val="000F67DC"/>
    <w:rsid w:val="000F69A2"/>
    <w:rsid w:val="000F7353"/>
    <w:rsid w:val="00100690"/>
    <w:rsid w:val="001007AC"/>
    <w:rsid w:val="001008C3"/>
    <w:rsid w:val="001018ED"/>
    <w:rsid w:val="001023EC"/>
    <w:rsid w:val="0010241F"/>
    <w:rsid w:val="00102657"/>
    <w:rsid w:val="0010297C"/>
    <w:rsid w:val="00102BC4"/>
    <w:rsid w:val="001057AD"/>
    <w:rsid w:val="00107765"/>
    <w:rsid w:val="001102B2"/>
    <w:rsid w:val="001106DF"/>
    <w:rsid w:val="00111200"/>
    <w:rsid w:val="00111F96"/>
    <w:rsid w:val="00112AC2"/>
    <w:rsid w:val="00112D8B"/>
    <w:rsid w:val="001132ED"/>
    <w:rsid w:val="00113A24"/>
    <w:rsid w:val="00113C06"/>
    <w:rsid w:val="00113FE6"/>
    <w:rsid w:val="0011558F"/>
    <w:rsid w:val="00115BA4"/>
    <w:rsid w:val="001162FE"/>
    <w:rsid w:val="0011655A"/>
    <w:rsid w:val="001177AC"/>
    <w:rsid w:val="0011780E"/>
    <w:rsid w:val="00120A72"/>
    <w:rsid w:val="00123164"/>
    <w:rsid w:val="00123F9B"/>
    <w:rsid w:val="00124D24"/>
    <w:rsid w:val="00125AA5"/>
    <w:rsid w:val="00125C4A"/>
    <w:rsid w:val="00125DF0"/>
    <w:rsid w:val="00127323"/>
    <w:rsid w:val="0012745C"/>
    <w:rsid w:val="00127A6D"/>
    <w:rsid w:val="001301D4"/>
    <w:rsid w:val="00130533"/>
    <w:rsid w:val="001314FB"/>
    <w:rsid w:val="0013154A"/>
    <w:rsid w:val="0013168F"/>
    <w:rsid w:val="00132454"/>
    <w:rsid w:val="00132862"/>
    <w:rsid w:val="00133738"/>
    <w:rsid w:val="00133D28"/>
    <w:rsid w:val="001346E6"/>
    <w:rsid w:val="00134D89"/>
    <w:rsid w:val="00135B54"/>
    <w:rsid w:val="00136D15"/>
    <w:rsid w:val="0013716D"/>
    <w:rsid w:val="00140519"/>
    <w:rsid w:val="00140DC3"/>
    <w:rsid w:val="00140FE6"/>
    <w:rsid w:val="0014111B"/>
    <w:rsid w:val="0014188F"/>
    <w:rsid w:val="001418A6"/>
    <w:rsid w:val="001419C3"/>
    <w:rsid w:val="00141AC1"/>
    <w:rsid w:val="00141EB1"/>
    <w:rsid w:val="00143FD1"/>
    <w:rsid w:val="001448D9"/>
    <w:rsid w:val="00144E26"/>
    <w:rsid w:val="00145634"/>
    <w:rsid w:val="0014677E"/>
    <w:rsid w:val="00146F39"/>
    <w:rsid w:val="00147614"/>
    <w:rsid w:val="00147739"/>
    <w:rsid w:val="00151159"/>
    <w:rsid w:val="001513C7"/>
    <w:rsid w:val="00151ED9"/>
    <w:rsid w:val="0015214F"/>
    <w:rsid w:val="00152606"/>
    <w:rsid w:val="001541B4"/>
    <w:rsid w:val="001542CE"/>
    <w:rsid w:val="00154F2D"/>
    <w:rsid w:val="001550AD"/>
    <w:rsid w:val="00155696"/>
    <w:rsid w:val="00155C08"/>
    <w:rsid w:val="00156489"/>
    <w:rsid w:val="00156BD1"/>
    <w:rsid w:val="00156EAD"/>
    <w:rsid w:val="0016054D"/>
    <w:rsid w:val="00160A8F"/>
    <w:rsid w:val="00161A03"/>
    <w:rsid w:val="001625FD"/>
    <w:rsid w:val="00164E4B"/>
    <w:rsid w:val="0016521A"/>
    <w:rsid w:val="0016635A"/>
    <w:rsid w:val="00166E7F"/>
    <w:rsid w:val="0016717D"/>
    <w:rsid w:val="00170844"/>
    <w:rsid w:val="0017121D"/>
    <w:rsid w:val="00171383"/>
    <w:rsid w:val="00171498"/>
    <w:rsid w:val="0017171E"/>
    <w:rsid w:val="00171E52"/>
    <w:rsid w:val="00174311"/>
    <w:rsid w:val="001750F8"/>
    <w:rsid w:val="00175B4C"/>
    <w:rsid w:val="00175C5A"/>
    <w:rsid w:val="00176008"/>
    <w:rsid w:val="0017658D"/>
    <w:rsid w:val="00176807"/>
    <w:rsid w:val="00177537"/>
    <w:rsid w:val="00180160"/>
    <w:rsid w:val="001805A0"/>
    <w:rsid w:val="0018127C"/>
    <w:rsid w:val="00181C62"/>
    <w:rsid w:val="00181F79"/>
    <w:rsid w:val="0018221E"/>
    <w:rsid w:val="001852AF"/>
    <w:rsid w:val="001859A8"/>
    <w:rsid w:val="0018648D"/>
    <w:rsid w:val="001868DE"/>
    <w:rsid w:val="00187158"/>
    <w:rsid w:val="00190178"/>
    <w:rsid w:val="0019096E"/>
    <w:rsid w:val="001909E0"/>
    <w:rsid w:val="00190DC1"/>
    <w:rsid w:val="00191A72"/>
    <w:rsid w:val="00192328"/>
    <w:rsid w:val="00192616"/>
    <w:rsid w:val="00192F49"/>
    <w:rsid w:val="001931C5"/>
    <w:rsid w:val="00194A73"/>
    <w:rsid w:val="0019519C"/>
    <w:rsid w:val="001952DC"/>
    <w:rsid w:val="00196115"/>
    <w:rsid w:val="001976D9"/>
    <w:rsid w:val="00197A82"/>
    <w:rsid w:val="001A0D0B"/>
    <w:rsid w:val="001A0E48"/>
    <w:rsid w:val="001A205D"/>
    <w:rsid w:val="001A2201"/>
    <w:rsid w:val="001A2411"/>
    <w:rsid w:val="001A25C8"/>
    <w:rsid w:val="001A36A3"/>
    <w:rsid w:val="001A3B6D"/>
    <w:rsid w:val="001A498E"/>
    <w:rsid w:val="001A4BB2"/>
    <w:rsid w:val="001A61A9"/>
    <w:rsid w:val="001A6426"/>
    <w:rsid w:val="001A6E8D"/>
    <w:rsid w:val="001A6F42"/>
    <w:rsid w:val="001A796F"/>
    <w:rsid w:val="001B0FA1"/>
    <w:rsid w:val="001B1922"/>
    <w:rsid w:val="001B1AB8"/>
    <w:rsid w:val="001B207C"/>
    <w:rsid w:val="001B21C3"/>
    <w:rsid w:val="001B44D8"/>
    <w:rsid w:val="001B4505"/>
    <w:rsid w:val="001B4A82"/>
    <w:rsid w:val="001B5BDB"/>
    <w:rsid w:val="001B6CA6"/>
    <w:rsid w:val="001C015E"/>
    <w:rsid w:val="001C09DC"/>
    <w:rsid w:val="001C105F"/>
    <w:rsid w:val="001C1459"/>
    <w:rsid w:val="001C21AB"/>
    <w:rsid w:val="001C2729"/>
    <w:rsid w:val="001C4183"/>
    <w:rsid w:val="001C487E"/>
    <w:rsid w:val="001C4917"/>
    <w:rsid w:val="001C5B3D"/>
    <w:rsid w:val="001C6051"/>
    <w:rsid w:val="001C6C4E"/>
    <w:rsid w:val="001C7759"/>
    <w:rsid w:val="001D04DC"/>
    <w:rsid w:val="001D07D9"/>
    <w:rsid w:val="001D1028"/>
    <w:rsid w:val="001D1C7E"/>
    <w:rsid w:val="001D2233"/>
    <w:rsid w:val="001D22C9"/>
    <w:rsid w:val="001D2809"/>
    <w:rsid w:val="001D2DF3"/>
    <w:rsid w:val="001D35CE"/>
    <w:rsid w:val="001D3803"/>
    <w:rsid w:val="001D4BA5"/>
    <w:rsid w:val="001D5C29"/>
    <w:rsid w:val="001D5F58"/>
    <w:rsid w:val="001D653A"/>
    <w:rsid w:val="001D6731"/>
    <w:rsid w:val="001D6BDC"/>
    <w:rsid w:val="001D7109"/>
    <w:rsid w:val="001E03D3"/>
    <w:rsid w:val="001E0B2E"/>
    <w:rsid w:val="001E0B64"/>
    <w:rsid w:val="001E28CE"/>
    <w:rsid w:val="001E2CB0"/>
    <w:rsid w:val="001E399F"/>
    <w:rsid w:val="001E495B"/>
    <w:rsid w:val="001E4993"/>
    <w:rsid w:val="001E51EB"/>
    <w:rsid w:val="001E54E9"/>
    <w:rsid w:val="001E6EC6"/>
    <w:rsid w:val="001E7025"/>
    <w:rsid w:val="001E7224"/>
    <w:rsid w:val="001E7258"/>
    <w:rsid w:val="001F0055"/>
    <w:rsid w:val="001F0BCF"/>
    <w:rsid w:val="001F0F31"/>
    <w:rsid w:val="001F0F8E"/>
    <w:rsid w:val="001F1525"/>
    <w:rsid w:val="001F1546"/>
    <w:rsid w:val="001F1C38"/>
    <w:rsid w:val="001F2E91"/>
    <w:rsid w:val="001F341B"/>
    <w:rsid w:val="001F3EFF"/>
    <w:rsid w:val="001F4ADD"/>
    <w:rsid w:val="001F6467"/>
    <w:rsid w:val="002002AB"/>
    <w:rsid w:val="002006FF"/>
    <w:rsid w:val="0020169B"/>
    <w:rsid w:val="002016B3"/>
    <w:rsid w:val="00202121"/>
    <w:rsid w:val="002026A0"/>
    <w:rsid w:val="00202BE4"/>
    <w:rsid w:val="00203935"/>
    <w:rsid w:val="00203DAA"/>
    <w:rsid w:val="002049D6"/>
    <w:rsid w:val="00205159"/>
    <w:rsid w:val="00205502"/>
    <w:rsid w:val="00205EF2"/>
    <w:rsid w:val="002068BC"/>
    <w:rsid w:val="0020796C"/>
    <w:rsid w:val="002107EB"/>
    <w:rsid w:val="0021087C"/>
    <w:rsid w:val="00211390"/>
    <w:rsid w:val="00211B7C"/>
    <w:rsid w:val="00212E50"/>
    <w:rsid w:val="00213723"/>
    <w:rsid w:val="00213C03"/>
    <w:rsid w:val="002141E2"/>
    <w:rsid w:val="0021436D"/>
    <w:rsid w:val="00215299"/>
    <w:rsid w:val="00215655"/>
    <w:rsid w:val="00215692"/>
    <w:rsid w:val="00215850"/>
    <w:rsid w:val="00215EB0"/>
    <w:rsid w:val="002168A3"/>
    <w:rsid w:val="00217107"/>
    <w:rsid w:val="002177B7"/>
    <w:rsid w:val="00217BB1"/>
    <w:rsid w:val="00220DFC"/>
    <w:rsid w:val="002232F7"/>
    <w:rsid w:val="00223F87"/>
    <w:rsid w:val="002241FE"/>
    <w:rsid w:val="0022449C"/>
    <w:rsid w:val="002251E1"/>
    <w:rsid w:val="002265E8"/>
    <w:rsid w:val="002306DE"/>
    <w:rsid w:val="00230F96"/>
    <w:rsid w:val="002314AA"/>
    <w:rsid w:val="00231991"/>
    <w:rsid w:val="00231E2C"/>
    <w:rsid w:val="00231EBA"/>
    <w:rsid w:val="00233411"/>
    <w:rsid w:val="00234AC2"/>
    <w:rsid w:val="00234D36"/>
    <w:rsid w:val="0023697E"/>
    <w:rsid w:val="002371C3"/>
    <w:rsid w:val="00237B27"/>
    <w:rsid w:val="00237BA5"/>
    <w:rsid w:val="0024048A"/>
    <w:rsid w:val="00240C02"/>
    <w:rsid w:val="00241B36"/>
    <w:rsid w:val="002422A6"/>
    <w:rsid w:val="002436AA"/>
    <w:rsid w:val="00245727"/>
    <w:rsid w:val="00245D07"/>
    <w:rsid w:val="002466FA"/>
    <w:rsid w:val="00246C1E"/>
    <w:rsid w:val="00246DF4"/>
    <w:rsid w:val="00250030"/>
    <w:rsid w:val="00250F5C"/>
    <w:rsid w:val="00251163"/>
    <w:rsid w:val="00251945"/>
    <w:rsid w:val="002519AA"/>
    <w:rsid w:val="00251EB2"/>
    <w:rsid w:val="00252E57"/>
    <w:rsid w:val="00252FF5"/>
    <w:rsid w:val="002532ED"/>
    <w:rsid w:val="002539D7"/>
    <w:rsid w:val="00253AD0"/>
    <w:rsid w:val="0025437C"/>
    <w:rsid w:val="00254D45"/>
    <w:rsid w:val="00254E93"/>
    <w:rsid w:val="00255150"/>
    <w:rsid w:val="00256C1C"/>
    <w:rsid w:val="00256D88"/>
    <w:rsid w:val="002572B8"/>
    <w:rsid w:val="00260AEA"/>
    <w:rsid w:val="00263C64"/>
    <w:rsid w:val="00263DB6"/>
    <w:rsid w:val="00263E48"/>
    <w:rsid w:val="00264B60"/>
    <w:rsid w:val="00265E20"/>
    <w:rsid w:val="0026635D"/>
    <w:rsid w:val="00267DB3"/>
    <w:rsid w:val="00267FD0"/>
    <w:rsid w:val="0027014F"/>
    <w:rsid w:val="002709B3"/>
    <w:rsid w:val="00270B15"/>
    <w:rsid w:val="00271A3C"/>
    <w:rsid w:val="00271FFB"/>
    <w:rsid w:val="00272834"/>
    <w:rsid w:val="002729A2"/>
    <w:rsid w:val="002745F8"/>
    <w:rsid w:val="00274C54"/>
    <w:rsid w:val="00275263"/>
    <w:rsid w:val="0027576D"/>
    <w:rsid w:val="00276102"/>
    <w:rsid w:val="002768C3"/>
    <w:rsid w:val="0027757A"/>
    <w:rsid w:val="00280250"/>
    <w:rsid w:val="00280834"/>
    <w:rsid w:val="002826A6"/>
    <w:rsid w:val="00282EB3"/>
    <w:rsid w:val="00283209"/>
    <w:rsid w:val="002834E6"/>
    <w:rsid w:val="00283AC9"/>
    <w:rsid w:val="00284E8D"/>
    <w:rsid w:val="00286A06"/>
    <w:rsid w:val="00286D46"/>
    <w:rsid w:val="002870AF"/>
    <w:rsid w:val="00287BBC"/>
    <w:rsid w:val="00287BEC"/>
    <w:rsid w:val="00290B0B"/>
    <w:rsid w:val="00290BED"/>
    <w:rsid w:val="00290F27"/>
    <w:rsid w:val="00291AA9"/>
    <w:rsid w:val="0029267F"/>
    <w:rsid w:val="00293A53"/>
    <w:rsid w:val="00293C3C"/>
    <w:rsid w:val="00294719"/>
    <w:rsid w:val="0029533A"/>
    <w:rsid w:val="00295AFE"/>
    <w:rsid w:val="00295BF5"/>
    <w:rsid w:val="00295F42"/>
    <w:rsid w:val="002969E7"/>
    <w:rsid w:val="002970EA"/>
    <w:rsid w:val="002A1688"/>
    <w:rsid w:val="002A1D78"/>
    <w:rsid w:val="002A2B0C"/>
    <w:rsid w:val="002A3022"/>
    <w:rsid w:val="002A31B1"/>
    <w:rsid w:val="002A3224"/>
    <w:rsid w:val="002A391F"/>
    <w:rsid w:val="002A3C23"/>
    <w:rsid w:val="002A3D0D"/>
    <w:rsid w:val="002A478B"/>
    <w:rsid w:val="002A47B2"/>
    <w:rsid w:val="002A52EF"/>
    <w:rsid w:val="002A52F2"/>
    <w:rsid w:val="002A5C5D"/>
    <w:rsid w:val="002A6746"/>
    <w:rsid w:val="002A69F9"/>
    <w:rsid w:val="002A6BC2"/>
    <w:rsid w:val="002A737C"/>
    <w:rsid w:val="002A7D35"/>
    <w:rsid w:val="002B21B8"/>
    <w:rsid w:val="002B2706"/>
    <w:rsid w:val="002B297B"/>
    <w:rsid w:val="002B3011"/>
    <w:rsid w:val="002B3139"/>
    <w:rsid w:val="002B3F17"/>
    <w:rsid w:val="002B4029"/>
    <w:rsid w:val="002B4C73"/>
    <w:rsid w:val="002B4D32"/>
    <w:rsid w:val="002B52AF"/>
    <w:rsid w:val="002B58E6"/>
    <w:rsid w:val="002B5A25"/>
    <w:rsid w:val="002B5E9C"/>
    <w:rsid w:val="002B6B9B"/>
    <w:rsid w:val="002B723C"/>
    <w:rsid w:val="002C0561"/>
    <w:rsid w:val="002C09B9"/>
    <w:rsid w:val="002C0FBF"/>
    <w:rsid w:val="002C1FDF"/>
    <w:rsid w:val="002C297E"/>
    <w:rsid w:val="002C2D28"/>
    <w:rsid w:val="002C4374"/>
    <w:rsid w:val="002C4CBF"/>
    <w:rsid w:val="002C4EE6"/>
    <w:rsid w:val="002C5339"/>
    <w:rsid w:val="002C537E"/>
    <w:rsid w:val="002C56DA"/>
    <w:rsid w:val="002C5779"/>
    <w:rsid w:val="002C5B96"/>
    <w:rsid w:val="002C5E76"/>
    <w:rsid w:val="002C5E9B"/>
    <w:rsid w:val="002C5ECF"/>
    <w:rsid w:val="002C6435"/>
    <w:rsid w:val="002C71B7"/>
    <w:rsid w:val="002C7D54"/>
    <w:rsid w:val="002C7F9B"/>
    <w:rsid w:val="002D0088"/>
    <w:rsid w:val="002D0566"/>
    <w:rsid w:val="002D0DC6"/>
    <w:rsid w:val="002D1596"/>
    <w:rsid w:val="002D17CF"/>
    <w:rsid w:val="002D2288"/>
    <w:rsid w:val="002D27DD"/>
    <w:rsid w:val="002D2BBF"/>
    <w:rsid w:val="002D2E4B"/>
    <w:rsid w:val="002D38CC"/>
    <w:rsid w:val="002D40A2"/>
    <w:rsid w:val="002D5053"/>
    <w:rsid w:val="002D6AAE"/>
    <w:rsid w:val="002E1363"/>
    <w:rsid w:val="002E23C8"/>
    <w:rsid w:val="002E2E2E"/>
    <w:rsid w:val="002E3F96"/>
    <w:rsid w:val="002E45F9"/>
    <w:rsid w:val="002E51A9"/>
    <w:rsid w:val="002E6CD8"/>
    <w:rsid w:val="002E6FED"/>
    <w:rsid w:val="002F23E9"/>
    <w:rsid w:val="002F25C8"/>
    <w:rsid w:val="002F28CC"/>
    <w:rsid w:val="002F368D"/>
    <w:rsid w:val="002F3C9B"/>
    <w:rsid w:val="002F3DB5"/>
    <w:rsid w:val="002F504F"/>
    <w:rsid w:val="002F5BA8"/>
    <w:rsid w:val="002F6653"/>
    <w:rsid w:val="002F7685"/>
    <w:rsid w:val="002F779A"/>
    <w:rsid w:val="002F7AFF"/>
    <w:rsid w:val="00300201"/>
    <w:rsid w:val="003019AF"/>
    <w:rsid w:val="00301B46"/>
    <w:rsid w:val="0030313E"/>
    <w:rsid w:val="00303EF1"/>
    <w:rsid w:val="00304C4B"/>
    <w:rsid w:val="00305AD1"/>
    <w:rsid w:val="00305F56"/>
    <w:rsid w:val="00306225"/>
    <w:rsid w:val="003063D7"/>
    <w:rsid w:val="00307C7F"/>
    <w:rsid w:val="00310970"/>
    <w:rsid w:val="00310E0E"/>
    <w:rsid w:val="00311F76"/>
    <w:rsid w:val="0031258E"/>
    <w:rsid w:val="00312E0F"/>
    <w:rsid w:val="00312FCC"/>
    <w:rsid w:val="00314031"/>
    <w:rsid w:val="00314201"/>
    <w:rsid w:val="00314BD9"/>
    <w:rsid w:val="00314E09"/>
    <w:rsid w:val="003152B0"/>
    <w:rsid w:val="003164B5"/>
    <w:rsid w:val="00316682"/>
    <w:rsid w:val="00317074"/>
    <w:rsid w:val="003170EE"/>
    <w:rsid w:val="0031740A"/>
    <w:rsid w:val="00317487"/>
    <w:rsid w:val="003202BA"/>
    <w:rsid w:val="00320360"/>
    <w:rsid w:val="003207E3"/>
    <w:rsid w:val="00320BE4"/>
    <w:rsid w:val="00322144"/>
    <w:rsid w:val="003227D6"/>
    <w:rsid w:val="00322D8D"/>
    <w:rsid w:val="003239FE"/>
    <w:rsid w:val="00323AF8"/>
    <w:rsid w:val="0032413F"/>
    <w:rsid w:val="00324669"/>
    <w:rsid w:val="00324F34"/>
    <w:rsid w:val="00325A11"/>
    <w:rsid w:val="00325F4A"/>
    <w:rsid w:val="0032725F"/>
    <w:rsid w:val="00327DAF"/>
    <w:rsid w:val="0033030F"/>
    <w:rsid w:val="003310F9"/>
    <w:rsid w:val="00332182"/>
    <w:rsid w:val="00332D2A"/>
    <w:rsid w:val="00333DA7"/>
    <w:rsid w:val="00335256"/>
    <w:rsid w:val="00335DC1"/>
    <w:rsid w:val="00335F93"/>
    <w:rsid w:val="00336060"/>
    <w:rsid w:val="003371B4"/>
    <w:rsid w:val="00337702"/>
    <w:rsid w:val="00337DD3"/>
    <w:rsid w:val="00341A36"/>
    <w:rsid w:val="00341B5C"/>
    <w:rsid w:val="00342200"/>
    <w:rsid w:val="00342595"/>
    <w:rsid w:val="003425AC"/>
    <w:rsid w:val="00342AC2"/>
    <w:rsid w:val="00342B70"/>
    <w:rsid w:val="00342D2E"/>
    <w:rsid w:val="003433C6"/>
    <w:rsid w:val="00343586"/>
    <w:rsid w:val="003451C7"/>
    <w:rsid w:val="00345465"/>
    <w:rsid w:val="00345572"/>
    <w:rsid w:val="00345788"/>
    <w:rsid w:val="00345E8A"/>
    <w:rsid w:val="00346777"/>
    <w:rsid w:val="00346F60"/>
    <w:rsid w:val="003475D8"/>
    <w:rsid w:val="00347AF1"/>
    <w:rsid w:val="003503AC"/>
    <w:rsid w:val="0035057D"/>
    <w:rsid w:val="00350618"/>
    <w:rsid w:val="003508E1"/>
    <w:rsid w:val="00350AD4"/>
    <w:rsid w:val="00351016"/>
    <w:rsid w:val="0035172F"/>
    <w:rsid w:val="00351A61"/>
    <w:rsid w:val="00351A78"/>
    <w:rsid w:val="00351DD7"/>
    <w:rsid w:val="0035220D"/>
    <w:rsid w:val="00352B96"/>
    <w:rsid w:val="00352EF8"/>
    <w:rsid w:val="00353266"/>
    <w:rsid w:val="0035335E"/>
    <w:rsid w:val="00354BF4"/>
    <w:rsid w:val="00354D84"/>
    <w:rsid w:val="003550C1"/>
    <w:rsid w:val="003551CB"/>
    <w:rsid w:val="00355D1E"/>
    <w:rsid w:val="003562F0"/>
    <w:rsid w:val="00356A80"/>
    <w:rsid w:val="00357549"/>
    <w:rsid w:val="0035788D"/>
    <w:rsid w:val="00360FBB"/>
    <w:rsid w:val="003614D3"/>
    <w:rsid w:val="003630AD"/>
    <w:rsid w:val="00364203"/>
    <w:rsid w:val="00364A20"/>
    <w:rsid w:val="00364ADE"/>
    <w:rsid w:val="00364CD9"/>
    <w:rsid w:val="003665E6"/>
    <w:rsid w:val="00366901"/>
    <w:rsid w:val="0036747B"/>
    <w:rsid w:val="0037051E"/>
    <w:rsid w:val="00370D09"/>
    <w:rsid w:val="00372A86"/>
    <w:rsid w:val="00373076"/>
    <w:rsid w:val="003731D6"/>
    <w:rsid w:val="003735ED"/>
    <w:rsid w:val="0037452D"/>
    <w:rsid w:val="003747A7"/>
    <w:rsid w:val="003749AD"/>
    <w:rsid w:val="00374C54"/>
    <w:rsid w:val="00374EEC"/>
    <w:rsid w:val="00375188"/>
    <w:rsid w:val="00375DB1"/>
    <w:rsid w:val="00377567"/>
    <w:rsid w:val="00380423"/>
    <w:rsid w:val="003804DC"/>
    <w:rsid w:val="003811E6"/>
    <w:rsid w:val="0038122F"/>
    <w:rsid w:val="00381960"/>
    <w:rsid w:val="00382A52"/>
    <w:rsid w:val="00383E97"/>
    <w:rsid w:val="00384CCE"/>
    <w:rsid w:val="00384D0D"/>
    <w:rsid w:val="00384E00"/>
    <w:rsid w:val="003866BB"/>
    <w:rsid w:val="00386EAE"/>
    <w:rsid w:val="0038795B"/>
    <w:rsid w:val="00387A70"/>
    <w:rsid w:val="00390513"/>
    <w:rsid w:val="00390981"/>
    <w:rsid w:val="00391B3A"/>
    <w:rsid w:val="00391C91"/>
    <w:rsid w:val="00391CE0"/>
    <w:rsid w:val="00394B86"/>
    <w:rsid w:val="00394C2A"/>
    <w:rsid w:val="00395172"/>
    <w:rsid w:val="00395787"/>
    <w:rsid w:val="00395AE2"/>
    <w:rsid w:val="00396E54"/>
    <w:rsid w:val="00397C6D"/>
    <w:rsid w:val="00397E03"/>
    <w:rsid w:val="003A0201"/>
    <w:rsid w:val="003A370F"/>
    <w:rsid w:val="003A4535"/>
    <w:rsid w:val="003A520C"/>
    <w:rsid w:val="003A53EE"/>
    <w:rsid w:val="003A554A"/>
    <w:rsid w:val="003A6C07"/>
    <w:rsid w:val="003A776D"/>
    <w:rsid w:val="003A7D76"/>
    <w:rsid w:val="003B0043"/>
    <w:rsid w:val="003B0556"/>
    <w:rsid w:val="003B0A2C"/>
    <w:rsid w:val="003B131E"/>
    <w:rsid w:val="003B19BD"/>
    <w:rsid w:val="003B1EDF"/>
    <w:rsid w:val="003B229C"/>
    <w:rsid w:val="003B26B4"/>
    <w:rsid w:val="003B2DF6"/>
    <w:rsid w:val="003B36CB"/>
    <w:rsid w:val="003B391B"/>
    <w:rsid w:val="003B3E58"/>
    <w:rsid w:val="003B439D"/>
    <w:rsid w:val="003B47C4"/>
    <w:rsid w:val="003B568B"/>
    <w:rsid w:val="003B5E5B"/>
    <w:rsid w:val="003B5FD8"/>
    <w:rsid w:val="003B700F"/>
    <w:rsid w:val="003B76EE"/>
    <w:rsid w:val="003B77E3"/>
    <w:rsid w:val="003B7A0D"/>
    <w:rsid w:val="003C1067"/>
    <w:rsid w:val="003C14E7"/>
    <w:rsid w:val="003C23FC"/>
    <w:rsid w:val="003C405F"/>
    <w:rsid w:val="003C4741"/>
    <w:rsid w:val="003C4CBC"/>
    <w:rsid w:val="003C597A"/>
    <w:rsid w:val="003C5BF0"/>
    <w:rsid w:val="003C75AE"/>
    <w:rsid w:val="003C782F"/>
    <w:rsid w:val="003C7A0D"/>
    <w:rsid w:val="003D04FB"/>
    <w:rsid w:val="003D0947"/>
    <w:rsid w:val="003D1AE1"/>
    <w:rsid w:val="003D26DE"/>
    <w:rsid w:val="003D348E"/>
    <w:rsid w:val="003D39AB"/>
    <w:rsid w:val="003D43B4"/>
    <w:rsid w:val="003D4481"/>
    <w:rsid w:val="003D4702"/>
    <w:rsid w:val="003D4FDD"/>
    <w:rsid w:val="003D5E38"/>
    <w:rsid w:val="003D634F"/>
    <w:rsid w:val="003D6944"/>
    <w:rsid w:val="003D6D1D"/>
    <w:rsid w:val="003D7E54"/>
    <w:rsid w:val="003D7EAB"/>
    <w:rsid w:val="003E0574"/>
    <w:rsid w:val="003E05C0"/>
    <w:rsid w:val="003E26F0"/>
    <w:rsid w:val="003E3507"/>
    <w:rsid w:val="003E4D43"/>
    <w:rsid w:val="003E532D"/>
    <w:rsid w:val="003E5F59"/>
    <w:rsid w:val="003E6D22"/>
    <w:rsid w:val="003E74A8"/>
    <w:rsid w:val="003E7FA1"/>
    <w:rsid w:val="003E7FAF"/>
    <w:rsid w:val="003F0E67"/>
    <w:rsid w:val="003F1ADC"/>
    <w:rsid w:val="003F3E2C"/>
    <w:rsid w:val="003F42C8"/>
    <w:rsid w:val="003F5313"/>
    <w:rsid w:val="003F58A1"/>
    <w:rsid w:val="003F6869"/>
    <w:rsid w:val="003F6DD8"/>
    <w:rsid w:val="003F6F1C"/>
    <w:rsid w:val="003F78A8"/>
    <w:rsid w:val="004003B9"/>
    <w:rsid w:val="00400AC5"/>
    <w:rsid w:val="00401B93"/>
    <w:rsid w:val="00401E41"/>
    <w:rsid w:val="00401EBF"/>
    <w:rsid w:val="0040283B"/>
    <w:rsid w:val="00402BD9"/>
    <w:rsid w:val="004030C0"/>
    <w:rsid w:val="00405120"/>
    <w:rsid w:val="00405ACC"/>
    <w:rsid w:val="00406038"/>
    <w:rsid w:val="00410324"/>
    <w:rsid w:val="00411C97"/>
    <w:rsid w:val="00411CF6"/>
    <w:rsid w:val="004128C1"/>
    <w:rsid w:val="00413A03"/>
    <w:rsid w:val="00413C8B"/>
    <w:rsid w:val="00413E32"/>
    <w:rsid w:val="00414C23"/>
    <w:rsid w:val="00414F72"/>
    <w:rsid w:val="00415C4D"/>
    <w:rsid w:val="004161A1"/>
    <w:rsid w:val="004162FC"/>
    <w:rsid w:val="00417704"/>
    <w:rsid w:val="00422C3D"/>
    <w:rsid w:val="0042327E"/>
    <w:rsid w:val="00423858"/>
    <w:rsid w:val="00423AD0"/>
    <w:rsid w:val="00423F38"/>
    <w:rsid w:val="004244AF"/>
    <w:rsid w:val="00424E45"/>
    <w:rsid w:val="00425319"/>
    <w:rsid w:val="00425A32"/>
    <w:rsid w:val="0042734A"/>
    <w:rsid w:val="0042749A"/>
    <w:rsid w:val="00427ED8"/>
    <w:rsid w:val="00431CAF"/>
    <w:rsid w:val="0043202B"/>
    <w:rsid w:val="0043214A"/>
    <w:rsid w:val="00433C1A"/>
    <w:rsid w:val="004343A9"/>
    <w:rsid w:val="00434FB9"/>
    <w:rsid w:val="004357E0"/>
    <w:rsid w:val="00435822"/>
    <w:rsid w:val="0043592A"/>
    <w:rsid w:val="004365FF"/>
    <w:rsid w:val="004367D9"/>
    <w:rsid w:val="00437135"/>
    <w:rsid w:val="00437466"/>
    <w:rsid w:val="00437B73"/>
    <w:rsid w:val="00440840"/>
    <w:rsid w:val="0044169F"/>
    <w:rsid w:val="00442BCE"/>
    <w:rsid w:val="0044370C"/>
    <w:rsid w:val="00443F6C"/>
    <w:rsid w:val="004441C2"/>
    <w:rsid w:val="004448C9"/>
    <w:rsid w:val="00444C37"/>
    <w:rsid w:val="00444DEE"/>
    <w:rsid w:val="0044572F"/>
    <w:rsid w:val="004477D7"/>
    <w:rsid w:val="004506D4"/>
    <w:rsid w:val="0045094B"/>
    <w:rsid w:val="00451412"/>
    <w:rsid w:val="0045183E"/>
    <w:rsid w:val="004519C8"/>
    <w:rsid w:val="004520A6"/>
    <w:rsid w:val="00452612"/>
    <w:rsid w:val="00452EE0"/>
    <w:rsid w:val="004531BF"/>
    <w:rsid w:val="00453F8C"/>
    <w:rsid w:val="004549AD"/>
    <w:rsid w:val="00455320"/>
    <w:rsid w:val="00455535"/>
    <w:rsid w:val="00455ED4"/>
    <w:rsid w:val="004563DB"/>
    <w:rsid w:val="00456F6C"/>
    <w:rsid w:val="0045745E"/>
    <w:rsid w:val="00457BC8"/>
    <w:rsid w:val="00460ECC"/>
    <w:rsid w:val="004619DC"/>
    <w:rsid w:val="00462362"/>
    <w:rsid w:val="00462852"/>
    <w:rsid w:val="004636B0"/>
    <w:rsid w:val="004638F6"/>
    <w:rsid w:val="00463F06"/>
    <w:rsid w:val="004644BC"/>
    <w:rsid w:val="00464A5A"/>
    <w:rsid w:val="00464C9F"/>
    <w:rsid w:val="00464CAE"/>
    <w:rsid w:val="004651E3"/>
    <w:rsid w:val="004655E0"/>
    <w:rsid w:val="00465BA7"/>
    <w:rsid w:val="00470B39"/>
    <w:rsid w:val="004713BB"/>
    <w:rsid w:val="00471742"/>
    <w:rsid w:val="0047216A"/>
    <w:rsid w:val="004724D4"/>
    <w:rsid w:val="00472E5E"/>
    <w:rsid w:val="0047371A"/>
    <w:rsid w:val="004739E9"/>
    <w:rsid w:val="00474295"/>
    <w:rsid w:val="00474612"/>
    <w:rsid w:val="00474DD7"/>
    <w:rsid w:val="00475426"/>
    <w:rsid w:val="004768D9"/>
    <w:rsid w:val="004773AF"/>
    <w:rsid w:val="004779EF"/>
    <w:rsid w:val="00480588"/>
    <w:rsid w:val="00482A67"/>
    <w:rsid w:val="004832D7"/>
    <w:rsid w:val="004832F7"/>
    <w:rsid w:val="00483F9F"/>
    <w:rsid w:val="00484067"/>
    <w:rsid w:val="0048539A"/>
    <w:rsid w:val="00485775"/>
    <w:rsid w:val="00485863"/>
    <w:rsid w:val="00486F11"/>
    <w:rsid w:val="00487874"/>
    <w:rsid w:val="00487B9F"/>
    <w:rsid w:val="00491C28"/>
    <w:rsid w:val="00492300"/>
    <w:rsid w:val="00492487"/>
    <w:rsid w:val="004925A6"/>
    <w:rsid w:val="00492C31"/>
    <w:rsid w:val="00492EC2"/>
    <w:rsid w:val="00493812"/>
    <w:rsid w:val="00494996"/>
    <w:rsid w:val="00494F16"/>
    <w:rsid w:val="00496225"/>
    <w:rsid w:val="004966B8"/>
    <w:rsid w:val="0049686D"/>
    <w:rsid w:val="00497A3E"/>
    <w:rsid w:val="00497A47"/>
    <w:rsid w:val="004A042C"/>
    <w:rsid w:val="004A0D7D"/>
    <w:rsid w:val="004A12EC"/>
    <w:rsid w:val="004A2D49"/>
    <w:rsid w:val="004A3316"/>
    <w:rsid w:val="004A404F"/>
    <w:rsid w:val="004A46F0"/>
    <w:rsid w:val="004A4706"/>
    <w:rsid w:val="004A64D7"/>
    <w:rsid w:val="004A6773"/>
    <w:rsid w:val="004A6B6F"/>
    <w:rsid w:val="004B0258"/>
    <w:rsid w:val="004B0993"/>
    <w:rsid w:val="004B1D64"/>
    <w:rsid w:val="004B24FF"/>
    <w:rsid w:val="004B2E2A"/>
    <w:rsid w:val="004B3C3B"/>
    <w:rsid w:val="004B3E13"/>
    <w:rsid w:val="004B4C8C"/>
    <w:rsid w:val="004B50A1"/>
    <w:rsid w:val="004B59A0"/>
    <w:rsid w:val="004B5A70"/>
    <w:rsid w:val="004B5E51"/>
    <w:rsid w:val="004B608B"/>
    <w:rsid w:val="004B6BB1"/>
    <w:rsid w:val="004B73B0"/>
    <w:rsid w:val="004C0E78"/>
    <w:rsid w:val="004C1705"/>
    <w:rsid w:val="004C1937"/>
    <w:rsid w:val="004C198D"/>
    <w:rsid w:val="004C2BF2"/>
    <w:rsid w:val="004C3224"/>
    <w:rsid w:val="004C4DB0"/>
    <w:rsid w:val="004C55D2"/>
    <w:rsid w:val="004C5E95"/>
    <w:rsid w:val="004C6FCC"/>
    <w:rsid w:val="004C78B7"/>
    <w:rsid w:val="004D032A"/>
    <w:rsid w:val="004D053F"/>
    <w:rsid w:val="004D12EF"/>
    <w:rsid w:val="004D2AD1"/>
    <w:rsid w:val="004D34E6"/>
    <w:rsid w:val="004D4608"/>
    <w:rsid w:val="004D4AAF"/>
    <w:rsid w:val="004D4EA9"/>
    <w:rsid w:val="004D59C6"/>
    <w:rsid w:val="004D5DA9"/>
    <w:rsid w:val="004D5DDD"/>
    <w:rsid w:val="004D64CC"/>
    <w:rsid w:val="004D6A9D"/>
    <w:rsid w:val="004D70C3"/>
    <w:rsid w:val="004D7E64"/>
    <w:rsid w:val="004E1D80"/>
    <w:rsid w:val="004E224D"/>
    <w:rsid w:val="004E2559"/>
    <w:rsid w:val="004E2ACE"/>
    <w:rsid w:val="004E5136"/>
    <w:rsid w:val="004E577A"/>
    <w:rsid w:val="004E649E"/>
    <w:rsid w:val="004E6813"/>
    <w:rsid w:val="004E761D"/>
    <w:rsid w:val="004E7E4D"/>
    <w:rsid w:val="004F07D8"/>
    <w:rsid w:val="004F0830"/>
    <w:rsid w:val="004F0C75"/>
    <w:rsid w:val="004F151C"/>
    <w:rsid w:val="004F2415"/>
    <w:rsid w:val="004F2C7B"/>
    <w:rsid w:val="004F2FF8"/>
    <w:rsid w:val="004F3D56"/>
    <w:rsid w:val="004F415D"/>
    <w:rsid w:val="004F4254"/>
    <w:rsid w:val="004F4C3E"/>
    <w:rsid w:val="004F4E65"/>
    <w:rsid w:val="004F5B33"/>
    <w:rsid w:val="004F6746"/>
    <w:rsid w:val="004F6C62"/>
    <w:rsid w:val="004F6DFF"/>
    <w:rsid w:val="004F72FE"/>
    <w:rsid w:val="004F7BB3"/>
    <w:rsid w:val="004F7C5C"/>
    <w:rsid w:val="00500645"/>
    <w:rsid w:val="0050146A"/>
    <w:rsid w:val="005015AE"/>
    <w:rsid w:val="005015EC"/>
    <w:rsid w:val="00503398"/>
    <w:rsid w:val="0050344A"/>
    <w:rsid w:val="00503F2E"/>
    <w:rsid w:val="00504602"/>
    <w:rsid w:val="00504BC6"/>
    <w:rsid w:val="00504DAA"/>
    <w:rsid w:val="00505CDF"/>
    <w:rsid w:val="00505D81"/>
    <w:rsid w:val="00506222"/>
    <w:rsid w:val="00506342"/>
    <w:rsid w:val="00506A00"/>
    <w:rsid w:val="0050736C"/>
    <w:rsid w:val="00507705"/>
    <w:rsid w:val="00507793"/>
    <w:rsid w:val="00510A7A"/>
    <w:rsid w:val="0051176A"/>
    <w:rsid w:val="00511CB8"/>
    <w:rsid w:val="0051304D"/>
    <w:rsid w:val="00513DF5"/>
    <w:rsid w:val="0051478C"/>
    <w:rsid w:val="0051552D"/>
    <w:rsid w:val="00516454"/>
    <w:rsid w:val="005165B8"/>
    <w:rsid w:val="005171F0"/>
    <w:rsid w:val="005202C0"/>
    <w:rsid w:val="005209BB"/>
    <w:rsid w:val="00520A4B"/>
    <w:rsid w:val="00520DF5"/>
    <w:rsid w:val="00521696"/>
    <w:rsid w:val="0052180B"/>
    <w:rsid w:val="00521E29"/>
    <w:rsid w:val="005221D2"/>
    <w:rsid w:val="00522C0C"/>
    <w:rsid w:val="00522C4C"/>
    <w:rsid w:val="00523FC1"/>
    <w:rsid w:val="005245CC"/>
    <w:rsid w:val="0052509E"/>
    <w:rsid w:val="00525D4B"/>
    <w:rsid w:val="005260D9"/>
    <w:rsid w:val="00530CEB"/>
    <w:rsid w:val="00531E32"/>
    <w:rsid w:val="00532F5F"/>
    <w:rsid w:val="0053366F"/>
    <w:rsid w:val="005349F0"/>
    <w:rsid w:val="00535CF0"/>
    <w:rsid w:val="00536327"/>
    <w:rsid w:val="00536A34"/>
    <w:rsid w:val="00536C1F"/>
    <w:rsid w:val="00536FC6"/>
    <w:rsid w:val="005373BE"/>
    <w:rsid w:val="00540352"/>
    <w:rsid w:val="005405EA"/>
    <w:rsid w:val="00540A6F"/>
    <w:rsid w:val="005410D5"/>
    <w:rsid w:val="00541723"/>
    <w:rsid w:val="0054195E"/>
    <w:rsid w:val="00541D8A"/>
    <w:rsid w:val="00542420"/>
    <w:rsid w:val="00542CCB"/>
    <w:rsid w:val="00543058"/>
    <w:rsid w:val="00543B86"/>
    <w:rsid w:val="005440DE"/>
    <w:rsid w:val="0054421B"/>
    <w:rsid w:val="0054436C"/>
    <w:rsid w:val="00545046"/>
    <w:rsid w:val="0054637A"/>
    <w:rsid w:val="00547377"/>
    <w:rsid w:val="005474A1"/>
    <w:rsid w:val="00547C20"/>
    <w:rsid w:val="005501A4"/>
    <w:rsid w:val="00550581"/>
    <w:rsid w:val="005505C9"/>
    <w:rsid w:val="00550AB7"/>
    <w:rsid w:val="00551F7E"/>
    <w:rsid w:val="00552FA3"/>
    <w:rsid w:val="00553C21"/>
    <w:rsid w:val="00553D47"/>
    <w:rsid w:val="00555813"/>
    <w:rsid w:val="00555A02"/>
    <w:rsid w:val="00555AB5"/>
    <w:rsid w:val="00556CC0"/>
    <w:rsid w:val="005574EF"/>
    <w:rsid w:val="00557BD2"/>
    <w:rsid w:val="00557C63"/>
    <w:rsid w:val="005609D3"/>
    <w:rsid w:val="00561C30"/>
    <w:rsid w:val="00561E19"/>
    <w:rsid w:val="00565684"/>
    <w:rsid w:val="00565C67"/>
    <w:rsid w:val="005669EA"/>
    <w:rsid w:val="005675A4"/>
    <w:rsid w:val="00567895"/>
    <w:rsid w:val="00570CCB"/>
    <w:rsid w:val="0057183E"/>
    <w:rsid w:val="00571B0D"/>
    <w:rsid w:val="00571F39"/>
    <w:rsid w:val="0057204A"/>
    <w:rsid w:val="005721F1"/>
    <w:rsid w:val="0057289C"/>
    <w:rsid w:val="005728B7"/>
    <w:rsid w:val="00572B36"/>
    <w:rsid w:val="0057353B"/>
    <w:rsid w:val="00573B0B"/>
    <w:rsid w:val="00573FC5"/>
    <w:rsid w:val="00574829"/>
    <w:rsid w:val="005758E3"/>
    <w:rsid w:val="00576AD5"/>
    <w:rsid w:val="00576CCF"/>
    <w:rsid w:val="00576DBE"/>
    <w:rsid w:val="00577709"/>
    <w:rsid w:val="00580E5F"/>
    <w:rsid w:val="00581ADF"/>
    <w:rsid w:val="00582EC7"/>
    <w:rsid w:val="00583EE6"/>
    <w:rsid w:val="005842E9"/>
    <w:rsid w:val="00584382"/>
    <w:rsid w:val="00585590"/>
    <w:rsid w:val="005855AC"/>
    <w:rsid w:val="0058570D"/>
    <w:rsid w:val="00585731"/>
    <w:rsid w:val="00585895"/>
    <w:rsid w:val="00586359"/>
    <w:rsid w:val="00586413"/>
    <w:rsid w:val="00586584"/>
    <w:rsid w:val="00587173"/>
    <w:rsid w:val="00587E2E"/>
    <w:rsid w:val="00590834"/>
    <w:rsid w:val="00590864"/>
    <w:rsid w:val="005908E4"/>
    <w:rsid w:val="0059190D"/>
    <w:rsid w:val="005922DD"/>
    <w:rsid w:val="00592D0D"/>
    <w:rsid w:val="00593C18"/>
    <w:rsid w:val="00594928"/>
    <w:rsid w:val="0059501B"/>
    <w:rsid w:val="00595FB0"/>
    <w:rsid w:val="005968A7"/>
    <w:rsid w:val="005975C4"/>
    <w:rsid w:val="005978DE"/>
    <w:rsid w:val="005A05DF"/>
    <w:rsid w:val="005A0993"/>
    <w:rsid w:val="005A0996"/>
    <w:rsid w:val="005A2BAB"/>
    <w:rsid w:val="005A3784"/>
    <w:rsid w:val="005A40F5"/>
    <w:rsid w:val="005A4378"/>
    <w:rsid w:val="005A4BE2"/>
    <w:rsid w:val="005A57E9"/>
    <w:rsid w:val="005A66C6"/>
    <w:rsid w:val="005A7601"/>
    <w:rsid w:val="005A7CA4"/>
    <w:rsid w:val="005A7E83"/>
    <w:rsid w:val="005B01E9"/>
    <w:rsid w:val="005B0BCF"/>
    <w:rsid w:val="005B0F6F"/>
    <w:rsid w:val="005B1267"/>
    <w:rsid w:val="005B179D"/>
    <w:rsid w:val="005B1D89"/>
    <w:rsid w:val="005B2099"/>
    <w:rsid w:val="005B234D"/>
    <w:rsid w:val="005B3126"/>
    <w:rsid w:val="005B33F1"/>
    <w:rsid w:val="005B5C97"/>
    <w:rsid w:val="005B5FA3"/>
    <w:rsid w:val="005B64B0"/>
    <w:rsid w:val="005B737F"/>
    <w:rsid w:val="005B7807"/>
    <w:rsid w:val="005B781B"/>
    <w:rsid w:val="005B7857"/>
    <w:rsid w:val="005B794C"/>
    <w:rsid w:val="005B7FF3"/>
    <w:rsid w:val="005C0A80"/>
    <w:rsid w:val="005C103B"/>
    <w:rsid w:val="005C2B04"/>
    <w:rsid w:val="005C3295"/>
    <w:rsid w:val="005C3E59"/>
    <w:rsid w:val="005C47D6"/>
    <w:rsid w:val="005C5853"/>
    <w:rsid w:val="005C5F37"/>
    <w:rsid w:val="005C7289"/>
    <w:rsid w:val="005C7529"/>
    <w:rsid w:val="005D0D53"/>
    <w:rsid w:val="005D12FB"/>
    <w:rsid w:val="005D1330"/>
    <w:rsid w:val="005D1BC7"/>
    <w:rsid w:val="005D2682"/>
    <w:rsid w:val="005D2A80"/>
    <w:rsid w:val="005D2FEA"/>
    <w:rsid w:val="005D41F5"/>
    <w:rsid w:val="005D5F70"/>
    <w:rsid w:val="005D6021"/>
    <w:rsid w:val="005D7E44"/>
    <w:rsid w:val="005D7F2C"/>
    <w:rsid w:val="005E0CDD"/>
    <w:rsid w:val="005E190D"/>
    <w:rsid w:val="005E33D9"/>
    <w:rsid w:val="005E4225"/>
    <w:rsid w:val="005E51F7"/>
    <w:rsid w:val="005E7296"/>
    <w:rsid w:val="005F0015"/>
    <w:rsid w:val="005F17F6"/>
    <w:rsid w:val="005F196B"/>
    <w:rsid w:val="005F320C"/>
    <w:rsid w:val="005F3B9C"/>
    <w:rsid w:val="005F526F"/>
    <w:rsid w:val="005F5510"/>
    <w:rsid w:val="005F5570"/>
    <w:rsid w:val="005F65A6"/>
    <w:rsid w:val="005F68BC"/>
    <w:rsid w:val="005F76D2"/>
    <w:rsid w:val="00601B4A"/>
    <w:rsid w:val="00601CCB"/>
    <w:rsid w:val="00601EEE"/>
    <w:rsid w:val="0060262D"/>
    <w:rsid w:val="0060293B"/>
    <w:rsid w:val="0060351D"/>
    <w:rsid w:val="00603584"/>
    <w:rsid w:val="00603E5A"/>
    <w:rsid w:val="006054A7"/>
    <w:rsid w:val="00605AA3"/>
    <w:rsid w:val="00605C8E"/>
    <w:rsid w:val="00606903"/>
    <w:rsid w:val="006070C1"/>
    <w:rsid w:val="0061030D"/>
    <w:rsid w:val="00610377"/>
    <w:rsid w:val="00610480"/>
    <w:rsid w:val="0061247F"/>
    <w:rsid w:val="0061249B"/>
    <w:rsid w:val="00612B82"/>
    <w:rsid w:val="0061429E"/>
    <w:rsid w:val="0061453B"/>
    <w:rsid w:val="00614BC3"/>
    <w:rsid w:val="00614EF8"/>
    <w:rsid w:val="00615233"/>
    <w:rsid w:val="00615F5C"/>
    <w:rsid w:val="006162CD"/>
    <w:rsid w:val="006163ED"/>
    <w:rsid w:val="00617ADC"/>
    <w:rsid w:val="00621117"/>
    <w:rsid w:val="00621246"/>
    <w:rsid w:val="0062164C"/>
    <w:rsid w:val="00621AC7"/>
    <w:rsid w:val="00622D12"/>
    <w:rsid w:val="00623475"/>
    <w:rsid w:val="006243E2"/>
    <w:rsid w:val="00625091"/>
    <w:rsid w:val="00625683"/>
    <w:rsid w:val="0062637C"/>
    <w:rsid w:val="00627238"/>
    <w:rsid w:val="006302A8"/>
    <w:rsid w:val="00630483"/>
    <w:rsid w:val="00630827"/>
    <w:rsid w:val="00630AE8"/>
    <w:rsid w:val="00630D79"/>
    <w:rsid w:val="0063106F"/>
    <w:rsid w:val="006328B9"/>
    <w:rsid w:val="00632D15"/>
    <w:rsid w:val="0063358F"/>
    <w:rsid w:val="00633885"/>
    <w:rsid w:val="0063500E"/>
    <w:rsid w:val="00635F77"/>
    <w:rsid w:val="0063633D"/>
    <w:rsid w:val="006366F2"/>
    <w:rsid w:val="00637D98"/>
    <w:rsid w:val="006402BD"/>
    <w:rsid w:val="0064045B"/>
    <w:rsid w:val="006405A5"/>
    <w:rsid w:val="006411D3"/>
    <w:rsid w:val="00641402"/>
    <w:rsid w:val="0064165C"/>
    <w:rsid w:val="00642C7C"/>
    <w:rsid w:val="006434AE"/>
    <w:rsid w:val="006437E8"/>
    <w:rsid w:val="00644E86"/>
    <w:rsid w:val="00645060"/>
    <w:rsid w:val="006455E1"/>
    <w:rsid w:val="00645D58"/>
    <w:rsid w:val="00645E20"/>
    <w:rsid w:val="00646EE4"/>
    <w:rsid w:val="00647974"/>
    <w:rsid w:val="00650186"/>
    <w:rsid w:val="006501F8"/>
    <w:rsid w:val="00650AE9"/>
    <w:rsid w:val="00651764"/>
    <w:rsid w:val="00651FFE"/>
    <w:rsid w:val="006522E1"/>
    <w:rsid w:val="00652D4E"/>
    <w:rsid w:val="00653287"/>
    <w:rsid w:val="00653927"/>
    <w:rsid w:val="006539A3"/>
    <w:rsid w:val="00654E8C"/>
    <w:rsid w:val="00655461"/>
    <w:rsid w:val="00655A1E"/>
    <w:rsid w:val="00656753"/>
    <w:rsid w:val="00656C2F"/>
    <w:rsid w:val="00656D0D"/>
    <w:rsid w:val="0065710D"/>
    <w:rsid w:val="00660A0F"/>
    <w:rsid w:val="00660D89"/>
    <w:rsid w:val="006621D9"/>
    <w:rsid w:val="006622B9"/>
    <w:rsid w:val="006625A3"/>
    <w:rsid w:val="00662775"/>
    <w:rsid w:val="006628A1"/>
    <w:rsid w:val="00662F5B"/>
    <w:rsid w:val="00663136"/>
    <w:rsid w:val="00663793"/>
    <w:rsid w:val="0066387F"/>
    <w:rsid w:val="00665FEC"/>
    <w:rsid w:val="006666FF"/>
    <w:rsid w:val="0066674F"/>
    <w:rsid w:val="00666D5D"/>
    <w:rsid w:val="00667B8D"/>
    <w:rsid w:val="0067012C"/>
    <w:rsid w:val="006701C2"/>
    <w:rsid w:val="00670E85"/>
    <w:rsid w:val="00670E89"/>
    <w:rsid w:val="00671219"/>
    <w:rsid w:val="006718FE"/>
    <w:rsid w:val="00671B15"/>
    <w:rsid w:val="006734B0"/>
    <w:rsid w:val="006734B9"/>
    <w:rsid w:val="00673A53"/>
    <w:rsid w:val="00673B21"/>
    <w:rsid w:val="006754A6"/>
    <w:rsid w:val="00675C00"/>
    <w:rsid w:val="00676E7B"/>
    <w:rsid w:val="0067713F"/>
    <w:rsid w:val="00677807"/>
    <w:rsid w:val="00677B80"/>
    <w:rsid w:val="00680037"/>
    <w:rsid w:val="0068237F"/>
    <w:rsid w:val="006827BF"/>
    <w:rsid w:val="0068281C"/>
    <w:rsid w:val="00682D63"/>
    <w:rsid w:val="00682F1A"/>
    <w:rsid w:val="00683063"/>
    <w:rsid w:val="006830D4"/>
    <w:rsid w:val="00683642"/>
    <w:rsid w:val="00683B1E"/>
    <w:rsid w:val="00684043"/>
    <w:rsid w:val="0068455D"/>
    <w:rsid w:val="00684E20"/>
    <w:rsid w:val="00686058"/>
    <w:rsid w:val="006862F6"/>
    <w:rsid w:val="00687934"/>
    <w:rsid w:val="00687B21"/>
    <w:rsid w:val="00687B58"/>
    <w:rsid w:val="00687BED"/>
    <w:rsid w:val="00690B5D"/>
    <w:rsid w:val="006915F0"/>
    <w:rsid w:val="00691C0E"/>
    <w:rsid w:val="00692E5E"/>
    <w:rsid w:val="00693942"/>
    <w:rsid w:val="006957BE"/>
    <w:rsid w:val="0069594A"/>
    <w:rsid w:val="0069600C"/>
    <w:rsid w:val="0069633D"/>
    <w:rsid w:val="0069727D"/>
    <w:rsid w:val="006972DC"/>
    <w:rsid w:val="00697D9E"/>
    <w:rsid w:val="006A1164"/>
    <w:rsid w:val="006A1942"/>
    <w:rsid w:val="006A1C7E"/>
    <w:rsid w:val="006A4897"/>
    <w:rsid w:val="006A510A"/>
    <w:rsid w:val="006A67A0"/>
    <w:rsid w:val="006A6C88"/>
    <w:rsid w:val="006B1872"/>
    <w:rsid w:val="006B1B11"/>
    <w:rsid w:val="006B22EC"/>
    <w:rsid w:val="006B3209"/>
    <w:rsid w:val="006B441F"/>
    <w:rsid w:val="006B45F8"/>
    <w:rsid w:val="006B4D65"/>
    <w:rsid w:val="006B6566"/>
    <w:rsid w:val="006B6FB1"/>
    <w:rsid w:val="006B7398"/>
    <w:rsid w:val="006C152C"/>
    <w:rsid w:val="006C1818"/>
    <w:rsid w:val="006C3714"/>
    <w:rsid w:val="006C3B82"/>
    <w:rsid w:val="006C3C09"/>
    <w:rsid w:val="006C6432"/>
    <w:rsid w:val="006C6D58"/>
    <w:rsid w:val="006C6E49"/>
    <w:rsid w:val="006C7867"/>
    <w:rsid w:val="006D0148"/>
    <w:rsid w:val="006D1130"/>
    <w:rsid w:val="006D17BB"/>
    <w:rsid w:val="006D2F32"/>
    <w:rsid w:val="006D4C5A"/>
    <w:rsid w:val="006D55A0"/>
    <w:rsid w:val="006D5BD2"/>
    <w:rsid w:val="006D5E98"/>
    <w:rsid w:val="006D600A"/>
    <w:rsid w:val="006D668F"/>
    <w:rsid w:val="006D6AD2"/>
    <w:rsid w:val="006D7ACF"/>
    <w:rsid w:val="006E0259"/>
    <w:rsid w:val="006E02FA"/>
    <w:rsid w:val="006E04C2"/>
    <w:rsid w:val="006E0C48"/>
    <w:rsid w:val="006E1266"/>
    <w:rsid w:val="006E138F"/>
    <w:rsid w:val="006E15ED"/>
    <w:rsid w:val="006E1D5E"/>
    <w:rsid w:val="006E63E4"/>
    <w:rsid w:val="006F0019"/>
    <w:rsid w:val="006F00DE"/>
    <w:rsid w:val="006F0277"/>
    <w:rsid w:val="006F02F7"/>
    <w:rsid w:val="006F0F64"/>
    <w:rsid w:val="006F22A7"/>
    <w:rsid w:val="006F5AAE"/>
    <w:rsid w:val="006F7062"/>
    <w:rsid w:val="007001AB"/>
    <w:rsid w:val="007008A7"/>
    <w:rsid w:val="0070105B"/>
    <w:rsid w:val="0070151A"/>
    <w:rsid w:val="007019DE"/>
    <w:rsid w:val="00701AA5"/>
    <w:rsid w:val="00701D7C"/>
    <w:rsid w:val="00702A5D"/>
    <w:rsid w:val="00703044"/>
    <w:rsid w:val="0070400F"/>
    <w:rsid w:val="00704576"/>
    <w:rsid w:val="00704823"/>
    <w:rsid w:val="00704B1C"/>
    <w:rsid w:val="007056AB"/>
    <w:rsid w:val="00705B60"/>
    <w:rsid w:val="007061F1"/>
    <w:rsid w:val="00706255"/>
    <w:rsid w:val="00706DE0"/>
    <w:rsid w:val="007072E4"/>
    <w:rsid w:val="00710162"/>
    <w:rsid w:val="0071109E"/>
    <w:rsid w:val="00712B54"/>
    <w:rsid w:val="00712C17"/>
    <w:rsid w:val="007133D7"/>
    <w:rsid w:val="00714189"/>
    <w:rsid w:val="00714C56"/>
    <w:rsid w:val="0071567D"/>
    <w:rsid w:val="00715C8F"/>
    <w:rsid w:val="00715D2A"/>
    <w:rsid w:val="00715E0C"/>
    <w:rsid w:val="007168B7"/>
    <w:rsid w:val="007168BC"/>
    <w:rsid w:val="00717BCB"/>
    <w:rsid w:val="0072044E"/>
    <w:rsid w:val="00720E15"/>
    <w:rsid w:val="00721088"/>
    <w:rsid w:val="007226DF"/>
    <w:rsid w:val="00722B19"/>
    <w:rsid w:val="00725AFF"/>
    <w:rsid w:val="00726B8E"/>
    <w:rsid w:val="00726BCA"/>
    <w:rsid w:val="00727599"/>
    <w:rsid w:val="00730094"/>
    <w:rsid w:val="00730675"/>
    <w:rsid w:val="007308C8"/>
    <w:rsid w:val="00730B85"/>
    <w:rsid w:val="007318AD"/>
    <w:rsid w:val="00731C9A"/>
    <w:rsid w:val="0073237B"/>
    <w:rsid w:val="00732F3E"/>
    <w:rsid w:val="00733085"/>
    <w:rsid w:val="007332FD"/>
    <w:rsid w:val="00733538"/>
    <w:rsid w:val="007336A7"/>
    <w:rsid w:val="00733DD1"/>
    <w:rsid w:val="0073439B"/>
    <w:rsid w:val="0073596F"/>
    <w:rsid w:val="00740187"/>
    <w:rsid w:val="00740740"/>
    <w:rsid w:val="00740C6C"/>
    <w:rsid w:val="0074229A"/>
    <w:rsid w:val="0074240B"/>
    <w:rsid w:val="007427B6"/>
    <w:rsid w:val="00742C17"/>
    <w:rsid w:val="00743054"/>
    <w:rsid w:val="0074377C"/>
    <w:rsid w:val="00743F47"/>
    <w:rsid w:val="00745096"/>
    <w:rsid w:val="00745264"/>
    <w:rsid w:val="00745E76"/>
    <w:rsid w:val="00747210"/>
    <w:rsid w:val="00747C32"/>
    <w:rsid w:val="007512AA"/>
    <w:rsid w:val="00751525"/>
    <w:rsid w:val="0075201E"/>
    <w:rsid w:val="007520FB"/>
    <w:rsid w:val="00753636"/>
    <w:rsid w:val="00753A48"/>
    <w:rsid w:val="00754C44"/>
    <w:rsid w:val="0075631B"/>
    <w:rsid w:val="00756C5F"/>
    <w:rsid w:val="00756CC8"/>
    <w:rsid w:val="0075785B"/>
    <w:rsid w:val="00757BBB"/>
    <w:rsid w:val="007600ED"/>
    <w:rsid w:val="00761D27"/>
    <w:rsid w:val="00762A66"/>
    <w:rsid w:val="007637CD"/>
    <w:rsid w:val="00763B17"/>
    <w:rsid w:val="00764889"/>
    <w:rsid w:val="0076586A"/>
    <w:rsid w:val="00765873"/>
    <w:rsid w:val="0076655A"/>
    <w:rsid w:val="007670B7"/>
    <w:rsid w:val="007675CB"/>
    <w:rsid w:val="00770267"/>
    <w:rsid w:val="0077069A"/>
    <w:rsid w:val="00772297"/>
    <w:rsid w:val="00773537"/>
    <w:rsid w:val="00773599"/>
    <w:rsid w:val="00773D85"/>
    <w:rsid w:val="00774ABB"/>
    <w:rsid w:val="007754F2"/>
    <w:rsid w:val="007755FC"/>
    <w:rsid w:val="00775BCA"/>
    <w:rsid w:val="00775D28"/>
    <w:rsid w:val="0077632A"/>
    <w:rsid w:val="00776774"/>
    <w:rsid w:val="00776AD9"/>
    <w:rsid w:val="007809BC"/>
    <w:rsid w:val="00780B62"/>
    <w:rsid w:val="00780C45"/>
    <w:rsid w:val="00782251"/>
    <w:rsid w:val="00782907"/>
    <w:rsid w:val="00782E3F"/>
    <w:rsid w:val="00784CFA"/>
    <w:rsid w:val="0078551C"/>
    <w:rsid w:val="00785C1B"/>
    <w:rsid w:val="00785CF8"/>
    <w:rsid w:val="00787127"/>
    <w:rsid w:val="00787153"/>
    <w:rsid w:val="007878B6"/>
    <w:rsid w:val="00787D3B"/>
    <w:rsid w:val="007906C3"/>
    <w:rsid w:val="0079110D"/>
    <w:rsid w:val="00791316"/>
    <w:rsid w:val="00791D93"/>
    <w:rsid w:val="00791DD2"/>
    <w:rsid w:val="007923AB"/>
    <w:rsid w:val="00792EB0"/>
    <w:rsid w:val="00793121"/>
    <w:rsid w:val="00793BAA"/>
    <w:rsid w:val="007942C9"/>
    <w:rsid w:val="00794572"/>
    <w:rsid w:val="00794602"/>
    <w:rsid w:val="007949F8"/>
    <w:rsid w:val="00795337"/>
    <w:rsid w:val="00795FC9"/>
    <w:rsid w:val="00797CB3"/>
    <w:rsid w:val="00797EA2"/>
    <w:rsid w:val="007A1256"/>
    <w:rsid w:val="007A2107"/>
    <w:rsid w:val="007A21B8"/>
    <w:rsid w:val="007A3B45"/>
    <w:rsid w:val="007A3DBD"/>
    <w:rsid w:val="007A3EA3"/>
    <w:rsid w:val="007A3F9F"/>
    <w:rsid w:val="007A3FB9"/>
    <w:rsid w:val="007A4C47"/>
    <w:rsid w:val="007A4D22"/>
    <w:rsid w:val="007A4D87"/>
    <w:rsid w:val="007A51D9"/>
    <w:rsid w:val="007A58EE"/>
    <w:rsid w:val="007A61CF"/>
    <w:rsid w:val="007A6227"/>
    <w:rsid w:val="007A7D96"/>
    <w:rsid w:val="007B0B9F"/>
    <w:rsid w:val="007B1F0F"/>
    <w:rsid w:val="007B275B"/>
    <w:rsid w:val="007B3AB2"/>
    <w:rsid w:val="007B41A2"/>
    <w:rsid w:val="007B5457"/>
    <w:rsid w:val="007B6FBC"/>
    <w:rsid w:val="007B718C"/>
    <w:rsid w:val="007B7402"/>
    <w:rsid w:val="007B7A12"/>
    <w:rsid w:val="007B7D64"/>
    <w:rsid w:val="007C0C60"/>
    <w:rsid w:val="007C1C88"/>
    <w:rsid w:val="007C2651"/>
    <w:rsid w:val="007C2962"/>
    <w:rsid w:val="007C2A5E"/>
    <w:rsid w:val="007C3719"/>
    <w:rsid w:val="007C3B0C"/>
    <w:rsid w:val="007C3E58"/>
    <w:rsid w:val="007C3FFA"/>
    <w:rsid w:val="007C50DD"/>
    <w:rsid w:val="007C53F6"/>
    <w:rsid w:val="007C6374"/>
    <w:rsid w:val="007C78CA"/>
    <w:rsid w:val="007D006A"/>
    <w:rsid w:val="007D1ED6"/>
    <w:rsid w:val="007D685C"/>
    <w:rsid w:val="007D69E4"/>
    <w:rsid w:val="007D69F4"/>
    <w:rsid w:val="007D7139"/>
    <w:rsid w:val="007E13B2"/>
    <w:rsid w:val="007E3727"/>
    <w:rsid w:val="007E67FF"/>
    <w:rsid w:val="007E711C"/>
    <w:rsid w:val="007E742B"/>
    <w:rsid w:val="007E7B7A"/>
    <w:rsid w:val="007E7CCB"/>
    <w:rsid w:val="007E7D5A"/>
    <w:rsid w:val="007F00CA"/>
    <w:rsid w:val="007F0512"/>
    <w:rsid w:val="007F086C"/>
    <w:rsid w:val="007F2B7D"/>
    <w:rsid w:val="007F331C"/>
    <w:rsid w:val="007F331D"/>
    <w:rsid w:val="007F343F"/>
    <w:rsid w:val="007F4C7D"/>
    <w:rsid w:val="007F5886"/>
    <w:rsid w:val="007F59E7"/>
    <w:rsid w:val="007F6A4D"/>
    <w:rsid w:val="007F6AE4"/>
    <w:rsid w:val="007F7103"/>
    <w:rsid w:val="007F75A4"/>
    <w:rsid w:val="00800899"/>
    <w:rsid w:val="00801B46"/>
    <w:rsid w:val="0080240E"/>
    <w:rsid w:val="008030EB"/>
    <w:rsid w:val="008033A5"/>
    <w:rsid w:val="00804246"/>
    <w:rsid w:val="008057D0"/>
    <w:rsid w:val="00805D96"/>
    <w:rsid w:val="00805FB7"/>
    <w:rsid w:val="00806591"/>
    <w:rsid w:val="00806A22"/>
    <w:rsid w:val="00806AF1"/>
    <w:rsid w:val="00806E6F"/>
    <w:rsid w:val="00807691"/>
    <w:rsid w:val="00811284"/>
    <w:rsid w:val="00811E3D"/>
    <w:rsid w:val="0081289B"/>
    <w:rsid w:val="00813498"/>
    <w:rsid w:val="00813A81"/>
    <w:rsid w:val="00813C2F"/>
    <w:rsid w:val="00815AEF"/>
    <w:rsid w:val="00815B9F"/>
    <w:rsid w:val="00816459"/>
    <w:rsid w:val="008173C1"/>
    <w:rsid w:val="00820432"/>
    <w:rsid w:val="008206A5"/>
    <w:rsid w:val="008217FE"/>
    <w:rsid w:val="008226AB"/>
    <w:rsid w:val="00822BE5"/>
    <w:rsid w:val="008243A4"/>
    <w:rsid w:val="008259F2"/>
    <w:rsid w:val="008265D1"/>
    <w:rsid w:val="00827D21"/>
    <w:rsid w:val="00827E7A"/>
    <w:rsid w:val="00830A77"/>
    <w:rsid w:val="0083127B"/>
    <w:rsid w:val="00831F11"/>
    <w:rsid w:val="0083293A"/>
    <w:rsid w:val="00832F3D"/>
    <w:rsid w:val="008342DD"/>
    <w:rsid w:val="00834312"/>
    <w:rsid w:val="00834498"/>
    <w:rsid w:val="008350FD"/>
    <w:rsid w:val="00835586"/>
    <w:rsid w:val="00836A6E"/>
    <w:rsid w:val="0083798B"/>
    <w:rsid w:val="0084017F"/>
    <w:rsid w:val="00840371"/>
    <w:rsid w:val="00840FA8"/>
    <w:rsid w:val="008414D5"/>
    <w:rsid w:val="00842841"/>
    <w:rsid w:val="00843093"/>
    <w:rsid w:val="00844034"/>
    <w:rsid w:val="0084416A"/>
    <w:rsid w:val="00844225"/>
    <w:rsid w:val="0084474B"/>
    <w:rsid w:val="00844B1E"/>
    <w:rsid w:val="0084513A"/>
    <w:rsid w:val="00846116"/>
    <w:rsid w:val="0084784C"/>
    <w:rsid w:val="00847ED0"/>
    <w:rsid w:val="0085108E"/>
    <w:rsid w:val="0085227F"/>
    <w:rsid w:val="00852640"/>
    <w:rsid w:val="0085273B"/>
    <w:rsid w:val="00852A64"/>
    <w:rsid w:val="00852AE8"/>
    <w:rsid w:val="00852B0E"/>
    <w:rsid w:val="00852B95"/>
    <w:rsid w:val="0085477E"/>
    <w:rsid w:val="00855158"/>
    <w:rsid w:val="008552B1"/>
    <w:rsid w:val="0085591B"/>
    <w:rsid w:val="0085602E"/>
    <w:rsid w:val="0085611D"/>
    <w:rsid w:val="00856644"/>
    <w:rsid w:val="00857312"/>
    <w:rsid w:val="008576C8"/>
    <w:rsid w:val="00861263"/>
    <w:rsid w:val="00861CDC"/>
    <w:rsid w:val="00862180"/>
    <w:rsid w:val="00862E3B"/>
    <w:rsid w:val="00863DF7"/>
    <w:rsid w:val="00865169"/>
    <w:rsid w:val="00865412"/>
    <w:rsid w:val="00865B9D"/>
    <w:rsid w:val="00866139"/>
    <w:rsid w:val="0086628F"/>
    <w:rsid w:val="00866E1C"/>
    <w:rsid w:val="00866E65"/>
    <w:rsid w:val="00866F08"/>
    <w:rsid w:val="008676A3"/>
    <w:rsid w:val="00867C83"/>
    <w:rsid w:val="00867D3C"/>
    <w:rsid w:val="00870342"/>
    <w:rsid w:val="008704DC"/>
    <w:rsid w:val="00870B06"/>
    <w:rsid w:val="0087156C"/>
    <w:rsid w:val="008717FE"/>
    <w:rsid w:val="00871B7A"/>
    <w:rsid w:val="00872C7A"/>
    <w:rsid w:val="00873457"/>
    <w:rsid w:val="008738D8"/>
    <w:rsid w:val="00874995"/>
    <w:rsid w:val="00874B64"/>
    <w:rsid w:val="0087551E"/>
    <w:rsid w:val="00875B61"/>
    <w:rsid w:val="00876051"/>
    <w:rsid w:val="00876521"/>
    <w:rsid w:val="00876610"/>
    <w:rsid w:val="0088008F"/>
    <w:rsid w:val="0088030E"/>
    <w:rsid w:val="008812AA"/>
    <w:rsid w:val="0088226A"/>
    <w:rsid w:val="00882EF5"/>
    <w:rsid w:val="008830FE"/>
    <w:rsid w:val="008836CD"/>
    <w:rsid w:val="00883BD7"/>
    <w:rsid w:val="008853EB"/>
    <w:rsid w:val="008859C4"/>
    <w:rsid w:val="00885BB5"/>
    <w:rsid w:val="00885FB9"/>
    <w:rsid w:val="00887097"/>
    <w:rsid w:val="0088756A"/>
    <w:rsid w:val="008877B7"/>
    <w:rsid w:val="00890F41"/>
    <w:rsid w:val="00891873"/>
    <w:rsid w:val="008924A6"/>
    <w:rsid w:val="008930D6"/>
    <w:rsid w:val="0089322E"/>
    <w:rsid w:val="00893944"/>
    <w:rsid w:val="00894543"/>
    <w:rsid w:val="008949AC"/>
    <w:rsid w:val="00894C0C"/>
    <w:rsid w:val="0089599D"/>
    <w:rsid w:val="00896329"/>
    <w:rsid w:val="00896729"/>
    <w:rsid w:val="00896C69"/>
    <w:rsid w:val="00896DB2"/>
    <w:rsid w:val="00896FE1"/>
    <w:rsid w:val="008979AD"/>
    <w:rsid w:val="00897B44"/>
    <w:rsid w:val="008A010C"/>
    <w:rsid w:val="008A1435"/>
    <w:rsid w:val="008A17CD"/>
    <w:rsid w:val="008A28E2"/>
    <w:rsid w:val="008A2CDA"/>
    <w:rsid w:val="008A4075"/>
    <w:rsid w:val="008A43EA"/>
    <w:rsid w:val="008A4FFA"/>
    <w:rsid w:val="008A5FE3"/>
    <w:rsid w:val="008A6215"/>
    <w:rsid w:val="008A63CF"/>
    <w:rsid w:val="008A7A4E"/>
    <w:rsid w:val="008B002B"/>
    <w:rsid w:val="008B07F8"/>
    <w:rsid w:val="008B1A4F"/>
    <w:rsid w:val="008B29D2"/>
    <w:rsid w:val="008B2C78"/>
    <w:rsid w:val="008B3810"/>
    <w:rsid w:val="008B3D92"/>
    <w:rsid w:val="008B46A3"/>
    <w:rsid w:val="008B47E2"/>
    <w:rsid w:val="008B573B"/>
    <w:rsid w:val="008B58A9"/>
    <w:rsid w:val="008B6297"/>
    <w:rsid w:val="008B6323"/>
    <w:rsid w:val="008B6727"/>
    <w:rsid w:val="008B6C21"/>
    <w:rsid w:val="008B7D75"/>
    <w:rsid w:val="008B7F6F"/>
    <w:rsid w:val="008C0553"/>
    <w:rsid w:val="008C069B"/>
    <w:rsid w:val="008C06E0"/>
    <w:rsid w:val="008C080B"/>
    <w:rsid w:val="008C15D2"/>
    <w:rsid w:val="008C1B23"/>
    <w:rsid w:val="008C1DF0"/>
    <w:rsid w:val="008C2269"/>
    <w:rsid w:val="008C26E2"/>
    <w:rsid w:val="008C2DCD"/>
    <w:rsid w:val="008C4BB8"/>
    <w:rsid w:val="008C515D"/>
    <w:rsid w:val="008C5D07"/>
    <w:rsid w:val="008C5E60"/>
    <w:rsid w:val="008C5FE3"/>
    <w:rsid w:val="008C6A47"/>
    <w:rsid w:val="008D1161"/>
    <w:rsid w:val="008D16A3"/>
    <w:rsid w:val="008D1DA0"/>
    <w:rsid w:val="008D209C"/>
    <w:rsid w:val="008D3B54"/>
    <w:rsid w:val="008D406C"/>
    <w:rsid w:val="008D4629"/>
    <w:rsid w:val="008D4B8B"/>
    <w:rsid w:val="008D5EFF"/>
    <w:rsid w:val="008D67E0"/>
    <w:rsid w:val="008D6DF3"/>
    <w:rsid w:val="008E009B"/>
    <w:rsid w:val="008E168F"/>
    <w:rsid w:val="008E22D1"/>
    <w:rsid w:val="008E24BE"/>
    <w:rsid w:val="008E27A2"/>
    <w:rsid w:val="008E3146"/>
    <w:rsid w:val="008E3949"/>
    <w:rsid w:val="008E41A1"/>
    <w:rsid w:val="008E5047"/>
    <w:rsid w:val="008E5F40"/>
    <w:rsid w:val="008E6706"/>
    <w:rsid w:val="008E6C16"/>
    <w:rsid w:val="008E7755"/>
    <w:rsid w:val="008F0327"/>
    <w:rsid w:val="008F0C24"/>
    <w:rsid w:val="008F179A"/>
    <w:rsid w:val="008F3D24"/>
    <w:rsid w:val="008F4594"/>
    <w:rsid w:val="008F4C0F"/>
    <w:rsid w:val="008F551D"/>
    <w:rsid w:val="008F5704"/>
    <w:rsid w:val="008F5BF0"/>
    <w:rsid w:val="008F5FEA"/>
    <w:rsid w:val="008F697E"/>
    <w:rsid w:val="008F6FB3"/>
    <w:rsid w:val="008F729A"/>
    <w:rsid w:val="008F78D1"/>
    <w:rsid w:val="008F7A3F"/>
    <w:rsid w:val="008F7F6A"/>
    <w:rsid w:val="0090147A"/>
    <w:rsid w:val="00901C4D"/>
    <w:rsid w:val="00902E41"/>
    <w:rsid w:val="00903230"/>
    <w:rsid w:val="0090405B"/>
    <w:rsid w:val="0090420B"/>
    <w:rsid w:val="009046E8"/>
    <w:rsid w:val="0090509B"/>
    <w:rsid w:val="00905FD6"/>
    <w:rsid w:val="00906C1E"/>
    <w:rsid w:val="00906E2B"/>
    <w:rsid w:val="00906E49"/>
    <w:rsid w:val="00906FE3"/>
    <w:rsid w:val="00907490"/>
    <w:rsid w:val="00907AE6"/>
    <w:rsid w:val="00911E9F"/>
    <w:rsid w:val="00912FA1"/>
    <w:rsid w:val="00913539"/>
    <w:rsid w:val="009136B1"/>
    <w:rsid w:val="00913D81"/>
    <w:rsid w:val="009145E0"/>
    <w:rsid w:val="009152CE"/>
    <w:rsid w:val="00915464"/>
    <w:rsid w:val="00916A9F"/>
    <w:rsid w:val="00916C96"/>
    <w:rsid w:val="00920371"/>
    <w:rsid w:val="009206F6"/>
    <w:rsid w:val="00920807"/>
    <w:rsid w:val="00921490"/>
    <w:rsid w:val="0092225B"/>
    <w:rsid w:val="009227F9"/>
    <w:rsid w:val="00922BF3"/>
    <w:rsid w:val="00922FFB"/>
    <w:rsid w:val="00923011"/>
    <w:rsid w:val="00923CB4"/>
    <w:rsid w:val="00924360"/>
    <w:rsid w:val="0092781B"/>
    <w:rsid w:val="009303B4"/>
    <w:rsid w:val="00930D38"/>
    <w:rsid w:val="00931F23"/>
    <w:rsid w:val="00932221"/>
    <w:rsid w:val="00932FDF"/>
    <w:rsid w:val="00933F26"/>
    <w:rsid w:val="00934BD3"/>
    <w:rsid w:val="00934F84"/>
    <w:rsid w:val="00935A22"/>
    <w:rsid w:val="009360F1"/>
    <w:rsid w:val="009365DB"/>
    <w:rsid w:val="00937717"/>
    <w:rsid w:val="009377C3"/>
    <w:rsid w:val="00937ACA"/>
    <w:rsid w:val="00937DD1"/>
    <w:rsid w:val="00937DDD"/>
    <w:rsid w:val="0094038C"/>
    <w:rsid w:val="00940667"/>
    <w:rsid w:val="00941B43"/>
    <w:rsid w:val="00941F01"/>
    <w:rsid w:val="0094214B"/>
    <w:rsid w:val="00943685"/>
    <w:rsid w:val="009437EE"/>
    <w:rsid w:val="00943897"/>
    <w:rsid w:val="009451DD"/>
    <w:rsid w:val="00945827"/>
    <w:rsid w:val="0094720D"/>
    <w:rsid w:val="0094724A"/>
    <w:rsid w:val="0094748E"/>
    <w:rsid w:val="009476D0"/>
    <w:rsid w:val="009509FB"/>
    <w:rsid w:val="00950F2A"/>
    <w:rsid w:val="009515B9"/>
    <w:rsid w:val="00953675"/>
    <w:rsid w:val="009539D6"/>
    <w:rsid w:val="00954ED4"/>
    <w:rsid w:val="00956357"/>
    <w:rsid w:val="00956425"/>
    <w:rsid w:val="009568E6"/>
    <w:rsid w:val="00957990"/>
    <w:rsid w:val="009601AA"/>
    <w:rsid w:val="00960352"/>
    <w:rsid w:val="009609E5"/>
    <w:rsid w:val="00960CDC"/>
    <w:rsid w:val="00960DF1"/>
    <w:rsid w:val="00960F52"/>
    <w:rsid w:val="0096327A"/>
    <w:rsid w:val="00963F3E"/>
    <w:rsid w:val="009665E6"/>
    <w:rsid w:val="00966A50"/>
    <w:rsid w:val="009675F6"/>
    <w:rsid w:val="009675F7"/>
    <w:rsid w:val="009676F9"/>
    <w:rsid w:val="00970075"/>
    <w:rsid w:val="00971B79"/>
    <w:rsid w:val="00972EA8"/>
    <w:rsid w:val="00974CB0"/>
    <w:rsid w:val="009758AE"/>
    <w:rsid w:val="00975A65"/>
    <w:rsid w:val="00976125"/>
    <w:rsid w:val="00976E1D"/>
    <w:rsid w:val="009775BB"/>
    <w:rsid w:val="009777AE"/>
    <w:rsid w:val="00977F3D"/>
    <w:rsid w:val="009803A5"/>
    <w:rsid w:val="00980431"/>
    <w:rsid w:val="0098197B"/>
    <w:rsid w:val="00981BCB"/>
    <w:rsid w:val="0098218A"/>
    <w:rsid w:val="009821C9"/>
    <w:rsid w:val="00982448"/>
    <w:rsid w:val="009825C0"/>
    <w:rsid w:val="00982EDB"/>
    <w:rsid w:val="009836DD"/>
    <w:rsid w:val="0098579A"/>
    <w:rsid w:val="009874D8"/>
    <w:rsid w:val="00990D82"/>
    <w:rsid w:val="009924CE"/>
    <w:rsid w:val="00992A9A"/>
    <w:rsid w:val="009935C2"/>
    <w:rsid w:val="00993EDA"/>
    <w:rsid w:val="00993F50"/>
    <w:rsid w:val="00995D71"/>
    <w:rsid w:val="00996385"/>
    <w:rsid w:val="009968B9"/>
    <w:rsid w:val="00996C86"/>
    <w:rsid w:val="009A02B6"/>
    <w:rsid w:val="009A070B"/>
    <w:rsid w:val="009A099A"/>
    <w:rsid w:val="009A0B4B"/>
    <w:rsid w:val="009A152F"/>
    <w:rsid w:val="009A18CE"/>
    <w:rsid w:val="009A1942"/>
    <w:rsid w:val="009A1985"/>
    <w:rsid w:val="009A20E4"/>
    <w:rsid w:val="009A2230"/>
    <w:rsid w:val="009A2EE6"/>
    <w:rsid w:val="009A30D7"/>
    <w:rsid w:val="009A376B"/>
    <w:rsid w:val="009A3FA0"/>
    <w:rsid w:val="009A46E0"/>
    <w:rsid w:val="009A4F78"/>
    <w:rsid w:val="009A4FD3"/>
    <w:rsid w:val="009A50BE"/>
    <w:rsid w:val="009A512B"/>
    <w:rsid w:val="009A5B86"/>
    <w:rsid w:val="009A5F2D"/>
    <w:rsid w:val="009A607E"/>
    <w:rsid w:val="009A6152"/>
    <w:rsid w:val="009A622D"/>
    <w:rsid w:val="009A66CF"/>
    <w:rsid w:val="009A7664"/>
    <w:rsid w:val="009A7B41"/>
    <w:rsid w:val="009B00AF"/>
    <w:rsid w:val="009B06D2"/>
    <w:rsid w:val="009B079C"/>
    <w:rsid w:val="009B0D88"/>
    <w:rsid w:val="009B10E1"/>
    <w:rsid w:val="009B228F"/>
    <w:rsid w:val="009B2A9A"/>
    <w:rsid w:val="009B2B9F"/>
    <w:rsid w:val="009B36D4"/>
    <w:rsid w:val="009B39FE"/>
    <w:rsid w:val="009B3DB4"/>
    <w:rsid w:val="009B4895"/>
    <w:rsid w:val="009B4DFA"/>
    <w:rsid w:val="009B5225"/>
    <w:rsid w:val="009B55D6"/>
    <w:rsid w:val="009B67C4"/>
    <w:rsid w:val="009B6A25"/>
    <w:rsid w:val="009B6CA2"/>
    <w:rsid w:val="009B766D"/>
    <w:rsid w:val="009B768F"/>
    <w:rsid w:val="009B7969"/>
    <w:rsid w:val="009B7AA7"/>
    <w:rsid w:val="009B7B8F"/>
    <w:rsid w:val="009C0040"/>
    <w:rsid w:val="009C0044"/>
    <w:rsid w:val="009C06D4"/>
    <w:rsid w:val="009C0B5E"/>
    <w:rsid w:val="009C0FC8"/>
    <w:rsid w:val="009C1132"/>
    <w:rsid w:val="009C1439"/>
    <w:rsid w:val="009C179B"/>
    <w:rsid w:val="009C1EA9"/>
    <w:rsid w:val="009C471D"/>
    <w:rsid w:val="009C4F3B"/>
    <w:rsid w:val="009C5DCA"/>
    <w:rsid w:val="009C5EAE"/>
    <w:rsid w:val="009C670A"/>
    <w:rsid w:val="009C68B8"/>
    <w:rsid w:val="009D0922"/>
    <w:rsid w:val="009D17BB"/>
    <w:rsid w:val="009D2174"/>
    <w:rsid w:val="009D3795"/>
    <w:rsid w:val="009D3F38"/>
    <w:rsid w:val="009D47D0"/>
    <w:rsid w:val="009D4CD7"/>
    <w:rsid w:val="009D56EA"/>
    <w:rsid w:val="009D5E36"/>
    <w:rsid w:val="009D74E4"/>
    <w:rsid w:val="009E09F6"/>
    <w:rsid w:val="009E13DB"/>
    <w:rsid w:val="009E150E"/>
    <w:rsid w:val="009E1588"/>
    <w:rsid w:val="009E1628"/>
    <w:rsid w:val="009E19E1"/>
    <w:rsid w:val="009E1F94"/>
    <w:rsid w:val="009E2DF3"/>
    <w:rsid w:val="009E3899"/>
    <w:rsid w:val="009E5318"/>
    <w:rsid w:val="009E6679"/>
    <w:rsid w:val="009F0B8C"/>
    <w:rsid w:val="009F0DA5"/>
    <w:rsid w:val="009F0F25"/>
    <w:rsid w:val="009F158D"/>
    <w:rsid w:val="009F1A98"/>
    <w:rsid w:val="009F1FD4"/>
    <w:rsid w:val="009F25A0"/>
    <w:rsid w:val="009F32BD"/>
    <w:rsid w:val="009F33A6"/>
    <w:rsid w:val="009F375C"/>
    <w:rsid w:val="009F3787"/>
    <w:rsid w:val="009F44D6"/>
    <w:rsid w:val="009F4A77"/>
    <w:rsid w:val="009F4B6D"/>
    <w:rsid w:val="009F5A71"/>
    <w:rsid w:val="009F61DE"/>
    <w:rsid w:val="009F79D1"/>
    <w:rsid w:val="00A0032F"/>
    <w:rsid w:val="00A00EF8"/>
    <w:rsid w:val="00A02948"/>
    <w:rsid w:val="00A02B24"/>
    <w:rsid w:val="00A03427"/>
    <w:rsid w:val="00A0494D"/>
    <w:rsid w:val="00A05152"/>
    <w:rsid w:val="00A053C2"/>
    <w:rsid w:val="00A057A7"/>
    <w:rsid w:val="00A05D44"/>
    <w:rsid w:val="00A0641F"/>
    <w:rsid w:val="00A06CCD"/>
    <w:rsid w:val="00A07446"/>
    <w:rsid w:val="00A077A5"/>
    <w:rsid w:val="00A10324"/>
    <w:rsid w:val="00A10A6B"/>
    <w:rsid w:val="00A110C7"/>
    <w:rsid w:val="00A123A5"/>
    <w:rsid w:val="00A13F46"/>
    <w:rsid w:val="00A14740"/>
    <w:rsid w:val="00A14B6F"/>
    <w:rsid w:val="00A158CA"/>
    <w:rsid w:val="00A15E37"/>
    <w:rsid w:val="00A16791"/>
    <w:rsid w:val="00A174FA"/>
    <w:rsid w:val="00A207F6"/>
    <w:rsid w:val="00A20D82"/>
    <w:rsid w:val="00A216E4"/>
    <w:rsid w:val="00A21D3F"/>
    <w:rsid w:val="00A2204C"/>
    <w:rsid w:val="00A23705"/>
    <w:rsid w:val="00A23F1E"/>
    <w:rsid w:val="00A246BF"/>
    <w:rsid w:val="00A25719"/>
    <w:rsid w:val="00A25B90"/>
    <w:rsid w:val="00A260C4"/>
    <w:rsid w:val="00A26F4A"/>
    <w:rsid w:val="00A27F5B"/>
    <w:rsid w:val="00A303D2"/>
    <w:rsid w:val="00A30F36"/>
    <w:rsid w:val="00A3289F"/>
    <w:rsid w:val="00A329E3"/>
    <w:rsid w:val="00A33544"/>
    <w:rsid w:val="00A3559D"/>
    <w:rsid w:val="00A35D3A"/>
    <w:rsid w:val="00A37941"/>
    <w:rsid w:val="00A37C0B"/>
    <w:rsid w:val="00A40369"/>
    <w:rsid w:val="00A406A2"/>
    <w:rsid w:val="00A41759"/>
    <w:rsid w:val="00A41BCD"/>
    <w:rsid w:val="00A41C64"/>
    <w:rsid w:val="00A42796"/>
    <w:rsid w:val="00A4291A"/>
    <w:rsid w:val="00A440A9"/>
    <w:rsid w:val="00A45066"/>
    <w:rsid w:val="00A45812"/>
    <w:rsid w:val="00A45D63"/>
    <w:rsid w:val="00A46074"/>
    <w:rsid w:val="00A4613F"/>
    <w:rsid w:val="00A46218"/>
    <w:rsid w:val="00A47C68"/>
    <w:rsid w:val="00A509AD"/>
    <w:rsid w:val="00A51B6C"/>
    <w:rsid w:val="00A52961"/>
    <w:rsid w:val="00A53B17"/>
    <w:rsid w:val="00A541C3"/>
    <w:rsid w:val="00A549D8"/>
    <w:rsid w:val="00A556F0"/>
    <w:rsid w:val="00A57765"/>
    <w:rsid w:val="00A57E4E"/>
    <w:rsid w:val="00A60599"/>
    <w:rsid w:val="00A60A0F"/>
    <w:rsid w:val="00A60EA1"/>
    <w:rsid w:val="00A60FDD"/>
    <w:rsid w:val="00A61374"/>
    <w:rsid w:val="00A6278B"/>
    <w:rsid w:val="00A62B53"/>
    <w:rsid w:val="00A62CC0"/>
    <w:rsid w:val="00A62EB9"/>
    <w:rsid w:val="00A63B3A"/>
    <w:rsid w:val="00A648B7"/>
    <w:rsid w:val="00A64925"/>
    <w:rsid w:val="00A656E0"/>
    <w:rsid w:val="00A65E26"/>
    <w:rsid w:val="00A66565"/>
    <w:rsid w:val="00A66EC2"/>
    <w:rsid w:val="00A67529"/>
    <w:rsid w:val="00A6753D"/>
    <w:rsid w:val="00A678C9"/>
    <w:rsid w:val="00A70265"/>
    <w:rsid w:val="00A715BF"/>
    <w:rsid w:val="00A71E82"/>
    <w:rsid w:val="00A7223D"/>
    <w:rsid w:val="00A72828"/>
    <w:rsid w:val="00A72DDA"/>
    <w:rsid w:val="00A734E3"/>
    <w:rsid w:val="00A735A7"/>
    <w:rsid w:val="00A73B60"/>
    <w:rsid w:val="00A7481F"/>
    <w:rsid w:val="00A75801"/>
    <w:rsid w:val="00A76329"/>
    <w:rsid w:val="00A765B6"/>
    <w:rsid w:val="00A766D8"/>
    <w:rsid w:val="00A77027"/>
    <w:rsid w:val="00A7732A"/>
    <w:rsid w:val="00A77342"/>
    <w:rsid w:val="00A77B22"/>
    <w:rsid w:val="00A8116D"/>
    <w:rsid w:val="00A82511"/>
    <w:rsid w:val="00A83916"/>
    <w:rsid w:val="00A8464C"/>
    <w:rsid w:val="00A854C0"/>
    <w:rsid w:val="00A85919"/>
    <w:rsid w:val="00A85C1F"/>
    <w:rsid w:val="00A8695C"/>
    <w:rsid w:val="00A87B77"/>
    <w:rsid w:val="00A91A98"/>
    <w:rsid w:val="00A9283F"/>
    <w:rsid w:val="00A9347E"/>
    <w:rsid w:val="00A93E02"/>
    <w:rsid w:val="00A95327"/>
    <w:rsid w:val="00A954CB"/>
    <w:rsid w:val="00A9596A"/>
    <w:rsid w:val="00A95A90"/>
    <w:rsid w:val="00A95B4F"/>
    <w:rsid w:val="00A95CD3"/>
    <w:rsid w:val="00A95DEF"/>
    <w:rsid w:val="00A97030"/>
    <w:rsid w:val="00AA0216"/>
    <w:rsid w:val="00AA0941"/>
    <w:rsid w:val="00AA1F9A"/>
    <w:rsid w:val="00AA2C6A"/>
    <w:rsid w:val="00AA2DB3"/>
    <w:rsid w:val="00AA30F4"/>
    <w:rsid w:val="00AA3A62"/>
    <w:rsid w:val="00AA400C"/>
    <w:rsid w:val="00AA4846"/>
    <w:rsid w:val="00AA485D"/>
    <w:rsid w:val="00AA4C6E"/>
    <w:rsid w:val="00AA4FE6"/>
    <w:rsid w:val="00AA50AB"/>
    <w:rsid w:val="00AA5F74"/>
    <w:rsid w:val="00AA6AC4"/>
    <w:rsid w:val="00AA7791"/>
    <w:rsid w:val="00AB049F"/>
    <w:rsid w:val="00AB0647"/>
    <w:rsid w:val="00AB0A61"/>
    <w:rsid w:val="00AB1046"/>
    <w:rsid w:val="00AB1F16"/>
    <w:rsid w:val="00AB2B9D"/>
    <w:rsid w:val="00AB340D"/>
    <w:rsid w:val="00AB35D5"/>
    <w:rsid w:val="00AB4D35"/>
    <w:rsid w:val="00AB5974"/>
    <w:rsid w:val="00AB629F"/>
    <w:rsid w:val="00AB6CDD"/>
    <w:rsid w:val="00AB7333"/>
    <w:rsid w:val="00AB7346"/>
    <w:rsid w:val="00AB7B00"/>
    <w:rsid w:val="00AC00E6"/>
    <w:rsid w:val="00AC03FF"/>
    <w:rsid w:val="00AC051E"/>
    <w:rsid w:val="00AC25AA"/>
    <w:rsid w:val="00AC5068"/>
    <w:rsid w:val="00AC52A5"/>
    <w:rsid w:val="00AC67A2"/>
    <w:rsid w:val="00AC6BF7"/>
    <w:rsid w:val="00AC720E"/>
    <w:rsid w:val="00AC79EE"/>
    <w:rsid w:val="00AC7D9D"/>
    <w:rsid w:val="00AC7EA4"/>
    <w:rsid w:val="00AD0077"/>
    <w:rsid w:val="00AD07FD"/>
    <w:rsid w:val="00AD1B09"/>
    <w:rsid w:val="00AD208D"/>
    <w:rsid w:val="00AD2FEB"/>
    <w:rsid w:val="00AD3A4F"/>
    <w:rsid w:val="00AD49C6"/>
    <w:rsid w:val="00AD5775"/>
    <w:rsid w:val="00AE0169"/>
    <w:rsid w:val="00AE19E8"/>
    <w:rsid w:val="00AE1AFF"/>
    <w:rsid w:val="00AE2684"/>
    <w:rsid w:val="00AE31B1"/>
    <w:rsid w:val="00AE35FD"/>
    <w:rsid w:val="00AE3C03"/>
    <w:rsid w:val="00AE4ED5"/>
    <w:rsid w:val="00AE6881"/>
    <w:rsid w:val="00AF041A"/>
    <w:rsid w:val="00AF123B"/>
    <w:rsid w:val="00AF157C"/>
    <w:rsid w:val="00AF1CE7"/>
    <w:rsid w:val="00AF20BD"/>
    <w:rsid w:val="00AF20F8"/>
    <w:rsid w:val="00AF21D1"/>
    <w:rsid w:val="00AF2210"/>
    <w:rsid w:val="00AF313F"/>
    <w:rsid w:val="00AF4051"/>
    <w:rsid w:val="00AF4173"/>
    <w:rsid w:val="00AF52BD"/>
    <w:rsid w:val="00AF5D36"/>
    <w:rsid w:val="00AF69EC"/>
    <w:rsid w:val="00AF6AB6"/>
    <w:rsid w:val="00B0197B"/>
    <w:rsid w:val="00B01EE7"/>
    <w:rsid w:val="00B0383D"/>
    <w:rsid w:val="00B04E97"/>
    <w:rsid w:val="00B0566C"/>
    <w:rsid w:val="00B05E1D"/>
    <w:rsid w:val="00B06387"/>
    <w:rsid w:val="00B06F4F"/>
    <w:rsid w:val="00B076B6"/>
    <w:rsid w:val="00B07779"/>
    <w:rsid w:val="00B07C1D"/>
    <w:rsid w:val="00B10B78"/>
    <w:rsid w:val="00B10FD3"/>
    <w:rsid w:val="00B1118E"/>
    <w:rsid w:val="00B11E7E"/>
    <w:rsid w:val="00B1250D"/>
    <w:rsid w:val="00B1281B"/>
    <w:rsid w:val="00B12F60"/>
    <w:rsid w:val="00B167A5"/>
    <w:rsid w:val="00B16F4B"/>
    <w:rsid w:val="00B17781"/>
    <w:rsid w:val="00B179D1"/>
    <w:rsid w:val="00B20750"/>
    <w:rsid w:val="00B207E1"/>
    <w:rsid w:val="00B20FE5"/>
    <w:rsid w:val="00B21514"/>
    <w:rsid w:val="00B217D2"/>
    <w:rsid w:val="00B220D0"/>
    <w:rsid w:val="00B226AB"/>
    <w:rsid w:val="00B23A41"/>
    <w:rsid w:val="00B23C08"/>
    <w:rsid w:val="00B23E29"/>
    <w:rsid w:val="00B24027"/>
    <w:rsid w:val="00B2418B"/>
    <w:rsid w:val="00B247C0"/>
    <w:rsid w:val="00B24BC5"/>
    <w:rsid w:val="00B27A0B"/>
    <w:rsid w:val="00B30C69"/>
    <w:rsid w:val="00B3132D"/>
    <w:rsid w:val="00B3133E"/>
    <w:rsid w:val="00B3298D"/>
    <w:rsid w:val="00B32CB8"/>
    <w:rsid w:val="00B33340"/>
    <w:rsid w:val="00B338B2"/>
    <w:rsid w:val="00B33C17"/>
    <w:rsid w:val="00B33C49"/>
    <w:rsid w:val="00B33C54"/>
    <w:rsid w:val="00B341B8"/>
    <w:rsid w:val="00B34DEF"/>
    <w:rsid w:val="00B3513D"/>
    <w:rsid w:val="00B35638"/>
    <w:rsid w:val="00B35E44"/>
    <w:rsid w:val="00B3662A"/>
    <w:rsid w:val="00B3672F"/>
    <w:rsid w:val="00B37179"/>
    <w:rsid w:val="00B3782D"/>
    <w:rsid w:val="00B40A6E"/>
    <w:rsid w:val="00B410CF"/>
    <w:rsid w:val="00B4142F"/>
    <w:rsid w:val="00B414AC"/>
    <w:rsid w:val="00B41C2B"/>
    <w:rsid w:val="00B41F36"/>
    <w:rsid w:val="00B42876"/>
    <w:rsid w:val="00B442C3"/>
    <w:rsid w:val="00B446D6"/>
    <w:rsid w:val="00B44770"/>
    <w:rsid w:val="00B44ABD"/>
    <w:rsid w:val="00B45932"/>
    <w:rsid w:val="00B46F72"/>
    <w:rsid w:val="00B47181"/>
    <w:rsid w:val="00B47AF1"/>
    <w:rsid w:val="00B517FA"/>
    <w:rsid w:val="00B5225F"/>
    <w:rsid w:val="00B526C4"/>
    <w:rsid w:val="00B529BA"/>
    <w:rsid w:val="00B52FE2"/>
    <w:rsid w:val="00B55F3C"/>
    <w:rsid w:val="00B56692"/>
    <w:rsid w:val="00B56838"/>
    <w:rsid w:val="00B56B3A"/>
    <w:rsid w:val="00B56FE1"/>
    <w:rsid w:val="00B57939"/>
    <w:rsid w:val="00B57B4A"/>
    <w:rsid w:val="00B60CF7"/>
    <w:rsid w:val="00B60FB8"/>
    <w:rsid w:val="00B622F1"/>
    <w:rsid w:val="00B62391"/>
    <w:rsid w:val="00B63388"/>
    <w:rsid w:val="00B6389E"/>
    <w:rsid w:val="00B63935"/>
    <w:rsid w:val="00B649F3"/>
    <w:rsid w:val="00B650EE"/>
    <w:rsid w:val="00B6579F"/>
    <w:rsid w:val="00B66019"/>
    <w:rsid w:val="00B665AB"/>
    <w:rsid w:val="00B66856"/>
    <w:rsid w:val="00B70E4A"/>
    <w:rsid w:val="00B70E7D"/>
    <w:rsid w:val="00B70FFF"/>
    <w:rsid w:val="00B718F1"/>
    <w:rsid w:val="00B72351"/>
    <w:rsid w:val="00B7264C"/>
    <w:rsid w:val="00B7290E"/>
    <w:rsid w:val="00B73E35"/>
    <w:rsid w:val="00B74009"/>
    <w:rsid w:val="00B74696"/>
    <w:rsid w:val="00B749EE"/>
    <w:rsid w:val="00B7524B"/>
    <w:rsid w:val="00B758DD"/>
    <w:rsid w:val="00B7762B"/>
    <w:rsid w:val="00B777C9"/>
    <w:rsid w:val="00B803E6"/>
    <w:rsid w:val="00B81CC9"/>
    <w:rsid w:val="00B81E43"/>
    <w:rsid w:val="00B8313A"/>
    <w:rsid w:val="00B84634"/>
    <w:rsid w:val="00B84798"/>
    <w:rsid w:val="00B84D4B"/>
    <w:rsid w:val="00B8676C"/>
    <w:rsid w:val="00B874A5"/>
    <w:rsid w:val="00B87946"/>
    <w:rsid w:val="00B90181"/>
    <w:rsid w:val="00B90335"/>
    <w:rsid w:val="00B905D7"/>
    <w:rsid w:val="00B908F6"/>
    <w:rsid w:val="00B91D39"/>
    <w:rsid w:val="00B92959"/>
    <w:rsid w:val="00B929B2"/>
    <w:rsid w:val="00B92AD4"/>
    <w:rsid w:val="00B93056"/>
    <w:rsid w:val="00B93211"/>
    <w:rsid w:val="00B93470"/>
    <w:rsid w:val="00B938F1"/>
    <w:rsid w:val="00B94011"/>
    <w:rsid w:val="00B940E1"/>
    <w:rsid w:val="00B95EE0"/>
    <w:rsid w:val="00B9627C"/>
    <w:rsid w:val="00B97ED4"/>
    <w:rsid w:val="00BA047F"/>
    <w:rsid w:val="00BA1125"/>
    <w:rsid w:val="00BA26FB"/>
    <w:rsid w:val="00BA29FE"/>
    <w:rsid w:val="00BA2CB3"/>
    <w:rsid w:val="00BA2E2E"/>
    <w:rsid w:val="00BA3AFE"/>
    <w:rsid w:val="00BA4F26"/>
    <w:rsid w:val="00BA52CE"/>
    <w:rsid w:val="00BA5382"/>
    <w:rsid w:val="00BA549D"/>
    <w:rsid w:val="00BA56AF"/>
    <w:rsid w:val="00BA6123"/>
    <w:rsid w:val="00BA6981"/>
    <w:rsid w:val="00BA6E7C"/>
    <w:rsid w:val="00BA6FC9"/>
    <w:rsid w:val="00BA744B"/>
    <w:rsid w:val="00BA7B9A"/>
    <w:rsid w:val="00BA7DEB"/>
    <w:rsid w:val="00BA7E62"/>
    <w:rsid w:val="00BB0429"/>
    <w:rsid w:val="00BB0FCE"/>
    <w:rsid w:val="00BB1477"/>
    <w:rsid w:val="00BB16AD"/>
    <w:rsid w:val="00BB1736"/>
    <w:rsid w:val="00BB1A78"/>
    <w:rsid w:val="00BB24EA"/>
    <w:rsid w:val="00BB298C"/>
    <w:rsid w:val="00BB3206"/>
    <w:rsid w:val="00BB338D"/>
    <w:rsid w:val="00BB4159"/>
    <w:rsid w:val="00BB4703"/>
    <w:rsid w:val="00BB4896"/>
    <w:rsid w:val="00BB60B7"/>
    <w:rsid w:val="00BB6866"/>
    <w:rsid w:val="00BC0506"/>
    <w:rsid w:val="00BC102D"/>
    <w:rsid w:val="00BC11D0"/>
    <w:rsid w:val="00BC2C98"/>
    <w:rsid w:val="00BC31B0"/>
    <w:rsid w:val="00BC3E59"/>
    <w:rsid w:val="00BC5DC4"/>
    <w:rsid w:val="00BC6B78"/>
    <w:rsid w:val="00BC6CE4"/>
    <w:rsid w:val="00BC757B"/>
    <w:rsid w:val="00BC7C0F"/>
    <w:rsid w:val="00BD0471"/>
    <w:rsid w:val="00BD0FA6"/>
    <w:rsid w:val="00BD100D"/>
    <w:rsid w:val="00BD1218"/>
    <w:rsid w:val="00BD13B6"/>
    <w:rsid w:val="00BD21D5"/>
    <w:rsid w:val="00BD33A8"/>
    <w:rsid w:val="00BD400A"/>
    <w:rsid w:val="00BD53CB"/>
    <w:rsid w:val="00BD567D"/>
    <w:rsid w:val="00BD57A5"/>
    <w:rsid w:val="00BD7FA7"/>
    <w:rsid w:val="00BE1563"/>
    <w:rsid w:val="00BE1D09"/>
    <w:rsid w:val="00BE299C"/>
    <w:rsid w:val="00BE3858"/>
    <w:rsid w:val="00BE4790"/>
    <w:rsid w:val="00BE4956"/>
    <w:rsid w:val="00BE4B4B"/>
    <w:rsid w:val="00BE5A41"/>
    <w:rsid w:val="00BE6039"/>
    <w:rsid w:val="00BE619C"/>
    <w:rsid w:val="00BE79EA"/>
    <w:rsid w:val="00BE7A2C"/>
    <w:rsid w:val="00BF1327"/>
    <w:rsid w:val="00BF1558"/>
    <w:rsid w:val="00BF1DB5"/>
    <w:rsid w:val="00BF27A8"/>
    <w:rsid w:val="00BF31BB"/>
    <w:rsid w:val="00BF37A1"/>
    <w:rsid w:val="00BF38B2"/>
    <w:rsid w:val="00BF3F41"/>
    <w:rsid w:val="00BF5294"/>
    <w:rsid w:val="00BF5833"/>
    <w:rsid w:val="00BF5F11"/>
    <w:rsid w:val="00BF67C3"/>
    <w:rsid w:val="00BF684C"/>
    <w:rsid w:val="00C0015D"/>
    <w:rsid w:val="00C00535"/>
    <w:rsid w:val="00C00621"/>
    <w:rsid w:val="00C0089D"/>
    <w:rsid w:val="00C00F67"/>
    <w:rsid w:val="00C014F6"/>
    <w:rsid w:val="00C01C32"/>
    <w:rsid w:val="00C01F47"/>
    <w:rsid w:val="00C0201B"/>
    <w:rsid w:val="00C02C43"/>
    <w:rsid w:val="00C0323B"/>
    <w:rsid w:val="00C03526"/>
    <w:rsid w:val="00C040D5"/>
    <w:rsid w:val="00C041D1"/>
    <w:rsid w:val="00C05D70"/>
    <w:rsid w:val="00C06566"/>
    <w:rsid w:val="00C07047"/>
    <w:rsid w:val="00C07341"/>
    <w:rsid w:val="00C07C3D"/>
    <w:rsid w:val="00C07DE1"/>
    <w:rsid w:val="00C11C8F"/>
    <w:rsid w:val="00C11F5F"/>
    <w:rsid w:val="00C1205D"/>
    <w:rsid w:val="00C129F8"/>
    <w:rsid w:val="00C133DC"/>
    <w:rsid w:val="00C137A0"/>
    <w:rsid w:val="00C139C6"/>
    <w:rsid w:val="00C1415E"/>
    <w:rsid w:val="00C15964"/>
    <w:rsid w:val="00C166A4"/>
    <w:rsid w:val="00C1742B"/>
    <w:rsid w:val="00C1744A"/>
    <w:rsid w:val="00C20DEF"/>
    <w:rsid w:val="00C2199A"/>
    <w:rsid w:val="00C21C13"/>
    <w:rsid w:val="00C22490"/>
    <w:rsid w:val="00C236A6"/>
    <w:rsid w:val="00C259CF"/>
    <w:rsid w:val="00C25C76"/>
    <w:rsid w:val="00C26452"/>
    <w:rsid w:val="00C2763E"/>
    <w:rsid w:val="00C2793D"/>
    <w:rsid w:val="00C30244"/>
    <w:rsid w:val="00C308EC"/>
    <w:rsid w:val="00C31263"/>
    <w:rsid w:val="00C31B2E"/>
    <w:rsid w:val="00C31FF8"/>
    <w:rsid w:val="00C32187"/>
    <w:rsid w:val="00C327FF"/>
    <w:rsid w:val="00C3355A"/>
    <w:rsid w:val="00C3364E"/>
    <w:rsid w:val="00C33965"/>
    <w:rsid w:val="00C33F24"/>
    <w:rsid w:val="00C34686"/>
    <w:rsid w:val="00C34992"/>
    <w:rsid w:val="00C35409"/>
    <w:rsid w:val="00C361B1"/>
    <w:rsid w:val="00C36256"/>
    <w:rsid w:val="00C4289F"/>
    <w:rsid w:val="00C42E0A"/>
    <w:rsid w:val="00C42F59"/>
    <w:rsid w:val="00C43A8F"/>
    <w:rsid w:val="00C43F79"/>
    <w:rsid w:val="00C44537"/>
    <w:rsid w:val="00C44DB6"/>
    <w:rsid w:val="00C45A2F"/>
    <w:rsid w:val="00C45D89"/>
    <w:rsid w:val="00C45FBE"/>
    <w:rsid w:val="00C4641D"/>
    <w:rsid w:val="00C46521"/>
    <w:rsid w:val="00C4694F"/>
    <w:rsid w:val="00C47E19"/>
    <w:rsid w:val="00C47F9C"/>
    <w:rsid w:val="00C5031F"/>
    <w:rsid w:val="00C513AD"/>
    <w:rsid w:val="00C543AB"/>
    <w:rsid w:val="00C547B0"/>
    <w:rsid w:val="00C54DCB"/>
    <w:rsid w:val="00C5581B"/>
    <w:rsid w:val="00C571CC"/>
    <w:rsid w:val="00C60490"/>
    <w:rsid w:val="00C6051B"/>
    <w:rsid w:val="00C60BF2"/>
    <w:rsid w:val="00C614BC"/>
    <w:rsid w:val="00C61F45"/>
    <w:rsid w:val="00C62A40"/>
    <w:rsid w:val="00C6320A"/>
    <w:rsid w:val="00C638A7"/>
    <w:rsid w:val="00C63EE2"/>
    <w:rsid w:val="00C63F93"/>
    <w:rsid w:val="00C64293"/>
    <w:rsid w:val="00C65A8F"/>
    <w:rsid w:val="00C670A3"/>
    <w:rsid w:val="00C67496"/>
    <w:rsid w:val="00C70F2D"/>
    <w:rsid w:val="00C71A51"/>
    <w:rsid w:val="00C75AF6"/>
    <w:rsid w:val="00C75C30"/>
    <w:rsid w:val="00C76AE3"/>
    <w:rsid w:val="00C770A2"/>
    <w:rsid w:val="00C7731A"/>
    <w:rsid w:val="00C77348"/>
    <w:rsid w:val="00C77F5E"/>
    <w:rsid w:val="00C804B7"/>
    <w:rsid w:val="00C80667"/>
    <w:rsid w:val="00C80AC4"/>
    <w:rsid w:val="00C80BBC"/>
    <w:rsid w:val="00C812D5"/>
    <w:rsid w:val="00C81A92"/>
    <w:rsid w:val="00C820CB"/>
    <w:rsid w:val="00C83243"/>
    <w:rsid w:val="00C835A5"/>
    <w:rsid w:val="00C836D4"/>
    <w:rsid w:val="00C842A5"/>
    <w:rsid w:val="00C856ED"/>
    <w:rsid w:val="00C86D40"/>
    <w:rsid w:val="00C90247"/>
    <w:rsid w:val="00C90BAE"/>
    <w:rsid w:val="00C90C9C"/>
    <w:rsid w:val="00C911EE"/>
    <w:rsid w:val="00C91238"/>
    <w:rsid w:val="00C9164C"/>
    <w:rsid w:val="00C917E7"/>
    <w:rsid w:val="00C91E0D"/>
    <w:rsid w:val="00C926DD"/>
    <w:rsid w:val="00C929DF"/>
    <w:rsid w:val="00C94FB4"/>
    <w:rsid w:val="00C9544D"/>
    <w:rsid w:val="00C966F4"/>
    <w:rsid w:val="00C96F29"/>
    <w:rsid w:val="00C9717A"/>
    <w:rsid w:val="00C97660"/>
    <w:rsid w:val="00C97C62"/>
    <w:rsid w:val="00CA0296"/>
    <w:rsid w:val="00CA02E8"/>
    <w:rsid w:val="00CA07E6"/>
    <w:rsid w:val="00CA0ED1"/>
    <w:rsid w:val="00CA21BA"/>
    <w:rsid w:val="00CA23C3"/>
    <w:rsid w:val="00CA37CC"/>
    <w:rsid w:val="00CA38BB"/>
    <w:rsid w:val="00CA4218"/>
    <w:rsid w:val="00CA4A90"/>
    <w:rsid w:val="00CA4FF2"/>
    <w:rsid w:val="00CA5257"/>
    <w:rsid w:val="00CA5C0C"/>
    <w:rsid w:val="00CA6265"/>
    <w:rsid w:val="00CA6C8D"/>
    <w:rsid w:val="00CA7014"/>
    <w:rsid w:val="00CA7366"/>
    <w:rsid w:val="00CA799C"/>
    <w:rsid w:val="00CB13C7"/>
    <w:rsid w:val="00CB1AB3"/>
    <w:rsid w:val="00CB1BC9"/>
    <w:rsid w:val="00CB2CD4"/>
    <w:rsid w:val="00CB2D87"/>
    <w:rsid w:val="00CB2E17"/>
    <w:rsid w:val="00CB4331"/>
    <w:rsid w:val="00CB4CC3"/>
    <w:rsid w:val="00CB4DD8"/>
    <w:rsid w:val="00CB4FC9"/>
    <w:rsid w:val="00CB579C"/>
    <w:rsid w:val="00CB5BAA"/>
    <w:rsid w:val="00CB63BA"/>
    <w:rsid w:val="00CB7625"/>
    <w:rsid w:val="00CB7740"/>
    <w:rsid w:val="00CC1722"/>
    <w:rsid w:val="00CC1F17"/>
    <w:rsid w:val="00CC372B"/>
    <w:rsid w:val="00CC3AC4"/>
    <w:rsid w:val="00CC3D64"/>
    <w:rsid w:val="00CC4ACE"/>
    <w:rsid w:val="00CC5186"/>
    <w:rsid w:val="00CC7114"/>
    <w:rsid w:val="00CC713C"/>
    <w:rsid w:val="00CD056C"/>
    <w:rsid w:val="00CD169F"/>
    <w:rsid w:val="00CD2C83"/>
    <w:rsid w:val="00CD3945"/>
    <w:rsid w:val="00CD3E46"/>
    <w:rsid w:val="00CD5372"/>
    <w:rsid w:val="00CD6169"/>
    <w:rsid w:val="00CD68D9"/>
    <w:rsid w:val="00CD70B5"/>
    <w:rsid w:val="00CD7BC2"/>
    <w:rsid w:val="00CD7E79"/>
    <w:rsid w:val="00CD7ED6"/>
    <w:rsid w:val="00CE00B0"/>
    <w:rsid w:val="00CE050A"/>
    <w:rsid w:val="00CE050F"/>
    <w:rsid w:val="00CE0DD1"/>
    <w:rsid w:val="00CE118E"/>
    <w:rsid w:val="00CE3963"/>
    <w:rsid w:val="00CE4B59"/>
    <w:rsid w:val="00CE4BDE"/>
    <w:rsid w:val="00CE4E26"/>
    <w:rsid w:val="00CE5005"/>
    <w:rsid w:val="00CE50D5"/>
    <w:rsid w:val="00CE5171"/>
    <w:rsid w:val="00CE51B6"/>
    <w:rsid w:val="00CE5699"/>
    <w:rsid w:val="00CE63B3"/>
    <w:rsid w:val="00CE7E10"/>
    <w:rsid w:val="00CF1227"/>
    <w:rsid w:val="00CF14BB"/>
    <w:rsid w:val="00CF1E61"/>
    <w:rsid w:val="00CF201D"/>
    <w:rsid w:val="00CF2949"/>
    <w:rsid w:val="00CF30D5"/>
    <w:rsid w:val="00CF39DD"/>
    <w:rsid w:val="00CF3F44"/>
    <w:rsid w:val="00CF4078"/>
    <w:rsid w:val="00CF4943"/>
    <w:rsid w:val="00CF4E2A"/>
    <w:rsid w:val="00CF50EE"/>
    <w:rsid w:val="00CF55E0"/>
    <w:rsid w:val="00CF56CC"/>
    <w:rsid w:val="00CF5B7F"/>
    <w:rsid w:val="00CF670A"/>
    <w:rsid w:val="00CF68C2"/>
    <w:rsid w:val="00CF7535"/>
    <w:rsid w:val="00D00608"/>
    <w:rsid w:val="00D010A5"/>
    <w:rsid w:val="00D04249"/>
    <w:rsid w:val="00D050D1"/>
    <w:rsid w:val="00D069A2"/>
    <w:rsid w:val="00D07091"/>
    <w:rsid w:val="00D074F5"/>
    <w:rsid w:val="00D076F1"/>
    <w:rsid w:val="00D07CDC"/>
    <w:rsid w:val="00D107A0"/>
    <w:rsid w:val="00D10E0B"/>
    <w:rsid w:val="00D11AB3"/>
    <w:rsid w:val="00D123D8"/>
    <w:rsid w:val="00D12734"/>
    <w:rsid w:val="00D12D78"/>
    <w:rsid w:val="00D130C0"/>
    <w:rsid w:val="00D154D3"/>
    <w:rsid w:val="00D161F0"/>
    <w:rsid w:val="00D16775"/>
    <w:rsid w:val="00D20760"/>
    <w:rsid w:val="00D20854"/>
    <w:rsid w:val="00D208E2"/>
    <w:rsid w:val="00D20F80"/>
    <w:rsid w:val="00D21AC8"/>
    <w:rsid w:val="00D22675"/>
    <w:rsid w:val="00D22F2B"/>
    <w:rsid w:val="00D24089"/>
    <w:rsid w:val="00D24470"/>
    <w:rsid w:val="00D25269"/>
    <w:rsid w:val="00D25384"/>
    <w:rsid w:val="00D25747"/>
    <w:rsid w:val="00D25804"/>
    <w:rsid w:val="00D26031"/>
    <w:rsid w:val="00D26E95"/>
    <w:rsid w:val="00D273D0"/>
    <w:rsid w:val="00D27539"/>
    <w:rsid w:val="00D277D1"/>
    <w:rsid w:val="00D27EFA"/>
    <w:rsid w:val="00D30A4A"/>
    <w:rsid w:val="00D30CE6"/>
    <w:rsid w:val="00D31904"/>
    <w:rsid w:val="00D31F83"/>
    <w:rsid w:val="00D32B55"/>
    <w:rsid w:val="00D32FD3"/>
    <w:rsid w:val="00D339DB"/>
    <w:rsid w:val="00D354C0"/>
    <w:rsid w:val="00D355F6"/>
    <w:rsid w:val="00D35D76"/>
    <w:rsid w:val="00D35DAB"/>
    <w:rsid w:val="00D36408"/>
    <w:rsid w:val="00D36E3D"/>
    <w:rsid w:val="00D401E7"/>
    <w:rsid w:val="00D4063D"/>
    <w:rsid w:val="00D41002"/>
    <w:rsid w:val="00D41933"/>
    <w:rsid w:val="00D41C7D"/>
    <w:rsid w:val="00D43572"/>
    <w:rsid w:val="00D43B12"/>
    <w:rsid w:val="00D44338"/>
    <w:rsid w:val="00D457BB"/>
    <w:rsid w:val="00D45DBB"/>
    <w:rsid w:val="00D47EDA"/>
    <w:rsid w:val="00D50045"/>
    <w:rsid w:val="00D50532"/>
    <w:rsid w:val="00D53C20"/>
    <w:rsid w:val="00D540C9"/>
    <w:rsid w:val="00D54629"/>
    <w:rsid w:val="00D54AF3"/>
    <w:rsid w:val="00D54C53"/>
    <w:rsid w:val="00D550C7"/>
    <w:rsid w:val="00D55C1D"/>
    <w:rsid w:val="00D5707B"/>
    <w:rsid w:val="00D57BEB"/>
    <w:rsid w:val="00D57C07"/>
    <w:rsid w:val="00D6028D"/>
    <w:rsid w:val="00D60819"/>
    <w:rsid w:val="00D60E54"/>
    <w:rsid w:val="00D613F1"/>
    <w:rsid w:val="00D618A6"/>
    <w:rsid w:val="00D61E76"/>
    <w:rsid w:val="00D62E4A"/>
    <w:rsid w:val="00D634A9"/>
    <w:rsid w:val="00D6354B"/>
    <w:rsid w:val="00D63E3D"/>
    <w:rsid w:val="00D646A0"/>
    <w:rsid w:val="00D669AC"/>
    <w:rsid w:val="00D66D8A"/>
    <w:rsid w:val="00D67351"/>
    <w:rsid w:val="00D6771D"/>
    <w:rsid w:val="00D67EC6"/>
    <w:rsid w:val="00D7074B"/>
    <w:rsid w:val="00D71147"/>
    <w:rsid w:val="00D71C4C"/>
    <w:rsid w:val="00D72BC4"/>
    <w:rsid w:val="00D7347F"/>
    <w:rsid w:val="00D73D8A"/>
    <w:rsid w:val="00D7435E"/>
    <w:rsid w:val="00D74F83"/>
    <w:rsid w:val="00D74FB6"/>
    <w:rsid w:val="00D7523E"/>
    <w:rsid w:val="00D75A64"/>
    <w:rsid w:val="00D767AF"/>
    <w:rsid w:val="00D7688A"/>
    <w:rsid w:val="00D76D78"/>
    <w:rsid w:val="00D76F76"/>
    <w:rsid w:val="00D77479"/>
    <w:rsid w:val="00D775E8"/>
    <w:rsid w:val="00D77743"/>
    <w:rsid w:val="00D80EDE"/>
    <w:rsid w:val="00D816EA"/>
    <w:rsid w:val="00D8211E"/>
    <w:rsid w:val="00D8269A"/>
    <w:rsid w:val="00D835C6"/>
    <w:rsid w:val="00D83976"/>
    <w:rsid w:val="00D84289"/>
    <w:rsid w:val="00D8429A"/>
    <w:rsid w:val="00D84DCB"/>
    <w:rsid w:val="00D8542D"/>
    <w:rsid w:val="00D857A2"/>
    <w:rsid w:val="00D8678B"/>
    <w:rsid w:val="00D867F1"/>
    <w:rsid w:val="00D8705F"/>
    <w:rsid w:val="00D87B08"/>
    <w:rsid w:val="00D90F04"/>
    <w:rsid w:val="00D914DB"/>
    <w:rsid w:val="00D91545"/>
    <w:rsid w:val="00D92B7B"/>
    <w:rsid w:val="00D93833"/>
    <w:rsid w:val="00D938C8"/>
    <w:rsid w:val="00D9554F"/>
    <w:rsid w:val="00D965C1"/>
    <w:rsid w:val="00D967AC"/>
    <w:rsid w:val="00D96BBD"/>
    <w:rsid w:val="00D96C6C"/>
    <w:rsid w:val="00D96E9C"/>
    <w:rsid w:val="00D97077"/>
    <w:rsid w:val="00D97FAC"/>
    <w:rsid w:val="00DA0F05"/>
    <w:rsid w:val="00DA1305"/>
    <w:rsid w:val="00DA1342"/>
    <w:rsid w:val="00DA16C5"/>
    <w:rsid w:val="00DA1BA2"/>
    <w:rsid w:val="00DA22D2"/>
    <w:rsid w:val="00DA260D"/>
    <w:rsid w:val="00DA3450"/>
    <w:rsid w:val="00DA60AC"/>
    <w:rsid w:val="00DA6B90"/>
    <w:rsid w:val="00DA7156"/>
    <w:rsid w:val="00DA7652"/>
    <w:rsid w:val="00DA7A39"/>
    <w:rsid w:val="00DB0505"/>
    <w:rsid w:val="00DB0FD2"/>
    <w:rsid w:val="00DB1939"/>
    <w:rsid w:val="00DB20C9"/>
    <w:rsid w:val="00DB24C3"/>
    <w:rsid w:val="00DB4075"/>
    <w:rsid w:val="00DB4E1F"/>
    <w:rsid w:val="00DB510E"/>
    <w:rsid w:val="00DB562D"/>
    <w:rsid w:val="00DB6130"/>
    <w:rsid w:val="00DC0634"/>
    <w:rsid w:val="00DC0A70"/>
    <w:rsid w:val="00DC173E"/>
    <w:rsid w:val="00DC1C5F"/>
    <w:rsid w:val="00DC3292"/>
    <w:rsid w:val="00DC395F"/>
    <w:rsid w:val="00DC4C23"/>
    <w:rsid w:val="00DC4C81"/>
    <w:rsid w:val="00DC5156"/>
    <w:rsid w:val="00DC5E49"/>
    <w:rsid w:val="00DC6629"/>
    <w:rsid w:val="00DD0BE6"/>
    <w:rsid w:val="00DD1168"/>
    <w:rsid w:val="00DD210C"/>
    <w:rsid w:val="00DD379A"/>
    <w:rsid w:val="00DD555B"/>
    <w:rsid w:val="00DD593D"/>
    <w:rsid w:val="00DD63B5"/>
    <w:rsid w:val="00DD6BA6"/>
    <w:rsid w:val="00DD76EA"/>
    <w:rsid w:val="00DE0094"/>
    <w:rsid w:val="00DE0AAE"/>
    <w:rsid w:val="00DE18FB"/>
    <w:rsid w:val="00DE277E"/>
    <w:rsid w:val="00DE2CD6"/>
    <w:rsid w:val="00DE3729"/>
    <w:rsid w:val="00DE37EF"/>
    <w:rsid w:val="00DE4431"/>
    <w:rsid w:val="00DE5AB5"/>
    <w:rsid w:val="00DE5DDF"/>
    <w:rsid w:val="00DE5F75"/>
    <w:rsid w:val="00DE682A"/>
    <w:rsid w:val="00DE6C7F"/>
    <w:rsid w:val="00DE7EE0"/>
    <w:rsid w:val="00DF03BE"/>
    <w:rsid w:val="00DF03D1"/>
    <w:rsid w:val="00DF089E"/>
    <w:rsid w:val="00DF0CF7"/>
    <w:rsid w:val="00DF1140"/>
    <w:rsid w:val="00DF1A57"/>
    <w:rsid w:val="00DF1A98"/>
    <w:rsid w:val="00DF1CFB"/>
    <w:rsid w:val="00DF357D"/>
    <w:rsid w:val="00DF3773"/>
    <w:rsid w:val="00DF4431"/>
    <w:rsid w:val="00DF60EE"/>
    <w:rsid w:val="00DF6905"/>
    <w:rsid w:val="00DF70FF"/>
    <w:rsid w:val="00DF7688"/>
    <w:rsid w:val="00DF7F69"/>
    <w:rsid w:val="00E00317"/>
    <w:rsid w:val="00E00416"/>
    <w:rsid w:val="00E01541"/>
    <w:rsid w:val="00E01646"/>
    <w:rsid w:val="00E01CEC"/>
    <w:rsid w:val="00E01F0B"/>
    <w:rsid w:val="00E020B7"/>
    <w:rsid w:val="00E020CC"/>
    <w:rsid w:val="00E0292F"/>
    <w:rsid w:val="00E02E04"/>
    <w:rsid w:val="00E03418"/>
    <w:rsid w:val="00E04104"/>
    <w:rsid w:val="00E04476"/>
    <w:rsid w:val="00E0499D"/>
    <w:rsid w:val="00E05F61"/>
    <w:rsid w:val="00E07BAB"/>
    <w:rsid w:val="00E07FF4"/>
    <w:rsid w:val="00E10211"/>
    <w:rsid w:val="00E10958"/>
    <w:rsid w:val="00E118A5"/>
    <w:rsid w:val="00E121C6"/>
    <w:rsid w:val="00E12D54"/>
    <w:rsid w:val="00E13C64"/>
    <w:rsid w:val="00E13EBB"/>
    <w:rsid w:val="00E146FC"/>
    <w:rsid w:val="00E14D4B"/>
    <w:rsid w:val="00E15F8E"/>
    <w:rsid w:val="00E1636A"/>
    <w:rsid w:val="00E16D18"/>
    <w:rsid w:val="00E172E9"/>
    <w:rsid w:val="00E1744C"/>
    <w:rsid w:val="00E2010A"/>
    <w:rsid w:val="00E212A4"/>
    <w:rsid w:val="00E214C5"/>
    <w:rsid w:val="00E21A61"/>
    <w:rsid w:val="00E226B7"/>
    <w:rsid w:val="00E22A73"/>
    <w:rsid w:val="00E238DE"/>
    <w:rsid w:val="00E24027"/>
    <w:rsid w:val="00E240F7"/>
    <w:rsid w:val="00E2463F"/>
    <w:rsid w:val="00E2676D"/>
    <w:rsid w:val="00E276A3"/>
    <w:rsid w:val="00E278CC"/>
    <w:rsid w:val="00E310C5"/>
    <w:rsid w:val="00E31267"/>
    <w:rsid w:val="00E31524"/>
    <w:rsid w:val="00E32256"/>
    <w:rsid w:val="00E32280"/>
    <w:rsid w:val="00E32E7C"/>
    <w:rsid w:val="00E34285"/>
    <w:rsid w:val="00E34602"/>
    <w:rsid w:val="00E35DEB"/>
    <w:rsid w:val="00E36817"/>
    <w:rsid w:val="00E3681A"/>
    <w:rsid w:val="00E36A2E"/>
    <w:rsid w:val="00E3702E"/>
    <w:rsid w:val="00E37F50"/>
    <w:rsid w:val="00E40D52"/>
    <w:rsid w:val="00E40EC1"/>
    <w:rsid w:val="00E41D6F"/>
    <w:rsid w:val="00E41E5A"/>
    <w:rsid w:val="00E42A0D"/>
    <w:rsid w:val="00E42E37"/>
    <w:rsid w:val="00E440E4"/>
    <w:rsid w:val="00E45DFC"/>
    <w:rsid w:val="00E46487"/>
    <w:rsid w:val="00E46A86"/>
    <w:rsid w:val="00E50232"/>
    <w:rsid w:val="00E5058C"/>
    <w:rsid w:val="00E51A85"/>
    <w:rsid w:val="00E51C31"/>
    <w:rsid w:val="00E51D0A"/>
    <w:rsid w:val="00E51D13"/>
    <w:rsid w:val="00E51E3D"/>
    <w:rsid w:val="00E52B4D"/>
    <w:rsid w:val="00E52CCA"/>
    <w:rsid w:val="00E5317C"/>
    <w:rsid w:val="00E53AE7"/>
    <w:rsid w:val="00E543AB"/>
    <w:rsid w:val="00E54917"/>
    <w:rsid w:val="00E54CC9"/>
    <w:rsid w:val="00E55AA7"/>
    <w:rsid w:val="00E565BF"/>
    <w:rsid w:val="00E568DE"/>
    <w:rsid w:val="00E57BE4"/>
    <w:rsid w:val="00E60522"/>
    <w:rsid w:val="00E60FCC"/>
    <w:rsid w:val="00E64386"/>
    <w:rsid w:val="00E66BAA"/>
    <w:rsid w:val="00E67114"/>
    <w:rsid w:val="00E67F09"/>
    <w:rsid w:val="00E700F9"/>
    <w:rsid w:val="00E709B1"/>
    <w:rsid w:val="00E714B8"/>
    <w:rsid w:val="00E71E04"/>
    <w:rsid w:val="00E721E4"/>
    <w:rsid w:val="00E72C1B"/>
    <w:rsid w:val="00E73305"/>
    <w:rsid w:val="00E73D66"/>
    <w:rsid w:val="00E748D6"/>
    <w:rsid w:val="00E75266"/>
    <w:rsid w:val="00E75376"/>
    <w:rsid w:val="00E755BB"/>
    <w:rsid w:val="00E75C8B"/>
    <w:rsid w:val="00E7687B"/>
    <w:rsid w:val="00E76B5C"/>
    <w:rsid w:val="00E77564"/>
    <w:rsid w:val="00E812CB"/>
    <w:rsid w:val="00E812E5"/>
    <w:rsid w:val="00E818DF"/>
    <w:rsid w:val="00E819E4"/>
    <w:rsid w:val="00E82FBB"/>
    <w:rsid w:val="00E8340D"/>
    <w:rsid w:val="00E84C7B"/>
    <w:rsid w:val="00E85406"/>
    <w:rsid w:val="00E87354"/>
    <w:rsid w:val="00E87E96"/>
    <w:rsid w:val="00E901F1"/>
    <w:rsid w:val="00E90F8E"/>
    <w:rsid w:val="00E915D1"/>
    <w:rsid w:val="00E91C3B"/>
    <w:rsid w:val="00E920CE"/>
    <w:rsid w:val="00E93238"/>
    <w:rsid w:val="00E939D6"/>
    <w:rsid w:val="00E94028"/>
    <w:rsid w:val="00E94181"/>
    <w:rsid w:val="00E95775"/>
    <w:rsid w:val="00E959A2"/>
    <w:rsid w:val="00E96845"/>
    <w:rsid w:val="00E969DE"/>
    <w:rsid w:val="00E96B04"/>
    <w:rsid w:val="00E96BD8"/>
    <w:rsid w:val="00E9745B"/>
    <w:rsid w:val="00E97586"/>
    <w:rsid w:val="00E977C7"/>
    <w:rsid w:val="00E97BB1"/>
    <w:rsid w:val="00E97F86"/>
    <w:rsid w:val="00EA03A4"/>
    <w:rsid w:val="00EA102D"/>
    <w:rsid w:val="00EA16B7"/>
    <w:rsid w:val="00EA23E1"/>
    <w:rsid w:val="00EA297F"/>
    <w:rsid w:val="00EA2BE6"/>
    <w:rsid w:val="00EA322F"/>
    <w:rsid w:val="00EA368D"/>
    <w:rsid w:val="00EA4206"/>
    <w:rsid w:val="00EA5CBB"/>
    <w:rsid w:val="00EA6939"/>
    <w:rsid w:val="00EA7572"/>
    <w:rsid w:val="00EA75F3"/>
    <w:rsid w:val="00EB019C"/>
    <w:rsid w:val="00EB2D78"/>
    <w:rsid w:val="00EB3C84"/>
    <w:rsid w:val="00EB4853"/>
    <w:rsid w:val="00EB6333"/>
    <w:rsid w:val="00EB6752"/>
    <w:rsid w:val="00EB68D8"/>
    <w:rsid w:val="00EB7F21"/>
    <w:rsid w:val="00EC0D78"/>
    <w:rsid w:val="00EC0FDA"/>
    <w:rsid w:val="00EC11DE"/>
    <w:rsid w:val="00EC1488"/>
    <w:rsid w:val="00EC1850"/>
    <w:rsid w:val="00EC2F15"/>
    <w:rsid w:val="00EC3433"/>
    <w:rsid w:val="00EC39C0"/>
    <w:rsid w:val="00EC4B9D"/>
    <w:rsid w:val="00EC4FC0"/>
    <w:rsid w:val="00EC5928"/>
    <w:rsid w:val="00EC594C"/>
    <w:rsid w:val="00EC76F6"/>
    <w:rsid w:val="00ED1D5E"/>
    <w:rsid w:val="00ED1EF9"/>
    <w:rsid w:val="00ED361D"/>
    <w:rsid w:val="00ED3A09"/>
    <w:rsid w:val="00ED3F2F"/>
    <w:rsid w:val="00ED46EA"/>
    <w:rsid w:val="00ED4D48"/>
    <w:rsid w:val="00ED4D59"/>
    <w:rsid w:val="00ED4F0A"/>
    <w:rsid w:val="00ED573D"/>
    <w:rsid w:val="00ED6AA4"/>
    <w:rsid w:val="00ED72FE"/>
    <w:rsid w:val="00ED770C"/>
    <w:rsid w:val="00ED7A09"/>
    <w:rsid w:val="00ED7CC5"/>
    <w:rsid w:val="00EE0450"/>
    <w:rsid w:val="00EE119A"/>
    <w:rsid w:val="00EE193A"/>
    <w:rsid w:val="00EE2CC1"/>
    <w:rsid w:val="00EE4D25"/>
    <w:rsid w:val="00EE51B6"/>
    <w:rsid w:val="00EE56BA"/>
    <w:rsid w:val="00EE5800"/>
    <w:rsid w:val="00EE5ADC"/>
    <w:rsid w:val="00EE6118"/>
    <w:rsid w:val="00EE65CD"/>
    <w:rsid w:val="00EE7127"/>
    <w:rsid w:val="00EE75C9"/>
    <w:rsid w:val="00EE77F5"/>
    <w:rsid w:val="00EF056A"/>
    <w:rsid w:val="00EF14D6"/>
    <w:rsid w:val="00EF1507"/>
    <w:rsid w:val="00EF18A2"/>
    <w:rsid w:val="00EF1933"/>
    <w:rsid w:val="00EF196B"/>
    <w:rsid w:val="00EF19A1"/>
    <w:rsid w:val="00EF1DFF"/>
    <w:rsid w:val="00EF2120"/>
    <w:rsid w:val="00EF3F6D"/>
    <w:rsid w:val="00EF485B"/>
    <w:rsid w:val="00EF5382"/>
    <w:rsid w:val="00EF5BB4"/>
    <w:rsid w:val="00EF5D4E"/>
    <w:rsid w:val="00EF69AF"/>
    <w:rsid w:val="00EF6A43"/>
    <w:rsid w:val="00EF6E93"/>
    <w:rsid w:val="00EF700D"/>
    <w:rsid w:val="00EF7699"/>
    <w:rsid w:val="00F00EDA"/>
    <w:rsid w:val="00F00FFE"/>
    <w:rsid w:val="00F011FF"/>
    <w:rsid w:val="00F017AE"/>
    <w:rsid w:val="00F01D49"/>
    <w:rsid w:val="00F02585"/>
    <w:rsid w:val="00F02939"/>
    <w:rsid w:val="00F03066"/>
    <w:rsid w:val="00F03FA0"/>
    <w:rsid w:val="00F04CE7"/>
    <w:rsid w:val="00F05325"/>
    <w:rsid w:val="00F0567E"/>
    <w:rsid w:val="00F05912"/>
    <w:rsid w:val="00F076FE"/>
    <w:rsid w:val="00F1087B"/>
    <w:rsid w:val="00F109A3"/>
    <w:rsid w:val="00F10BBD"/>
    <w:rsid w:val="00F10F85"/>
    <w:rsid w:val="00F11E0E"/>
    <w:rsid w:val="00F1225F"/>
    <w:rsid w:val="00F127BE"/>
    <w:rsid w:val="00F130B7"/>
    <w:rsid w:val="00F13810"/>
    <w:rsid w:val="00F13F19"/>
    <w:rsid w:val="00F1469C"/>
    <w:rsid w:val="00F146BF"/>
    <w:rsid w:val="00F154DD"/>
    <w:rsid w:val="00F159EB"/>
    <w:rsid w:val="00F15A76"/>
    <w:rsid w:val="00F174D2"/>
    <w:rsid w:val="00F17B40"/>
    <w:rsid w:val="00F17B9D"/>
    <w:rsid w:val="00F17C4F"/>
    <w:rsid w:val="00F209F3"/>
    <w:rsid w:val="00F21815"/>
    <w:rsid w:val="00F22CBC"/>
    <w:rsid w:val="00F23DD6"/>
    <w:rsid w:val="00F2680D"/>
    <w:rsid w:val="00F275FA"/>
    <w:rsid w:val="00F27A51"/>
    <w:rsid w:val="00F27A97"/>
    <w:rsid w:val="00F27C7C"/>
    <w:rsid w:val="00F27F38"/>
    <w:rsid w:val="00F3077C"/>
    <w:rsid w:val="00F30E45"/>
    <w:rsid w:val="00F3114C"/>
    <w:rsid w:val="00F314AC"/>
    <w:rsid w:val="00F322B5"/>
    <w:rsid w:val="00F32BAB"/>
    <w:rsid w:val="00F33135"/>
    <w:rsid w:val="00F336A6"/>
    <w:rsid w:val="00F34AAF"/>
    <w:rsid w:val="00F34DFA"/>
    <w:rsid w:val="00F351C2"/>
    <w:rsid w:val="00F35CA2"/>
    <w:rsid w:val="00F36339"/>
    <w:rsid w:val="00F36352"/>
    <w:rsid w:val="00F363F0"/>
    <w:rsid w:val="00F3685A"/>
    <w:rsid w:val="00F40D60"/>
    <w:rsid w:val="00F410DB"/>
    <w:rsid w:val="00F41967"/>
    <w:rsid w:val="00F42365"/>
    <w:rsid w:val="00F424E0"/>
    <w:rsid w:val="00F4256E"/>
    <w:rsid w:val="00F42991"/>
    <w:rsid w:val="00F4397B"/>
    <w:rsid w:val="00F456D2"/>
    <w:rsid w:val="00F47BF5"/>
    <w:rsid w:val="00F502AF"/>
    <w:rsid w:val="00F5183E"/>
    <w:rsid w:val="00F51DAA"/>
    <w:rsid w:val="00F52221"/>
    <w:rsid w:val="00F52392"/>
    <w:rsid w:val="00F52DE5"/>
    <w:rsid w:val="00F53982"/>
    <w:rsid w:val="00F54497"/>
    <w:rsid w:val="00F554C7"/>
    <w:rsid w:val="00F56C68"/>
    <w:rsid w:val="00F56DD0"/>
    <w:rsid w:val="00F57640"/>
    <w:rsid w:val="00F623A4"/>
    <w:rsid w:val="00F62560"/>
    <w:rsid w:val="00F62A1D"/>
    <w:rsid w:val="00F633CF"/>
    <w:rsid w:val="00F64B0C"/>
    <w:rsid w:val="00F6573D"/>
    <w:rsid w:val="00F659C3"/>
    <w:rsid w:val="00F65A4E"/>
    <w:rsid w:val="00F66338"/>
    <w:rsid w:val="00F67397"/>
    <w:rsid w:val="00F6741C"/>
    <w:rsid w:val="00F679E0"/>
    <w:rsid w:val="00F70D9B"/>
    <w:rsid w:val="00F70DE8"/>
    <w:rsid w:val="00F71A98"/>
    <w:rsid w:val="00F736F5"/>
    <w:rsid w:val="00F749D4"/>
    <w:rsid w:val="00F75B12"/>
    <w:rsid w:val="00F75D11"/>
    <w:rsid w:val="00F760B3"/>
    <w:rsid w:val="00F763FD"/>
    <w:rsid w:val="00F76827"/>
    <w:rsid w:val="00F77EED"/>
    <w:rsid w:val="00F800CA"/>
    <w:rsid w:val="00F80B08"/>
    <w:rsid w:val="00F80F66"/>
    <w:rsid w:val="00F81024"/>
    <w:rsid w:val="00F8120A"/>
    <w:rsid w:val="00F81461"/>
    <w:rsid w:val="00F8194B"/>
    <w:rsid w:val="00F81970"/>
    <w:rsid w:val="00F8433B"/>
    <w:rsid w:val="00F8457A"/>
    <w:rsid w:val="00F848A6"/>
    <w:rsid w:val="00F84D7C"/>
    <w:rsid w:val="00F8552C"/>
    <w:rsid w:val="00F856AE"/>
    <w:rsid w:val="00F85AE8"/>
    <w:rsid w:val="00F85D1D"/>
    <w:rsid w:val="00F86521"/>
    <w:rsid w:val="00F87DCF"/>
    <w:rsid w:val="00F905B5"/>
    <w:rsid w:val="00F912C6"/>
    <w:rsid w:val="00F91B76"/>
    <w:rsid w:val="00F91EC4"/>
    <w:rsid w:val="00F91F64"/>
    <w:rsid w:val="00F93BF8"/>
    <w:rsid w:val="00F93FAB"/>
    <w:rsid w:val="00F9405D"/>
    <w:rsid w:val="00F94BED"/>
    <w:rsid w:val="00F95810"/>
    <w:rsid w:val="00F95C91"/>
    <w:rsid w:val="00FA009C"/>
    <w:rsid w:val="00FA0377"/>
    <w:rsid w:val="00FA0BF6"/>
    <w:rsid w:val="00FA3022"/>
    <w:rsid w:val="00FA3CE3"/>
    <w:rsid w:val="00FA5C1D"/>
    <w:rsid w:val="00FA5D43"/>
    <w:rsid w:val="00FA638E"/>
    <w:rsid w:val="00FA64F4"/>
    <w:rsid w:val="00FA6BB1"/>
    <w:rsid w:val="00FA6CCC"/>
    <w:rsid w:val="00FA7025"/>
    <w:rsid w:val="00FA7C2E"/>
    <w:rsid w:val="00FB0C3E"/>
    <w:rsid w:val="00FB28FE"/>
    <w:rsid w:val="00FB3244"/>
    <w:rsid w:val="00FB3290"/>
    <w:rsid w:val="00FB3F20"/>
    <w:rsid w:val="00FB44C1"/>
    <w:rsid w:val="00FB453A"/>
    <w:rsid w:val="00FB4817"/>
    <w:rsid w:val="00FB48CC"/>
    <w:rsid w:val="00FB49EC"/>
    <w:rsid w:val="00FB5348"/>
    <w:rsid w:val="00FB575E"/>
    <w:rsid w:val="00FB632C"/>
    <w:rsid w:val="00FB69C0"/>
    <w:rsid w:val="00FB6AC5"/>
    <w:rsid w:val="00FB6CFD"/>
    <w:rsid w:val="00FC22AF"/>
    <w:rsid w:val="00FC23B0"/>
    <w:rsid w:val="00FC2F17"/>
    <w:rsid w:val="00FC5EB8"/>
    <w:rsid w:val="00FC628E"/>
    <w:rsid w:val="00FC7535"/>
    <w:rsid w:val="00FD04C7"/>
    <w:rsid w:val="00FD0CC6"/>
    <w:rsid w:val="00FD0CF7"/>
    <w:rsid w:val="00FD1805"/>
    <w:rsid w:val="00FD205D"/>
    <w:rsid w:val="00FD4369"/>
    <w:rsid w:val="00FD5703"/>
    <w:rsid w:val="00FD575B"/>
    <w:rsid w:val="00FD63D6"/>
    <w:rsid w:val="00FD6E11"/>
    <w:rsid w:val="00FD702F"/>
    <w:rsid w:val="00FD7713"/>
    <w:rsid w:val="00FD7AC9"/>
    <w:rsid w:val="00FE00F2"/>
    <w:rsid w:val="00FE02D9"/>
    <w:rsid w:val="00FE0DFD"/>
    <w:rsid w:val="00FE0ECC"/>
    <w:rsid w:val="00FE0ED6"/>
    <w:rsid w:val="00FE101F"/>
    <w:rsid w:val="00FE17E0"/>
    <w:rsid w:val="00FE1A22"/>
    <w:rsid w:val="00FE1A5B"/>
    <w:rsid w:val="00FE4167"/>
    <w:rsid w:val="00FE5CF5"/>
    <w:rsid w:val="00FE6334"/>
    <w:rsid w:val="00FE6446"/>
    <w:rsid w:val="00FE6FA8"/>
    <w:rsid w:val="00FE795D"/>
    <w:rsid w:val="00FE7FA7"/>
    <w:rsid w:val="00FF0853"/>
    <w:rsid w:val="00FF262E"/>
    <w:rsid w:val="00FF2C7D"/>
    <w:rsid w:val="00FF2CED"/>
    <w:rsid w:val="00FF32E0"/>
    <w:rsid w:val="00FF45C2"/>
    <w:rsid w:val="00FF5360"/>
    <w:rsid w:val="00FF571B"/>
    <w:rsid w:val="00FF6624"/>
    <w:rsid w:val="00FF6F59"/>
    <w:rsid w:val="00FF7215"/>
    <w:rsid w:val="00FF7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9DC0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E6039"/>
    <w:pPr>
      <w:spacing w:before="120" w:after="120"/>
      <w:jc w:val="both"/>
    </w:pPr>
  </w:style>
  <w:style w:type="paragraph" w:styleId="Heading1">
    <w:name w:val="heading 1"/>
    <w:basedOn w:val="Normal"/>
    <w:next w:val="Normal"/>
    <w:link w:val="Heading1Char"/>
    <w:uiPriority w:val="9"/>
    <w:qFormat/>
    <w:rsid w:val="005574EF"/>
    <w:pPr>
      <w:outlineLvl w:val="0"/>
    </w:pPr>
    <w:rPr>
      <w:rFonts w:ascii="Times New Roman Bold" w:eastAsia="Times New Roman" w:hAnsi="Times New Roman Bold" w:cs="Times New Roman"/>
      <w:b/>
      <w:caps/>
      <w:szCs w:val="24"/>
      <w:u w:val="single"/>
    </w:rPr>
  </w:style>
  <w:style w:type="paragraph" w:styleId="Heading2">
    <w:name w:val="heading 2"/>
    <w:basedOn w:val="ListParagraph"/>
    <w:next w:val="Normal"/>
    <w:link w:val="Heading2Char"/>
    <w:uiPriority w:val="9"/>
    <w:unhideWhenUsed/>
    <w:qFormat/>
    <w:rsid w:val="00DF089E"/>
    <w:pPr>
      <w:numPr>
        <w:numId w:val="11"/>
      </w:numPr>
      <w:shd w:val="clear" w:color="auto" w:fill="FFFFFF"/>
      <w:outlineLvl w:val="1"/>
    </w:pPr>
    <w:rPr>
      <w:rFonts w:eastAsia="Times New Roman" w:cs="Times New Roman"/>
      <w:b/>
      <w:szCs w:val="24"/>
    </w:rPr>
  </w:style>
  <w:style w:type="paragraph" w:styleId="Heading3">
    <w:name w:val="heading 3"/>
    <w:basedOn w:val="Normal"/>
    <w:next w:val="Normal"/>
    <w:link w:val="Heading3Char"/>
    <w:uiPriority w:val="9"/>
    <w:unhideWhenUsed/>
    <w:qFormat/>
    <w:rsid w:val="009E1588"/>
    <w:pPr>
      <w:spacing w:before="240"/>
      <w:outlineLvl w:val="2"/>
    </w:pPr>
    <w:rPr>
      <w:sz w:val="28"/>
    </w:rPr>
  </w:style>
  <w:style w:type="paragraph" w:styleId="Heading4">
    <w:name w:val="heading 4"/>
    <w:basedOn w:val="Normal"/>
    <w:next w:val="Normal"/>
    <w:link w:val="Heading4Char"/>
    <w:uiPriority w:val="9"/>
    <w:unhideWhenUsed/>
    <w:qFormat/>
    <w:rsid w:val="00BE6039"/>
    <w:pPr>
      <w:keepNext/>
      <w:keepLines/>
      <w:spacing w:before="200" w:after="0"/>
      <w:ind w:left="72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E6039"/>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CEC"/>
    <w:pPr>
      <w:ind w:left="720"/>
      <w:contextualSpacing/>
    </w:pPr>
  </w:style>
  <w:style w:type="paragraph" w:styleId="FootnoteText">
    <w:name w:val="footnote text"/>
    <w:basedOn w:val="Normal"/>
    <w:link w:val="FootnoteTextChar"/>
    <w:uiPriority w:val="99"/>
    <w:unhideWhenUsed/>
    <w:rsid w:val="00263DB6"/>
    <w:rPr>
      <w:sz w:val="20"/>
      <w:szCs w:val="20"/>
    </w:rPr>
  </w:style>
  <w:style w:type="character" w:customStyle="1" w:styleId="FootnoteTextChar">
    <w:name w:val="Footnote Text Char"/>
    <w:basedOn w:val="DefaultParagraphFont"/>
    <w:link w:val="FootnoteText"/>
    <w:uiPriority w:val="99"/>
    <w:rsid w:val="00263DB6"/>
    <w:rPr>
      <w:sz w:val="20"/>
      <w:szCs w:val="20"/>
    </w:rPr>
  </w:style>
  <w:style w:type="character" w:styleId="FootnoteReference">
    <w:name w:val="footnote reference"/>
    <w:basedOn w:val="DefaultParagraphFont"/>
    <w:uiPriority w:val="99"/>
    <w:unhideWhenUsed/>
    <w:rsid w:val="00263DB6"/>
    <w:rPr>
      <w:vertAlign w:val="superscript"/>
    </w:rPr>
  </w:style>
  <w:style w:type="character" w:styleId="Hyperlink">
    <w:name w:val="Hyperlink"/>
    <w:basedOn w:val="DefaultParagraphFont"/>
    <w:uiPriority w:val="99"/>
    <w:unhideWhenUsed/>
    <w:rsid w:val="007F331D"/>
    <w:rPr>
      <w:color w:val="0563C1" w:themeColor="hyperlink"/>
      <w:u w:val="single"/>
    </w:rPr>
  </w:style>
  <w:style w:type="paragraph" w:styleId="BalloonText">
    <w:name w:val="Balloon Text"/>
    <w:basedOn w:val="Normal"/>
    <w:link w:val="BalloonTextChar"/>
    <w:uiPriority w:val="99"/>
    <w:semiHidden/>
    <w:unhideWhenUsed/>
    <w:rsid w:val="007878B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78B6"/>
    <w:rPr>
      <w:rFonts w:ascii="Segoe UI" w:hAnsi="Segoe UI" w:cs="Segoe UI"/>
      <w:sz w:val="18"/>
      <w:szCs w:val="18"/>
    </w:rPr>
  </w:style>
  <w:style w:type="paragraph" w:styleId="BodyTextIndent">
    <w:name w:val="Body Text Indent"/>
    <w:basedOn w:val="Normal"/>
    <w:link w:val="BodyTextIndentChar"/>
    <w:rsid w:val="00D669AC"/>
    <w:pPr>
      <w:tabs>
        <w:tab w:val="left" w:pos="851"/>
      </w:tabs>
      <w:ind w:left="567"/>
    </w:pPr>
    <w:rPr>
      <w:rFonts w:eastAsia="Times New Roman" w:cs="Times New Roman"/>
      <w:szCs w:val="20"/>
      <w:lang w:val="en-GB"/>
    </w:rPr>
  </w:style>
  <w:style w:type="character" w:customStyle="1" w:styleId="BodyTextIndentChar">
    <w:name w:val="Body Text Indent Char"/>
    <w:basedOn w:val="DefaultParagraphFont"/>
    <w:link w:val="BodyTextIndent"/>
    <w:rsid w:val="00D669AC"/>
    <w:rPr>
      <w:rFonts w:eastAsia="Times New Roman" w:cs="Times New Roman"/>
      <w:szCs w:val="20"/>
      <w:lang w:val="en-GB"/>
    </w:rPr>
  </w:style>
  <w:style w:type="paragraph" w:styleId="Header">
    <w:name w:val="header"/>
    <w:basedOn w:val="Normal"/>
    <w:link w:val="HeaderChar"/>
    <w:uiPriority w:val="99"/>
    <w:unhideWhenUsed/>
    <w:rsid w:val="007336A7"/>
    <w:pPr>
      <w:tabs>
        <w:tab w:val="center" w:pos="4680"/>
        <w:tab w:val="right" w:pos="9360"/>
      </w:tabs>
    </w:pPr>
  </w:style>
  <w:style w:type="character" w:customStyle="1" w:styleId="HeaderChar">
    <w:name w:val="Header Char"/>
    <w:basedOn w:val="DefaultParagraphFont"/>
    <w:link w:val="Header"/>
    <w:uiPriority w:val="99"/>
    <w:rsid w:val="007336A7"/>
  </w:style>
  <w:style w:type="paragraph" w:styleId="Footer">
    <w:name w:val="footer"/>
    <w:basedOn w:val="Normal"/>
    <w:link w:val="FooterChar"/>
    <w:uiPriority w:val="99"/>
    <w:unhideWhenUsed/>
    <w:rsid w:val="007336A7"/>
    <w:pPr>
      <w:tabs>
        <w:tab w:val="center" w:pos="4680"/>
        <w:tab w:val="right" w:pos="9360"/>
      </w:tabs>
    </w:pPr>
  </w:style>
  <w:style w:type="character" w:customStyle="1" w:styleId="FooterChar">
    <w:name w:val="Footer Char"/>
    <w:basedOn w:val="DefaultParagraphFont"/>
    <w:link w:val="Footer"/>
    <w:uiPriority w:val="99"/>
    <w:rsid w:val="007336A7"/>
  </w:style>
  <w:style w:type="character" w:styleId="CommentReference">
    <w:name w:val="annotation reference"/>
    <w:basedOn w:val="DefaultParagraphFont"/>
    <w:uiPriority w:val="99"/>
    <w:semiHidden/>
    <w:unhideWhenUsed/>
    <w:rsid w:val="00C01C32"/>
    <w:rPr>
      <w:sz w:val="16"/>
      <w:szCs w:val="16"/>
    </w:rPr>
  </w:style>
  <w:style w:type="paragraph" w:styleId="CommentText">
    <w:name w:val="annotation text"/>
    <w:basedOn w:val="Normal"/>
    <w:link w:val="CommentTextChar"/>
    <w:uiPriority w:val="99"/>
    <w:unhideWhenUsed/>
    <w:rsid w:val="00C01C32"/>
    <w:rPr>
      <w:sz w:val="20"/>
      <w:szCs w:val="20"/>
    </w:rPr>
  </w:style>
  <w:style w:type="character" w:customStyle="1" w:styleId="CommentTextChar">
    <w:name w:val="Comment Text Char"/>
    <w:basedOn w:val="DefaultParagraphFont"/>
    <w:link w:val="CommentText"/>
    <w:uiPriority w:val="99"/>
    <w:rsid w:val="00C01C32"/>
    <w:rPr>
      <w:sz w:val="20"/>
      <w:szCs w:val="20"/>
    </w:rPr>
  </w:style>
  <w:style w:type="paragraph" w:styleId="CommentSubject">
    <w:name w:val="annotation subject"/>
    <w:basedOn w:val="CommentText"/>
    <w:next w:val="CommentText"/>
    <w:link w:val="CommentSubjectChar"/>
    <w:uiPriority w:val="99"/>
    <w:semiHidden/>
    <w:unhideWhenUsed/>
    <w:rsid w:val="00C01C32"/>
    <w:rPr>
      <w:b/>
      <w:bCs/>
    </w:rPr>
  </w:style>
  <w:style w:type="character" w:customStyle="1" w:styleId="CommentSubjectChar">
    <w:name w:val="Comment Subject Char"/>
    <w:basedOn w:val="CommentTextChar"/>
    <w:link w:val="CommentSubject"/>
    <w:uiPriority w:val="99"/>
    <w:semiHidden/>
    <w:rsid w:val="00C01C32"/>
    <w:rPr>
      <w:b/>
      <w:bCs/>
      <w:sz w:val="20"/>
      <w:szCs w:val="20"/>
    </w:rPr>
  </w:style>
  <w:style w:type="character" w:customStyle="1" w:styleId="apple-converted-space">
    <w:name w:val="apple-converted-space"/>
    <w:basedOn w:val="DefaultParagraphFont"/>
    <w:rsid w:val="00C911EE"/>
  </w:style>
  <w:style w:type="character" w:styleId="Emphasis">
    <w:name w:val="Emphasis"/>
    <w:basedOn w:val="DefaultParagraphFont"/>
    <w:uiPriority w:val="20"/>
    <w:qFormat/>
    <w:rsid w:val="00C911EE"/>
    <w:rPr>
      <w:i/>
      <w:iCs/>
    </w:rPr>
  </w:style>
  <w:style w:type="paragraph" w:styleId="Revision">
    <w:name w:val="Revision"/>
    <w:hidden/>
    <w:uiPriority w:val="99"/>
    <w:semiHidden/>
    <w:rsid w:val="00923CB4"/>
  </w:style>
  <w:style w:type="character" w:customStyle="1" w:styleId="Heading1Char">
    <w:name w:val="Heading 1 Char"/>
    <w:basedOn w:val="DefaultParagraphFont"/>
    <w:link w:val="Heading1"/>
    <w:uiPriority w:val="9"/>
    <w:rsid w:val="005574EF"/>
    <w:rPr>
      <w:rFonts w:ascii="Times New Roman Bold" w:eastAsia="Times New Roman" w:hAnsi="Times New Roman Bold" w:cs="Times New Roman"/>
      <w:b/>
      <w:caps/>
      <w:szCs w:val="24"/>
      <w:u w:val="single"/>
    </w:rPr>
  </w:style>
  <w:style w:type="character" w:customStyle="1" w:styleId="Heading2Char">
    <w:name w:val="Heading 2 Char"/>
    <w:basedOn w:val="DefaultParagraphFont"/>
    <w:link w:val="Heading2"/>
    <w:uiPriority w:val="9"/>
    <w:rsid w:val="00DF089E"/>
    <w:rPr>
      <w:rFonts w:eastAsia="Times New Roman" w:cs="Times New Roman"/>
      <w:b/>
      <w:szCs w:val="24"/>
      <w:shd w:val="clear" w:color="auto" w:fill="FFFFFF"/>
    </w:rPr>
  </w:style>
  <w:style w:type="character" w:customStyle="1" w:styleId="Heading3Char">
    <w:name w:val="Heading 3 Char"/>
    <w:basedOn w:val="DefaultParagraphFont"/>
    <w:link w:val="Heading3"/>
    <w:uiPriority w:val="9"/>
    <w:rsid w:val="009E1588"/>
    <w:rPr>
      <w:sz w:val="28"/>
    </w:rPr>
  </w:style>
  <w:style w:type="character" w:customStyle="1" w:styleId="Heading4Char">
    <w:name w:val="Heading 4 Char"/>
    <w:basedOn w:val="DefaultParagraphFont"/>
    <w:link w:val="Heading4"/>
    <w:uiPriority w:val="9"/>
    <w:rsid w:val="00BE6039"/>
    <w:rPr>
      <w:rFonts w:eastAsiaTheme="majorEastAsia" w:cstheme="majorBidi"/>
      <w:b/>
      <w:bCs/>
      <w:iCs/>
    </w:rPr>
  </w:style>
  <w:style w:type="character" w:customStyle="1" w:styleId="Heading5Char">
    <w:name w:val="Heading 5 Char"/>
    <w:basedOn w:val="DefaultParagraphFont"/>
    <w:link w:val="Heading5"/>
    <w:uiPriority w:val="9"/>
    <w:rsid w:val="00BE6039"/>
    <w:rPr>
      <w:rFonts w:asciiTheme="majorHAnsi" w:eastAsiaTheme="majorEastAsia" w:hAnsiTheme="majorHAnsi" w:cstheme="majorBidi"/>
      <w:color w:val="1F4D78" w:themeColor="accent1" w:themeShade="7F"/>
    </w:rPr>
  </w:style>
  <w:style w:type="paragraph" w:styleId="TOCHeading">
    <w:name w:val="TOC Heading"/>
    <w:basedOn w:val="Heading1"/>
    <w:next w:val="Normal"/>
    <w:uiPriority w:val="39"/>
    <w:semiHidden/>
    <w:unhideWhenUsed/>
    <w:qFormat/>
    <w:rsid w:val="00FB632C"/>
    <w:pPr>
      <w:keepNext/>
      <w:keepLines/>
      <w:spacing w:before="480" w:after="0" w:line="276" w:lineRule="auto"/>
      <w:jc w:val="left"/>
      <w:outlineLvl w:val="9"/>
    </w:pPr>
    <w:rPr>
      <w:rFonts w:asciiTheme="majorHAnsi" w:eastAsiaTheme="majorEastAsia" w:hAnsiTheme="majorHAnsi" w:cstheme="majorBidi"/>
      <w:bCs/>
      <w:caps w:val="0"/>
      <w:color w:val="2E74B5" w:themeColor="accent1" w:themeShade="BF"/>
      <w:sz w:val="28"/>
      <w:szCs w:val="28"/>
      <w:u w:val="none"/>
    </w:rPr>
  </w:style>
  <w:style w:type="paragraph" w:styleId="TOC1">
    <w:name w:val="toc 1"/>
    <w:basedOn w:val="Normal"/>
    <w:next w:val="Normal"/>
    <w:autoRedefine/>
    <w:uiPriority w:val="39"/>
    <w:unhideWhenUsed/>
    <w:rsid w:val="00FB632C"/>
    <w:pPr>
      <w:spacing w:after="100"/>
    </w:pPr>
  </w:style>
  <w:style w:type="paragraph" w:styleId="TOC2">
    <w:name w:val="toc 2"/>
    <w:basedOn w:val="Normal"/>
    <w:next w:val="Normal"/>
    <w:autoRedefine/>
    <w:uiPriority w:val="39"/>
    <w:unhideWhenUsed/>
    <w:rsid w:val="00FB632C"/>
    <w:pPr>
      <w:spacing w:after="100"/>
      <w:ind w:left="240"/>
    </w:pPr>
  </w:style>
  <w:style w:type="paragraph" w:styleId="TOC3">
    <w:name w:val="toc 3"/>
    <w:basedOn w:val="Normal"/>
    <w:next w:val="Normal"/>
    <w:autoRedefine/>
    <w:uiPriority w:val="39"/>
    <w:unhideWhenUsed/>
    <w:rsid w:val="00FB632C"/>
    <w:pPr>
      <w:spacing w:after="100"/>
      <w:ind w:left="480"/>
    </w:pPr>
  </w:style>
  <w:style w:type="paragraph" w:styleId="DocumentMap">
    <w:name w:val="Document Map"/>
    <w:basedOn w:val="Normal"/>
    <w:link w:val="DocumentMapChar"/>
    <w:uiPriority w:val="99"/>
    <w:semiHidden/>
    <w:unhideWhenUsed/>
    <w:rsid w:val="00F8433B"/>
    <w:pPr>
      <w:spacing w:before="0"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F8433B"/>
    <w:rPr>
      <w:rFonts w:ascii="Tahoma" w:hAnsi="Tahoma" w:cs="Tahoma"/>
      <w:sz w:val="16"/>
      <w:szCs w:val="16"/>
    </w:rPr>
  </w:style>
  <w:style w:type="paragraph" w:styleId="HTMLPreformatted">
    <w:name w:val="HTML Preformatted"/>
    <w:basedOn w:val="Normal"/>
    <w:link w:val="HTMLPreformattedChar"/>
    <w:uiPriority w:val="99"/>
    <w:semiHidden/>
    <w:unhideWhenUsed/>
    <w:rsid w:val="00F57640"/>
    <w:pPr>
      <w:spacing w:before="0" w:after="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57640"/>
    <w:rPr>
      <w:rFonts w:ascii="Consolas" w:hAnsi="Consolas" w:cs="Consolas"/>
      <w:sz w:val="20"/>
      <w:szCs w:val="20"/>
    </w:rPr>
  </w:style>
  <w:style w:type="paragraph" w:styleId="EndnoteText">
    <w:name w:val="endnote text"/>
    <w:basedOn w:val="Normal"/>
    <w:link w:val="EndnoteTextChar"/>
    <w:uiPriority w:val="99"/>
    <w:unhideWhenUsed/>
    <w:rsid w:val="00DD593D"/>
    <w:pPr>
      <w:spacing w:before="0" w:after="0"/>
    </w:pPr>
    <w:rPr>
      <w:szCs w:val="24"/>
    </w:rPr>
  </w:style>
  <w:style w:type="character" w:customStyle="1" w:styleId="EndnoteTextChar">
    <w:name w:val="Endnote Text Char"/>
    <w:basedOn w:val="DefaultParagraphFont"/>
    <w:link w:val="EndnoteText"/>
    <w:uiPriority w:val="99"/>
    <w:rsid w:val="00DD593D"/>
    <w:rPr>
      <w:szCs w:val="24"/>
    </w:rPr>
  </w:style>
  <w:style w:type="character" w:styleId="EndnoteReference">
    <w:name w:val="endnote reference"/>
    <w:basedOn w:val="DefaultParagraphFont"/>
    <w:uiPriority w:val="99"/>
    <w:unhideWhenUsed/>
    <w:rsid w:val="00DD593D"/>
    <w:rPr>
      <w:vertAlign w:val="superscript"/>
    </w:rPr>
  </w:style>
  <w:style w:type="character" w:styleId="PageNumber">
    <w:name w:val="page number"/>
    <w:basedOn w:val="DefaultParagraphFont"/>
    <w:uiPriority w:val="99"/>
    <w:semiHidden/>
    <w:unhideWhenUsed/>
    <w:rsid w:val="00906C1E"/>
  </w:style>
  <w:style w:type="character" w:customStyle="1" w:styleId="UnresolvedMention1">
    <w:name w:val="Unresolved Mention1"/>
    <w:basedOn w:val="DefaultParagraphFont"/>
    <w:uiPriority w:val="99"/>
    <w:rsid w:val="00AC720E"/>
    <w:rPr>
      <w:color w:val="808080"/>
      <w:shd w:val="clear" w:color="auto" w:fill="E6E6E6"/>
    </w:rPr>
  </w:style>
  <w:style w:type="paragraph" w:styleId="NoSpacing">
    <w:name w:val="No Spacing"/>
    <w:uiPriority w:val="1"/>
    <w:qFormat/>
    <w:rsid w:val="00187158"/>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20160">
      <w:bodyDiv w:val="1"/>
      <w:marLeft w:val="0"/>
      <w:marRight w:val="0"/>
      <w:marTop w:val="0"/>
      <w:marBottom w:val="0"/>
      <w:divBdr>
        <w:top w:val="none" w:sz="0" w:space="0" w:color="auto"/>
        <w:left w:val="none" w:sz="0" w:space="0" w:color="auto"/>
        <w:bottom w:val="none" w:sz="0" w:space="0" w:color="auto"/>
        <w:right w:val="none" w:sz="0" w:space="0" w:color="auto"/>
      </w:divBdr>
    </w:div>
    <w:div w:id="471412610">
      <w:bodyDiv w:val="1"/>
      <w:marLeft w:val="0"/>
      <w:marRight w:val="0"/>
      <w:marTop w:val="0"/>
      <w:marBottom w:val="0"/>
      <w:divBdr>
        <w:top w:val="none" w:sz="0" w:space="0" w:color="auto"/>
        <w:left w:val="none" w:sz="0" w:space="0" w:color="auto"/>
        <w:bottom w:val="none" w:sz="0" w:space="0" w:color="auto"/>
        <w:right w:val="none" w:sz="0" w:space="0" w:color="auto"/>
      </w:divBdr>
    </w:div>
    <w:div w:id="511837965">
      <w:bodyDiv w:val="1"/>
      <w:marLeft w:val="0"/>
      <w:marRight w:val="0"/>
      <w:marTop w:val="0"/>
      <w:marBottom w:val="0"/>
      <w:divBdr>
        <w:top w:val="none" w:sz="0" w:space="0" w:color="auto"/>
        <w:left w:val="none" w:sz="0" w:space="0" w:color="auto"/>
        <w:bottom w:val="none" w:sz="0" w:space="0" w:color="auto"/>
        <w:right w:val="none" w:sz="0" w:space="0" w:color="auto"/>
      </w:divBdr>
    </w:div>
    <w:div w:id="624653808">
      <w:bodyDiv w:val="1"/>
      <w:marLeft w:val="0"/>
      <w:marRight w:val="0"/>
      <w:marTop w:val="0"/>
      <w:marBottom w:val="0"/>
      <w:divBdr>
        <w:top w:val="none" w:sz="0" w:space="0" w:color="auto"/>
        <w:left w:val="none" w:sz="0" w:space="0" w:color="auto"/>
        <w:bottom w:val="none" w:sz="0" w:space="0" w:color="auto"/>
        <w:right w:val="none" w:sz="0" w:space="0" w:color="auto"/>
      </w:divBdr>
    </w:div>
    <w:div w:id="646979863">
      <w:bodyDiv w:val="1"/>
      <w:marLeft w:val="0"/>
      <w:marRight w:val="0"/>
      <w:marTop w:val="0"/>
      <w:marBottom w:val="0"/>
      <w:divBdr>
        <w:top w:val="none" w:sz="0" w:space="0" w:color="auto"/>
        <w:left w:val="none" w:sz="0" w:space="0" w:color="auto"/>
        <w:bottom w:val="none" w:sz="0" w:space="0" w:color="auto"/>
        <w:right w:val="none" w:sz="0" w:space="0" w:color="auto"/>
      </w:divBdr>
    </w:div>
    <w:div w:id="794296780">
      <w:bodyDiv w:val="1"/>
      <w:marLeft w:val="0"/>
      <w:marRight w:val="0"/>
      <w:marTop w:val="0"/>
      <w:marBottom w:val="0"/>
      <w:divBdr>
        <w:top w:val="none" w:sz="0" w:space="0" w:color="auto"/>
        <w:left w:val="none" w:sz="0" w:space="0" w:color="auto"/>
        <w:bottom w:val="none" w:sz="0" w:space="0" w:color="auto"/>
        <w:right w:val="none" w:sz="0" w:space="0" w:color="auto"/>
      </w:divBdr>
    </w:div>
    <w:div w:id="887840246">
      <w:bodyDiv w:val="1"/>
      <w:marLeft w:val="0"/>
      <w:marRight w:val="0"/>
      <w:marTop w:val="0"/>
      <w:marBottom w:val="0"/>
      <w:divBdr>
        <w:top w:val="none" w:sz="0" w:space="0" w:color="auto"/>
        <w:left w:val="none" w:sz="0" w:space="0" w:color="auto"/>
        <w:bottom w:val="none" w:sz="0" w:space="0" w:color="auto"/>
        <w:right w:val="none" w:sz="0" w:space="0" w:color="auto"/>
      </w:divBdr>
    </w:div>
    <w:div w:id="900752734">
      <w:bodyDiv w:val="1"/>
      <w:marLeft w:val="0"/>
      <w:marRight w:val="0"/>
      <w:marTop w:val="0"/>
      <w:marBottom w:val="0"/>
      <w:divBdr>
        <w:top w:val="none" w:sz="0" w:space="0" w:color="auto"/>
        <w:left w:val="none" w:sz="0" w:space="0" w:color="auto"/>
        <w:bottom w:val="none" w:sz="0" w:space="0" w:color="auto"/>
        <w:right w:val="none" w:sz="0" w:space="0" w:color="auto"/>
      </w:divBdr>
    </w:div>
    <w:div w:id="997077363">
      <w:bodyDiv w:val="1"/>
      <w:marLeft w:val="0"/>
      <w:marRight w:val="0"/>
      <w:marTop w:val="0"/>
      <w:marBottom w:val="0"/>
      <w:divBdr>
        <w:top w:val="none" w:sz="0" w:space="0" w:color="auto"/>
        <w:left w:val="none" w:sz="0" w:space="0" w:color="auto"/>
        <w:bottom w:val="none" w:sz="0" w:space="0" w:color="auto"/>
        <w:right w:val="none" w:sz="0" w:space="0" w:color="auto"/>
      </w:divBdr>
    </w:div>
    <w:div w:id="1312246497">
      <w:bodyDiv w:val="1"/>
      <w:marLeft w:val="0"/>
      <w:marRight w:val="0"/>
      <w:marTop w:val="0"/>
      <w:marBottom w:val="0"/>
      <w:divBdr>
        <w:top w:val="none" w:sz="0" w:space="0" w:color="auto"/>
        <w:left w:val="none" w:sz="0" w:space="0" w:color="auto"/>
        <w:bottom w:val="none" w:sz="0" w:space="0" w:color="auto"/>
        <w:right w:val="none" w:sz="0" w:space="0" w:color="auto"/>
      </w:divBdr>
    </w:div>
    <w:div w:id="1315838430">
      <w:bodyDiv w:val="1"/>
      <w:marLeft w:val="0"/>
      <w:marRight w:val="0"/>
      <w:marTop w:val="0"/>
      <w:marBottom w:val="0"/>
      <w:divBdr>
        <w:top w:val="none" w:sz="0" w:space="0" w:color="auto"/>
        <w:left w:val="none" w:sz="0" w:space="0" w:color="auto"/>
        <w:bottom w:val="none" w:sz="0" w:space="0" w:color="auto"/>
        <w:right w:val="none" w:sz="0" w:space="0" w:color="auto"/>
      </w:divBdr>
    </w:div>
    <w:div w:id="1365405063">
      <w:bodyDiv w:val="1"/>
      <w:marLeft w:val="0"/>
      <w:marRight w:val="0"/>
      <w:marTop w:val="0"/>
      <w:marBottom w:val="0"/>
      <w:divBdr>
        <w:top w:val="none" w:sz="0" w:space="0" w:color="auto"/>
        <w:left w:val="none" w:sz="0" w:space="0" w:color="auto"/>
        <w:bottom w:val="none" w:sz="0" w:space="0" w:color="auto"/>
        <w:right w:val="none" w:sz="0" w:space="0" w:color="auto"/>
      </w:divBdr>
    </w:div>
    <w:div w:id="1437941198">
      <w:bodyDiv w:val="1"/>
      <w:marLeft w:val="0"/>
      <w:marRight w:val="0"/>
      <w:marTop w:val="0"/>
      <w:marBottom w:val="0"/>
      <w:divBdr>
        <w:top w:val="none" w:sz="0" w:space="0" w:color="auto"/>
        <w:left w:val="none" w:sz="0" w:space="0" w:color="auto"/>
        <w:bottom w:val="none" w:sz="0" w:space="0" w:color="auto"/>
        <w:right w:val="none" w:sz="0" w:space="0" w:color="auto"/>
      </w:divBdr>
    </w:div>
    <w:div w:id="1461457261">
      <w:bodyDiv w:val="1"/>
      <w:marLeft w:val="0"/>
      <w:marRight w:val="0"/>
      <w:marTop w:val="0"/>
      <w:marBottom w:val="0"/>
      <w:divBdr>
        <w:top w:val="none" w:sz="0" w:space="0" w:color="auto"/>
        <w:left w:val="none" w:sz="0" w:space="0" w:color="auto"/>
        <w:bottom w:val="none" w:sz="0" w:space="0" w:color="auto"/>
        <w:right w:val="none" w:sz="0" w:space="0" w:color="auto"/>
      </w:divBdr>
    </w:div>
    <w:div w:id="1479149403">
      <w:bodyDiv w:val="1"/>
      <w:marLeft w:val="0"/>
      <w:marRight w:val="0"/>
      <w:marTop w:val="0"/>
      <w:marBottom w:val="0"/>
      <w:divBdr>
        <w:top w:val="none" w:sz="0" w:space="0" w:color="auto"/>
        <w:left w:val="none" w:sz="0" w:space="0" w:color="auto"/>
        <w:bottom w:val="none" w:sz="0" w:space="0" w:color="auto"/>
        <w:right w:val="none" w:sz="0" w:space="0" w:color="auto"/>
      </w:divBdr>
    </w:div>
    <w:div w:id="1507869077">
      <w:bodyDiv w:val="1"/>
      <w:marLeft w:val="0"/>
      <w:marRight w:val="0"/>
      <w:marTop w:val="0"/>
      <w:marBottom w:val="0"/>
      <w:divBdr>
        <w:top w:val="none" w:sz="0" w:space="0" w:color="auto"/>
        <w:left w:val="none" w:sz="0" w:space="0" w:color="auto"/>
        <w:bottom w:val="none" w:sz="0" w:space="0" w:color="auto"/>
        <w:right w:val="none" w:sz="0" w:space="0" w:color="auto"/>
      </w:divBdr>
    </w:div>
    <w:div w:id="1563440637">
      <w:bodyDiv w:val="1"/>
      <w:marLeft w:val="0"/>
      <w:marRight w:val="0"/>
      <w:marTop w:val="0"/>
      <w:marBottom w:val="0"/>
      <w:divBdr>
        <w:top w:val="none" w:sz="0" w:space="0" w:color="auto"/>
        <w:left w:val="none" w:sz="0" w:space="0" w:color="auto"/>
        <w:bottom w:val="none" w:sz="0" w:space="0" w:color="auto"/>
        <w:right w:val="none" w:sz="0" w:space="0" w:color="auto"/>
      </w:divBdr>
    </w:div>
    <w:div w:id="1622178733">
      <w:bodyDiv w:val="1"/>
      <w:marLeft w:val="0"/>
      <w:marRight w:val="0"/>
      <w:marTop w:val="0"/>
      <w:marBottom w:val="0"/>
      <w:divBdr>
        <w:top w:val="none" w:sz="0" w:space="0" w:color="auto"/>
        <w:left w:val="none" w:sz="0" w:space="0" w:color="auto"/>
        <w:bottom w:val="none" w:sz="0" w:space="0" w:color="auto"/>
        <w:right w:val="none" w:sz="0" w:space="0" w:color="auto"/>
      </w:divBdr>
    </w:div>
    <w:div w:id="1642272417">
      <w:bodyDiv w:val="1"/>
      <w:marLeft w:val="0"/>
      <w:marRight w:val="0"/>
      <w:marTop w:val="0"/>
      <w:marBottom w:val="0"/>
      <w:divBdr>
        <w:top w:val="none" w:sz="0" w:space="0" w:color="auto"/>
        <w:left w:val="none" w:sz="0" w:space="0" w:color="auto"/>
        <w:bottom w:val="none" w:sz="0" w:space="0" w:color="auto"/>
        <w:right w:val="none" w:sz="0" w:space="0" w:color="auto"/>
      </w:divBdr>
    </w:div>
    <w:div w:id="1912695661">
      <w:bodyDiv w:val="1"/>
      <w:marLeft w:val="0"/>
      <w:marRight w:val="0"/>
      <w:marTop w:val="0"/>
      <w:marBottom w:val="0"/>
      <w:divBdr>
        <w:top w:val="none" w:sz="0" w:space="0" w:color="auto"/>
        <w:left w:val="none" w:sz="0" w:space="0" w:color="auto"/>
        <w:bottom w:val="none" w:sz="0" w:space="0" w:color="auto"/>
        <w:right w:val="none" w:sz="0" w:space="0" w:color="auto"/>
      </w:divBdr>
    </w:div>
    <w:div w:id="2019429957">
      <w:bodyDiv w:val="1"/>
      <w:marLeft w:val="0"/>
      <w:marRight w:val="0"/>
      <w:marTop w:val="0"/>
      <w:marBottom w:val="0"/>
      <w:divBdr>
        <w:top w:val="none" w:sz="0" w:space="0" w:color="auto"/>
        <w:left w:val="none" w:sz="0" w:space="0" w:color="auto"/>
        <w:bottom w:val="none" w:sz="0" w:space="0" w:color="auto"/>
        <w:right w:val="none" w:sz="0" w:space="0" w:color="auto"/>
      </w:divBdr>
    </w:div>
    <w:div w:id="2096508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customXml" Target="ink/ink1.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1.png"/><Relationship Id="rId2" Type="http://schemas.openxmlformats.org/officeDocument/2006/relationships/customXml" Target="../customXml/item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s>
</file>

<file path=word/_rels/footnotes.xml.rels><?xml version="1.0" encoding="UTF-8" standalone="yes"?>
<Relationships xmlns="http://schemas.openxmlformats.org/package/2006/relationships"><Relationship Id="rId1" Type="http://schemas.openxmlformats.org/officeDocument/2006/relationships/hyperlink" Target="http://www.cry.org/resources/pdf/NCRRF/Aruna_&amp;_Pratibha_2007_Report.pdf"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25T07:46:03.608"/>
    </inkml:context>
    <inkml:brush xml:id="br0">
      <inkml:brushProperty name="width" value="0" units="cm"/>
      <inkml:brushProperty name="height" value="0" units="cm"/>
      <inkml:brushProperty name="color" value="#004F8B"/>
    </inkml:brush>
  </inkml:definitions>
  <inkml:trace contextRef="#ctx0" brushRef="#br0">103 33 20642,'-12'0'-120,"1"-4"1,1 0 0,1 1 0,3-1 0,-1 1 0,2 1 0,0 1-206,3 1 0,-3 0 87,1 0 0,-1-4 137,1 0 1,3 0 0,-3 4 0,3 0 35,1 0 0,-5 0 0,-1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Calendar_x0020_Year xmlns="f4263314-6371-423d-a041-1c001f52592d">N/A</Calendar_x0020_Year>
    <Language xmlns="http://schemas.microsoft.com/sharepoint/v3">English</Language>
    <Country xmlns="f4263314-6371-423d-a041-1c001f52592d">India</Country>
    <Document_x0020_Type xmlns="2fc7ecf8-d173-4c35-8847-288ce1238995">Memo</Document_x0020_Type>
    <Case_x0020_Name xmlns="2fc7ecf8-d173-4c35-8847-288ce1238995">N/A</Case_x0020_Name>
    <Grouping_x0020_Name xmlns="2fc7ecf8-d173-4c35-8847-288ce1238995">National Level Advocacy</Grouping_x0020_Name>
    <Name_x0020_of_x0020_Body xmlns="2fc7ecf8-d173-4c35-8847-288ce1238995">N/A</Name_x0020_of_x0020_Body>
    <Topic xmlns="2fc7ecf8-d173-4c35-8847-288ce1238995">Abortion</Topic>
    <Confidential_x002d_Do_x0020_not_x0020_cite xmlns="2fc7ecf8-d173-4c35-8847-288ce1238995">Confidential - Do not cite</Confidential_x002d_Do_x0020_not_x0020_cit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6AECE2712B843499A849D49183C829A" ma:contentTypeVersion="130" ma:contentTypeDescription="Create a new document." ma:contentTypeScope="" ma:versionID="ed90ed6bbe1e406adeafd26447ddd770">
  <xsd:schema xmlns:xsd="http://www.w3.org/2001/XMLSchema" xmlns:xs="http://www.w3.org/2001/XMLSchema" xmlns:p="http://schemas.microsoft.com/office/2006/metadata/properties" xmlns:ns1="http://schemas.microsoft.com/sharepoint/v3" xmlns:ns2="c9adc487-40e9-4b5e-979a-dd47ffa4f643" xmlns:ns3="2fc7ecf8-d173-4c35-8847-288ce1238995" xmlns:ns4="f4263314-6371-423d-a041-1c001f52592d" targetNamespace="http://schemas.microsoft.com/office/2006/metadata/properties" ma:root="true" ma:fieldsID="692b6e30805e27cc52ab1c9f9b0ced70" ns1:_="" ns2:_="" ns3:_="" ns4:_="">
    <xsd:import namespace="http://schemas.microsoft.com/sharepoint/v3"/>
    <xsd:import namespace="c9adc487-40e9-4b5e-979a-dd47ffa4f643"/>
    <xsd:import namespace="2fc7ecf8-d173-4c35-8847-288ce1238995"/>
    <xsd:import namespace="f4263314-6371-423d-a041-1c001f52592d"/>
    <xsd:element name="properties">
      <xsd:complexType>
        <xsd:sequence>
          <xsd:element name="documentManagement">
            <xsd:complexType>
              <xsd:all>
                <xsd:element ref="ns2:_dlc_DocId" minOccurs="0"/>
                <xsd:element ref="ns2:_dlc_DocIdUrl" minOccurs="0"/>
                <xsd:element ref="ns2:_dlc_DocIdPersistId" minOccurs="0"/>
                <xsd:element ref="ns3:Grouping_x0020_Name"/>
                <xsd:element ref="ns4:Calendar_x0020_Year"/>
                <xsd:element ref="ns4:Country"/>
                <xsd:element ref="ns3:Document_x0020_Type"/>
                <xsd:element ref="ns3:Topic"/>
                <xsd:element ref="ns1:Language"/>
                <xsd:element ref="ns3:Case_x0020_Name"/>
                <xsd:element ref="ns3:Name_x0020_of_x0020_Body"/>
                <xsd:element ref="ns3:Confidential_x002d_Do_x0020_not_x0020_cite"/>
                <xsd:element ref="ns3:MediaServiceMetadata" minOccurs="0"/>
                <xsd:element ref="ns3:MediaServiceFastMetadata"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2" ma:displayName="Language" ma:format="Dropdown" ma:indexed="true" ma:internalName="Language" ma:readOnly="false">
      <xsd:simpleType>
        <xsd:union memberTypes="dms:Text">
          <xsd:simpleType>
            <xsd:restriction base="dms:Choice">
              <xsd:enumeration value="Arabic"/>
              <xsd:enumeration value="English"/>
              <xsd:enumeration value="French"/>
              <xsd:enumeration value="Hindi"/>
              <xsd:enumeration value="Kiswahili"/>
              <xsd:enumeration value="Nepalese"/>
              <xsd:enumeration value="Polish"/>
              <xsd:enumeration value="Portuguese"/>
              <xsd:enumeration value="Romanian"/>
              <xsd:enumeration value="Russian"/>
              <xsd:enumeration value="Slovak"/>
              <xsd:enumeration value="Spanish"/>
              <xsd:enumeration value=".None"/>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c9adc487-40e9-4b5e-979a-dd47ffa4f643" elementFormDefault="qualified">
    <xsd:import namespace="http://schemas.microsoft.com/office/2006/documentManagement/types"/>
    <xsd:import namespace="http://schemas.microsoft.com/office/infopath/2007/PartnerControls"/>
    <xsd:element name="_dlc_DocId" ma:index="4" nillable="true" ma:displayName="Document ID Value" ma:description="The value of the document ID assigned to this item." ma:internalName="_dlc_DocId" ma:readOnly="true">
      <xsd:simpleType>
        <xsd:restriction base="dms:Text"/>
      </xsd:simpleType>
    </xsd:element>
    <xsd:element name="_dlc_DocIdUrl" ma:index="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6"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2fc7ecf8-d173-4c35-8847-288ce1238995" elementFormDefault="qualified">
    <xsd:import namespace="http://schemas.microsoft.com/office/2006/documentManagement/types"/>
    <xsd:import namespace="http://schemas.microsoft.com/office/infopath/2007/PartnerControls"/>
    <xsd:element name="Grouping_x0020_Name" ma:index="7" ma:displayName="Grouping Name" ma:format="Dropdown" ma:indexed="true" ma:internalName="Grouping_x0020_Name" ma:readOnly="false">
      <xsd:simpleType>
        <xsd:union memberTypes="dms:Text">
          <xsd:simpleType>
            <xsd:restriction base="dms:Choice">
              <xsd:enumeration value="Admin"/>
              <xsd:enumeration value="Asian Political Bodies"/>
              <xsd:enumeration value="National Level Litigation"/>
              <xsd:enumeration value="National Level Advocacy"/>
              <xsd:enumeration value="Publications"/>
              <xsd:enumeration value="Center Events and Convenings"/>
              <xsd:enumeration value=".None"/>
            </xsd:restriction>
          </xsd:simpleType>
        </xsd:union>
      </xsd:simpleType>
    </xsd:element>
    <xsd:element name="Document_x0020_Type" ma:index="10" ma:displayName="Document Type" ma:format="Dropdown" ma:indexed="true" ma:internalName="Document_x0020_Type" ma:readOnly="false">
      <xsd:simpleType>
        <xsd:union memberTypes="dms:Text">
          <xsd:simpleType>
            <xsd:restriction base="dms:Choice">
              <xsd:enumeration value="Amicus"/>
              <xsd:enumeration value="Application"/>
              <xsd:enumeration value="Background Document"/>
              <xsd:enumeration value="Briefing Paper"/>
              <xsd:enumeration value="Comment on Draft Law"/>
              <xsd:enumeration value="Concept Note"/>
              <xsd:enumeration value="Constitution_Draft"/>
              <xsd:enumeration value="Correspondence"/>
              <xsd:enumeration value="Decision"/>
              <xsd:enumeration value="Event Logistics Document"/>
              <xsd:enumeration value="Event Report"/>
              <xsd:enumeration value="Fact Finding Questionaire"/>
              <xsd:enumeration value="Fact Finding Report"/>
              <xsd:enumeration value="Fact Sheet"/>
              <xsd:enumeration value="Flier-Invitation"/>
              <xsd:enumeration value="Jurisprudence"/>
              <xsd:enumeration value="Legislation"/>
              <xsd:enumeration value="Memo"/>
              <xsd:enumeration value="Notes-Minutes"/>
              <xsd:enumeration value="Order"/>
              <xsd:enumeration value="Petition"/>
              <xsd:enumeration value="Photo/Video"/>
              <xsd:enumeration value="Protocol-Guidance"/>
              <xsd:enumeration value="Recording"/>
              <xsd:enumeration value="Regulation"/>
              <xsd:enumeration value="Shadow Letter_Regional"/>
              <xsd:enumeration value="Sign-on Policy"/>
              <xsd:enumeration value="Strategy Document"/>
              <xsd:enumeration value="Submission_Regional"/>
              <xsd:enumeration value="Talking Points"/>
              <xsd:enumeration value="Toolkit"/>
              <xsd:enumeration value="Training Resource"/>
              <xsd:enumeration value="Views"/>
              <xsd:enumeration value="Web Content"/>
              <xsd:enumeration value=".None"/>
            </xsd:restriction>
          </xsd:simpleType>
        </xsd:union>
      </xsd:simpleType>
    </xsd:element>
    <xsd:element name="Topic" ma:index="11" ma:displayName="Topic" ma:format="Dropdown" ma:indexed="true" ma:internalName="Topic" ma:readOnly="false">
      <xsd:simpleType>
        <xsd:union memberTypes="dms:Text">
          <xsd:simpleType>
            <xsd:restriction base="dms:Choice">
              <xsd:enumeration value="Abortion"/>
              <xsd:enumeration value="Access to Justice"/>
              <xsd:enumeration value="Admin"/>
              <xsd:enumeration value="Adolescents"/>
              <xsd:enumeration value="Advocacy Strategies"/>
              <xsd:enumeration value="Child Marriage"/>
              <xsd:enumeration value="Concientious Objection"/>
              <xsd:enumeration value="Consent"/>
              <xsd:enumeration value="Constitutional Reform"/>
              <xsd:enumeration value="Contraception"/>
              <xsd:enumeration value="Criminalization"/>
              <xsd:enumeration value="Detention"/>
              <xsd:enumeration value="Disability"/>
              <xsd:enumeration value="Discrimination"/>
              <xsd:enumeration value="Emergency Contraception"/>
              <xsd:enumeration value="Fetal Rights"/>
              <xsd:enumeration value="Gender-based Violence"/>
              <xsd:enumeration value="Harmful Practices"/>
              <xsd:enumeration value="HIV-AIDS and STIs"/>
              <xsd:enumeration value="IVF"/>
              <xsd:enumeration value="Litigation"/>
              <xsd:enumeration value="Maternal and Child Health"/>
              <xsd:enumeration value="Post-Abortion Care"/>
              <xsd:enumeration value="Pregnancy Testing"/>
              <xsd:enumeration value="Reproductive Health"/>
              <xsd:enumeration value="Retreat"/>
              <xsd:enumeration value="Right to Information"/>
              <xsd:enumeration value="Right to Life"/>
              <xsd:enumeration value="Safe Pregnancy"/>
              <xsd:enumeration value="SARJAI"/>
              <xsd:enumeration value="Sex-Selective Abortion"/>
              <xsd:enumeration value="Sexuality Education"/>
              <xsd:enumeration value="Strategic Planning"/>
              <xsd:enumeration value="Sterilization"/>
              <xsd:enumeration value="TCIDT"/>
              <xsd:enumeration value="N/A"/>
            </xsd:restriction>
          </xsd:simpleType>
        </xsd:union>
      </xsd:simpleType>
    </xsd:element>
    <xsd:element name="Case_x0020_Name" ma:index="13" ma:displayName="Case Name" ma:format="Dropdown" ma:indexed="true" ma:internalName="Case_x0020_Name" ma:readOnly="false">
      <xsd:simpleType>
        <xsd:union memberTypes="dms:Text">
          <xsd:simpleType>
            <xsd:restriction base="dms:Choice">
              <xsd:enumeration value="Lakshmi Dhikta v Nepal"/>
              <xsd:enumeration value="Lourdes Osil v Mayor of Manila"/>
              <xsd:enumeration value="CHARM v Bihar"/>
              <xsd:enumeration value="Datar v Union of India"/>
              <xsd:enumeration value="Sandesh Bansal v Union of India"/>
              <xsd:enumeration value="Salenta v Uttar Pradesh"/>
              <xsd:enumeration value="Chhattisgarh High Court abortion case"/>
              <xsd:enumeration value="Nepal Supreme Court contraception case"/>
              <xsd:enumeration value="Pakistan High Court Maternal Mortality case"/>
              <xsd:enumeration value="Haryana High Court contraception case"/>
              <xsd:enumeration value="RH law challenge"/>
              <xsd:enumeration value="Mahto child marriage case - Jharkhand"/>
              <xsd:enumeration value="Maharashtra MA case"/>
              <xsd:enumeration value="Mrs. X and Mrs. Y v India"/>
              <xsd:enumeration value="N/A"/>
            </xsd:restriction>
          </xsd:simpleType>
        </xsd:union>
      </xsd:simpleType>
    </xsd:element>
    <xsd:element name="Name_x0020_of_x0020_Body" ma:index="14" ma:displayName="Name of Body" ma:format="Dropdown" ma:indexed="true" ma:internalName="Name_x0020_of_x0020_Body" ma:readOnly="false">
      <xsd:simpleType>
        <xsd:union memberTypes="dms:Text">
          <xsd:simpleType>
            <xsd:restriction base="dms:Choice">
              <xsd:enumeration value="ACWC"/>
              <xsd:enumeration value="APF"/>
              <xsd:enumeration value="Appellate Court Court of Appeals"/>
              <xsd:enumeration value="ASEAN"/>
              <xsd:enumeration value="High Court"/>
              <xsd:enumeration value="Regional Trial Court"/>
              <xsd:enumeration value="SAARC"/>
              <xsd:enumeration value="SAIEVAC"/>
              <xsd:enumeration value="Supreme Court"/>
              <xsd:enumeration value="N/A"/>
            </xsd:restriction>
          </xsd:simpleType>
        </xsd:union>
      </xsd:simpleType>
    </xsd:element>
    <xsd:element name="Confidential_x002d_Do_x0020_not_x0020_cite" ma:index="15" ma:displayName="Confidential-Do not cite" ma:format="Dropdown" ma:indexed="true" ma:internalName="Confidential_x002d_Do_x0020_not_x0020_cite" ma:readOnly="false">
      <xsd:simpleType>
        <xsd:union memberTypes="dms:Text">
          <xsd:simpleType>
            <xsd:restriction base="dms:Choice">
              <xsd:enumeration value="Confidential - Do not cite"/>
              <xsd:enumeration value="N/A"/>
            </xsd:restriction>
          </xsd:simpleType>
        </xsd:union>
      </xsd:simpleType>
    </xsd:element>
    <xsd:element name="MediaServiceMetadata" ma:index="20" nillable="true" ma:displayName="MediaServiceMetadata" ma:description="" ma:hidden="true" ma:internalName="MediaServiceMetadata" ma:readOnly="true">
      <xsd:simpleType>
        <xsd:restriction base="dms:Note"/>
      </xsd:simpleType>
    </xsd:element>
    <xsd:element name="MediaServiceFastMetadata" ma:index="21"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4263314-6371-423d-a041-1c001f52592d" elementFormDefault="qualified">
    <xsd:import namespace="http://schemas.microsoft.com/office/2006/documentManagement/types"/>
    <xsd:import namespace="http://schemas.microsoft.com/office/infopath/2007/PartnerControls"/>
    <xsd:element name="Calendar_x0020_Year" ma:index="8" ma:displayName="Calendar Year" ma:format="Dropdown" ma:indexed="true" ma:internalName="Calendar_x0020_Year" ma:readOnly="false">
      <xsd:simpleType>
        <xsd:union memberTypes="dms:Text">
          <xsd:simpleType>
            <xsd:restriction base="dms:Choice">
              <xsd:enumeration value="2008"/>
              <xsd:enumeration value="2009"/>
              <xsd:enumeration value="2010"/>
              <xsd:enumeration value="2011"/>
              <xsd:enumeration value="2012"/>
              <xsd:enumeration value="2013"/>
              <xsd:enumeration value="2014"/>
              <xsd:enumeration value="2015"/>
              <xsd:enumeration value="2016"/>
              <xsd:enumeration value="2017"/>
              <xsd:enumeration value="N/A"/>
            </xsd:restriction>
          </xsd:simpleType>
        </xsd:union>
      </xsd:simpleType>
    </xsd:element>
    <xsd:element name="Country" ma:index="9" ma:displayName="Country" ma:format="Dropdown" ma:indexed="true" ma:internalName="Country" ma:readOnly="false">
      <xsd:simpleType>
        <xsd:union memberTypes="dms:Text">
          <xsd:simpleType>
            <xsd:restriction base="dms:Choice">
              <xsd:enumeration value="Afghanistan"/>
              <xsd:enumeration value="Albania"/>
              <xsd:enumeration value="Algeria"/>
              <xsd:enumeration value="Andorra"/>
              <xsd:enumeration value="Angola"/>
              <xsd:enumeration value="Antigua and Barbuda"/>
              <xsd:enumeration value="Argentina"/>
              <xsd:enumeration value="Armenia"/>
              <xsd:enumeration value="Australia"/>
              <xsd:enumeration value="Austria"/>
              <xsd:enumeration value="Azerbaijan"/>
              <xsd:enumeration value="Bahamas"/>
              <xsd:enumeration value="Bahrain"/>
              <xsd:enumeration value="Bangladesh"/>
              <xsd:enumeration value="Barbados"/>
              <xsd:enumeration value="Belarus"/>
              <xsd:enumeration value="Belgium"/>
              <xsd:enumeration value="Belize"/>
              <xsd:enumeration value="Benin"/>
              <xsd:enumeration value="Bhutan"/>
              <xsd:enumeration value="Bolivia"/>
              <xsd:enumeration value="Bosnia-Herzegovina"/>
              <xsd:enumeration value="Botswana"/>
              <xsd:enumeration value="Brazil"/>
              <xsd:enumeration value="Brunei Darussalam"/>
              <xsd:enumeration value="Bulgaria"/>
              <xsd:enumeration value="Burkina Faso"/>
              <xsd:enumeration value="Burundi"/>
              <xsd:enumeration value="Cambodia"/>
              <xsd:enumeration value="Cameroon"/>
              <xsd:enumeration value="Canada"/>
              <xsd:enumeration value="Cape Verde"/>
              <xsd:enumeration value="Central African Republic"/>
              <xsd:enumeration value="Chad"/>
              <xsd:enumeration value="Chile"/>
              <xsd:enumeration value="China"/>
              <xsd:enumeration value="Colombia"/>
              <xsd:enumeration value="Comoros"/>
              <xsd:enumeration value="Congo- Brazzaville"/>
              <xsd:enumeration value="Costa Rica"/>
              <xsd:enumeration value="Cote d’Ivoire"/>
              <xsd:enumeration value="Croatia"/>
              <xsd:enumeration value="Cuba"/>
              <xsd:enumeration value="Cyprus"/>
              <xsd:enumeration value="Czech Rep"/>
              <xsd:enumeration value="Dem People's Rep of Korea"/>
              <xsd:enumeration value="Dem Rep of Congo"/>
              <xsd:enumeration value="Denmark"/>
              <xsd:enumeration value="Djibouti"/>
              <xsd:enumeration value="Dominica"/>
              <xsd:enumeration value="Dominican Republic"/>
              <xsd:enumeration value="Ecuador"/>
              <xsd:enumeration value="Egypt"/>
              <xsd:enumeration value="El Salvador"/>
              <xsd:enumeration value="Equatorial Guinea"/>
              <xsd:enumeration value="Eritrea"/>
              <xsd:enumeration value="Estonia"/>
              <xsd:enumeration value="Ethiopia"/>
              <xsd:enumeration value="Fiji"/>
              <xsd:enumeration value="Finland"/>
              <xsd:enumeration value="France"/>
              <xsd:enumeration value="Gabon"/>
              <xsd:enumeration value="Gambia"/>
              <xsd:enumeration value="Georgia"/>
              <xsd:enumeration value="Germany"/>
              <xsd:enumeration value="Ghana"/>
              <xsd:enumeration value="Great Britain"/>
              <xsd:enumeration value="Greece"/>
              <xsd:enumeration value="Grenada"/>
              <xsd:enumeration value="Guatemala"/>
              <xsd:enumeration value="Guinea"/>
              <xsd:enumeration value="Guinea-Bissau"/>
              <xsd:enumeration value="Guyana"/>
              <xsd:enumeration value="Haiti"/>
              <xsd:enumeration value="Honduras"/>
              <xsd:enumeration value="Hong Kong"/>
              <xsd:enumeration value="Hungary"/>
              <xsd:enumeration value="Iceland"/>
              <xsd:enumeration value="Indonesia"/>
              <xsd:enumeration value="India"/>
              <xsd:enumeration value="Iran"/>
              <xsd:enumeration value="Iraq"/>
              <xsd:enumeration value="Ireland"/>
              <xsd:enumeration value="Israel"/>
              <xsd:enumeration value="Italy"/>
              <xsd:enumeration value="Jamaica"/>
              <xsd:enumeration value="Japan"/>
              <xsd:enumeration value="Jordan"/>
              <xsd:enumeration value="Kazakhstan"/>
              <xsd:enumeration value="Kenya"/>
              <xsd:enumeration value="Kiribati"/>
              <xsd:enumeration value="Kosovo"/>
              <xsd:enumeration value="Kuwait"/>
              <xsd:enumeration value="Kyrgyzstan"/>
              <xsd:enumeration value="Laos"/>
              <xsd:enumeration value="Latvia"/>
              <xsd:enumeration value="Lebanon"/>
              <xsd:enumeration value="Lesotho"/>
              <xsd:enumeration value="Liberia"/>
              <xsd:enumeration value="Libya"/>
              <xsd:enumeration value="Liechtenstein"/>
              <xsd:enumeration value="Lithuania"/>
              <xsd:enumeration value="Luxembourg"/>
              <xsd:enumeration value="Macedonia"/>
              <xsd:enumeration value="Madagascar"/>
              <xsd:enumeration value="Malawi"/>
              <xsd:enumeration value="Malaysia"/>
              <xsd:enumeration value="Maldives"/>
              <xsd:enumeration value="Mali"/>
              <xsd:enumeration value="Malta"/>
              <xsd:enumeration value="Marshall Islands"/>
              <xsd:enumeration value="Mauritania"/>
              <xsd:enumeration value="Mauritius"/>
              <xsd:enumeration value="Mexico"/>
              <xsd:enumeration value="Micronesia"/>
              <xsd:enumeration value="Moldova"/>
              <xsd:enumeration value="Monaco"/>
              <xsd:enumeration value="Mongolia"/>
              <xsd:enumeration value="Montenegro"/>
              <xsd:enumeration value="Morocco"/>
              <xsd:enumeration value="Mozambique"/>
              <xsd:enumeration value="Myanmar"/>
              <xsd:enumeration value="Namibia"/>
              <xsd:enumeration value="Nauru"/>
              <xsd:enumeration value="Nepal"/>
              <xsd:enumeration value="Netherlands"/>
              <xsd:enumeration value="New Zealand"/>
              <xsd:enumeration value="Nicaragua"/>
              <xsd:enumeration value="Niger"/>
              <xsd:enumeration value="Nigeria"/>
              <xsd:enumeration value="Northern Ireland"/>
              <xsd:enumeration value="Norway"/>
              <xsd:enumeration value="Oman"/>
              <xsd:enumeration value="Pakistan"/>
              <xsd:enumeration value="Palau"/>
              <xsd:enumeration value="Panama"/>
              <xsd:enumeration value="Papua New Guinea"/>
              <xsd:enumeration value="Paraguay"/>
              <xsd:enumeration value="Peru"/>
              <xsd:enumeration value="Philippines"/>
              <xsd:enumeration value="Poland"/>
              <xsd:enumeration value="Portugal"/>
              <xsd:enumeration value="Puerto Rico"/>
              <xsd:enumeration value="Qatar"/>
              <xsd:enumeration value="Rep of Korea"/>
              <xsd:enumeration value="Romania"/>
              <xsd:enumeration value="Russian Fed"/>
              <xsd:enumeration value="Rwanda"/>
              <xsd:enumeration value="Saint Kitts &amp; Nevins"/>
              <xsd:enumeration value="Saint Lucia"/>
              <xsd:enumeration value="Saint Vincent and Grenadines"/>
              <xsd:enumeration value="Samoa"/>
              <xsd:enumeration value="San Marino"/>
              <xsd:enumeration value="Sao Tome and Principe"/>
              <xsd:enumeration value="Saudi Arabia"/>
              <xsd:enumeration value="Senegal"/>
              <xsd:enumeration value="Seychelles"/>
              <xsd:enumeration value="Serbia"/>
              <xsd:enumeration value="Sierra Leone"/>
              <xsd:enumeration value="Singapore"/>
              <xsd:enumeration value="Slovak Rep"/>
              <xsd:enumeration value="Slovenia"/>
              <xsd:enumeration value="Solomon Islands"/>
              <xsd:enumeration value="Somalia"/>
              <xsd:enumeration value="South Africa"/>
              <xsd:enumeration value="South Sudan"/>
              <xsd:enumeration value="Spain"/>
              <xsd:enumeration value="Sri Lanka"/>
              <xsd:enumeration value="Sudan"/>
              <xsd:enumeration value="Suriname"/>
              <xsd:enumeration value="Swaziland"/>
              <xsd:enumeration value="Sweden"/>
              <xsd:enumeration value="Switzerland"/>
              <xsd:enumeration value="Syria"/>
              <xsd:enumeration value="Taiwan"/>
              <xsd:enumeration value="Tajikistan"/>
              <xsd:enumeration value="Tanzania"/>
              <xsd:enumeration value="Thailand"/>
              <xsd:enumeration value="Timor-Leste"/>
              <xsd:enumeration value="Togo"/>
              <xsd:enumeration value="Tonga"/>
              <xsd:enumeration value="Trinidad and Tobago"/>
              <xsd:enumeration value="Tunisia"/>
              <xsd:enumeration value="Turkey"/>
              <xsd:enumeration value="Turkmenistan"/>
              <xsd:enumeration value="Tuvalu"/>
              <xsd:enumeration value="Uganda"/>
              <xsd:enumeration value="Ukraine"/>
              <xsd:enumeration value="United Arab Emirates"/>
              <xsd:enumeration value="United States"/>
              <xsd:enumeration value="Uruguay"/>
              <xsd:enumeration value="Uzbekistan"/>
              <xsd:enumeration value="Vanuatu"/>
              <xsd:enumeration value="Venezuela"/>
              <xsd:enumeration value="Vietnam"/>
              <xsd:enumeration value="West Bank and Gaza Strip"/>
              <xsd:enumeration value="Yemen"/>
              <xsd:enumeration value="Zambia"/>
              <xsd:enumeration value="Zimbabwe"/>
              <xsd:enumeration value="Africa General"/>
              <xsd:enumeration value="Asia General"/>
              <xsd:enumeration value="Europe General"/>
              <xsd:enumeration value="Global Advocacy"/>
              <xsd:enumeration value="LAC General"/>
              <xsd:enumeration value="Global/All Regions"/>
              <xsd:enumeration value="UN"/>
              <xsd:enumeration value=".None"/>
            </xsd:restriction>
          </xsd:simpleType>
        </xsd:union>
      </xsd:simpleType>
    </xsd:element>
    <xsd:element name="SharedWithUsers" ma:index="2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8"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customXsn xmlns="http://schemas.microsoft.com/office/2006/metadata/customXsn">
  <xsnLocation/>
  <cached>True</cached>
  <openByDefault>True</openByDefault>
  <xsnScope/>
</customXsn>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EAD00-9DBB-4C7E-B88F-D83C0263EBB2}">
  <ds:schemaRefs>
    <ds:schemaRef ds:uri="http://schemas.microsoft.com/office/2006/metadata/properties"/>
    <ds:schemaRef ds:uri="http://schemas.microsoft.com/office/infopath/2007/PartnerControls"/>
    <ds:schemaRef ds:uri="f4263314-6371-423d-a041-1c001f52592d"/>
    <ds:schemaRef ds:uri="http://schemas.microsoft.com/sharepoint/v3"/>
    <ds:schemaRef ds:uri="2fc7ecf8-d173-4c35-8847-288ce1238995"/>
  </ds:schemaRefs>
</ds:datastoreItem>
</file>

<file path=customXml/itemProps2.xml><?xml version="1.0" encoding="utf-8"?>
<ds:datastoreItem xmlns:ds="http://schemas.openxmlformats.org/officeDocument/2006/customXml" ds:itemID="{A35E33D6-57B8-4FA6-99E3-03FED02920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9adc487-40e9-4b5e-979a-dd47ffa4f643"/>
    <ds:schemaRef ds:uri="2fc7ecf8-d173-4c35-8847-288ce1238995"/>
    <ds:schemaRef ds:uri="f4263314-6371-423d-a041-1c001f5259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D22521-EC58-46F6-885C-E064A5ABE631}">
  <ds:schemaRefs>
    <ds:schemaRef ds:uri="http://schemas.microsoft.com/office/2006/metadata/customXsn"/>
  </ds:schemaRefs>
</ds:datastoreItem>
</file>

<file path=customXml/itemProps4.xml><?xml version="1.0" encoding="utf-8"?>
<ds:datastoreItem xmlns:ds="http://schemas.openxmlformats.org/officeDocument/2006/customXml" ds:itemID="{EA6AB15A-8304-473B-A1F3-0B5141D14FF6}">
  <ds:schemaRefs>
    <ds:schemaRef ds:uri="http://schemas.microsoft.com/sharepoint/events"/>
  </ds:schemaRefs>
</ds:datastoreItem>
</file>

<file path=customXml/itemProps5.xml><?xml version="1.0" encoding="utf-8"?>
<ds:datastoreItem xmlns:ds="http://schemas.openxmlformats.org/officeDocument/2006/customXml" ds:itemID="{C5F5719B-2796-49D7-8B4E-83234591B5FF}">
  <ds:schemaRefs>
    <ds:schemaRef ds:uri="http://schemas.microsoft.com/sharepoint/v3/contenttype/forms"/>
  </ds:schemaRefs>
</ds:datastoreItem>
</file>

<file path=customXml/itemProps6.xml><?xml version="1.0" encoding="utf-8"?>
<ds:datastoreItem xmlns:ds="http://schemas.openxmlformats.org/officeDocument/2006/customXml" ds:itemID="{25124159-6441-43BB-B7DB-768476D75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5437</Words>
  <Characters>30991</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Tronic</dc:creator>
  <cp:keywords/>
  <dc:description/>
  <cp:lastModifiedBy>Reviewer 1</cp:lastModifiedBy>
  <cp:revision>2</cp:revision>
  <cp:lastPrinted>2016-02-14T09:59:00Z</cp:lastPrinted>
  <dcterms:created xsi:type="dcterms:W3CDTF">2019-02-19T01:25:00Z</dcterms:created>
  <dcterms:modified xsi:type="dcterms:W3CDTF">2019-02-19T01:25:00Z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0x01010056AECE2712B843499A849D49183C829A</vt:lpwstr>
  </property>
</Properties>
</file>