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4ADA7" w14:textId="77777777" w:rsidR="004C1CA0" w:rsidRPr="00ED331B" w:rsidRDefault="003E7C3F">
      <w:pPr>
        <w:rPr>
          <w:rFonts w:ascii="Times New Roman" w:hAnsi="Times New Roman" w:cs="Times New Roman"/>
          <w:sz w:val="22"/>
          <w:szCs w:val="22"/>
        </w:rPr>
      </w:pPr>
      <w:bookmarkStart w:id="0" w:name="_GoBack"/>
      <w:bookmarkEnd w:id="0"/>
      <w:r w:rsidRPr="00ED331B">
        <w:rPr>
          <w:rFonts w:ascii="Times New Roman" w:hAnsi="Times New Roman" w:cs="Times New Roman"/>
          <w:sz w:val="22"/>
          <w:szCs w:val="22"/>
        </w:rPr>
        <w:t>Dear Editor,</w:t>
      </w:r>
    </w:p>
    <w:p w14:paraId="4516BE14" w14:textId="77777777" w:rsidR="003E7C3F" w:rsidRPr="00ED331B" w:rsidRDefault="003E7C3F">
      <w:pPr>
        <w:rPr>
          <w:rFonts w:ascii="Times New Roman" w:hAnsi="Times New Roman" w:cs="Times New Roman"/>
          <w:sz w:val="22"/>
          <w:szCs w:val="22"/>
        </w:rPr>
      </w:pPr>
      <w:r w:rsidRPr="00ED331B">
        <w:rPr>
          <w:rFonts w:ascii="Times New Roman" w:hAnsi="Times New Roman" w:cs="Times New Roman"/>
          <w:sz w:val="22"/>
          <w:szCs w:val="22"/>
        </w:rPr>
        <w:t>Indian Journal of Medical Ethics</w:t>
      </w:r>
    </w:p>
    <w:p w14:paraId="1486DA03" w14:textId="77777777" w:rsidR="003E7C3F" w:rsidRPr="00ED331B" w:rsidRDefault="003E7C3F">
      <w:pPr>
        <w:rPr>
          <w:rFonts w:ascii="Times New Roman" w:hAnsi="Times New Roman" w:cs="Times New Roman"/>
          <w:sz w:val="22"/>
          <w:szCs w:val="22"/>
        </w:rPr>
      </w:pPr>
    </w:p>
    <w:p w14:paraId="14666947" w14:textId="77777777" w:rsidR="003E7C3F" w:rsidRPr="00ED331B" w:rsidRDefault="003E7C3F">
      <w:pPr>
        <w:rPr>
          <w:rFonts w:ascii="Times New Roman" w:hAnsi="Times New Roman" w:cs="Times New Roman"/>
          <w:sz w:val="22"/>
          <w:szCs w:val="22"/>
        </w:rPr>
      </w:pPr>
    </w:p>
    <w:p w14:paraId="37E18782" w14:textId="77777777" w:rsidR="003E7C3F" w:rsidRPr="00ED331B" w:rsidRDefault="003E7C3F">
      <w:pPr>
        <w:rPr>
          <w:rFonts w:ascii="Times New Roman" w:hAnsi="Times New Roman" w:cs="Times New Roman"/>
          <w:sz w:val="22"/>
          <w:szCs w:val="22"/>
        </w:rPr>
      </w:pPr>
      <w:r w:rsidRPr="00ED331B">
        <w:rPr>
          <w:rFonts w:ascii="Times New Roman" w:hAnsi="Times New Roman" w:cs="Times New Roman"/>
          <w:sz w:val="22"/>
          <w:szCs w:val="22"/>
        </w:rPr>
        <w:t>Subject: Submission of a revised manuscript</w:t>
      </w:r>
    </w:p>
    <w:p w14:paraId="62186156" w14:textId="77777777" w:rsidR="003E7C3F" w:rsidRPr="00ED331B" w:rsidRDefault="003E7C3F">
      <w:pPr>
        <w:rPr>
          <w:rFonts w:ascii="Times New Roman" w:hAnsi="Times New Roman" w:cs="Times New Roman"/>
          <w:sz w:val="22"/>
          <w:szCs w:val="22"/>
        </w:rPr>
      </w:pPr>
    </w:p>
    <w:p w14:paraId="5C5B1BA6" w14:textId="77777777" w:rsidR="003E7C3F" w:rsidRPr="00ED331B" w:rsidRDefault="003E7C3F">
      <w:pPr>
        <w:rPr>
          <w:rFonts w:ascii="Times New Roman" w:hAnsi="Times New Roman" w:cs="Times New Roman"/>
          <w:sz w:val="22"/>
          <w:szCs w:val="22"/>
        </w:rPr>
      </w:pPr>
    </w:p>
    <w:p w14:paraId="2E408F5D" w14:textId="7D5042E1" w:rsidR="003E7C3F" w:rsidRPr="00ED331B" w:rsidRDefault="003E7C3F" w:rsidP="003E7C3F">
      <w:pPr>
        <w:rPr>
          <w:rFonts w:ascii="Times New Roman" w:hAnsi="Times New Roman" w:cs="Times New Roman"/>
          <w:sz w:val="22"/>
          <w:szCs w:val="22"/>
        </w:rPr>
      </w:pPr>
      <w:r w:rsidRPr="00ED331B">
        <w:rPr>
          <w:rFonts w:ascii="Times New Roman" w:hAnsi="Times New Roman" w:cs="Times New Roman"/>
          <w:sz w:val="22"/>
          <w:szCs w:val="22"/>
        </w:rPr>
        <w:t xml:space="preserve">We thank you and the peer reviewers for their comments on our manuscript titled “Affirmative action for minorities in India: scoping the impact and charting future research and practice agenda” We have now revised the manuscript and are hereby submitting the revised manuscript for your consideration. We have appended a table providing point-by-point response to peer-reviewers’ comments. </w:t>
      </w:r>
      <w:r w:rsidR="00E01E95">
        <w:rPr>
          <w:rFonts w:ascii="Times New Roman" w:hAnsi="Times New Roman" w:cs="Times New Roman"/>
          <w:sz w:val="22"/>
          <w:szCs w:val="22"/>
        </w:rPr>
        <w:t xml:space="preserve">We have also made other minor corrections in the manuscript (highlighted in track-changes) for factual corrections in funding statement, acknowledgement and authors’ affiliations. </w:t>
      </w:r>
      <w:r w:rsidRPr="00ED331B">
        <w:rPr>
          <w:rFonts w:ascii="Times New Roman" w:hAnsi="Times New Roman" w:cs="Times New Roman"/>
          <w:sz w:val="22"/>
          <w:szCs w:val="22"/>
        </w:rPr>
        <w:t xml:space="preserve">Please do not hesitate to contact me in case of any queries. </w:t>
      </w:r>
    </w:p>
    <w:p w14:paraId="7DC8B760" w14:textId="77777777" w:rsidR="003E7C3F" w:rsidRPr="00ED331B" w:rsidRDefault="003E7C3F" w:rsidP="003E7C3F">
      <w:pPr>
        <w:rPr>
          <w:rFonts w:ascii="Times New Roman" w:hAnsi="Times New Roman" w:cs="Times New Roman"/>
          <w:sz w:val="22"/>
          <w:szCs w:val="22"/>
        </w:rPr>
      </w:pPr>
    </w:p>
    <w:p w14:paraId="182FE0DA" w14:textId="77777777" w:rsidR="003E7C3F" w:rsidRPr="00ED331B" w:rsidRDefault="003E7C3F" w:rsidP="003E7C3F">
      <w:pPr>
        <w:rPr>
          <w:rFonts w:ascii="Times New Roman" w:hAnsi="Times New Roman" w:cs="Times New Roman"/>
          <w:sz w:val="22"/>
          <w:szCs w:val="22"/>
        </w:rPr>
      </w:pPr>
      <w:r w:rsidRPr="00ED331B">
        <w:rPr>
          <w:rFonts w:ascii="Times New Roman" w:hAnsi="Times New Roman" w:cs="Times New Roman"/>
          <w:sz w:val="22"/>
          <w:szCs w:val="22"/>
        </w:rPr>
        <w:t>Yours sincerely,</w:t>
      </w:r>
    </w:p>
    <w:p w14:paraId="7FD1D226" w14:textId="77777777" w:rsidR="003E7C3F" w:rsidRPr="00ED331B" w:rsidRDefault="003E7C3F" w:rsidP="003E7C3F">
      <w:pPr>
        <w:rPr>
          <w:rFonts w:ascii="Times New Roman" w:hAnsi="Times New Roman" w:cs="Times New Roman"/>
          <w:sz w:val="22"/>
          <w:szCs w:val="22"/>
        </w:rPr>
      </w:pPr>
    </w:p>
    <w:p w14:paraId="2F77FC88" w14:textId="77777777" w:rsidR="003E7C3F" w:rsidRPr="00ED331B" w:rsidRDefault="003E7C3F" w:rsidP="003E7C3F">
      <w:pPr>
        <w:rPr>
          <w:rFonts w:ascii="Times New Roman" w:hAnsi="Times New Roman" w:cs="Times New Roman"/>
          <w:sz w:val="22"/>
          <w:szCs w:val="22"/>
        </w:rPr>
      </w:pPr>
      <w:r w:rsidRPr="00ED331B">
        <w:rPr>
          <w:rFonts w:ascii="Times New Roman" w:hAnsi="Times New Roman" w:cs="Times New Roman"/>
          <w:sz w:val="22"/>
          <w:szCs w:val="22"/>
        </w:rPr>
        <w:t>Dr. Upendra Bhojani</w:t>
      </w:r>
    </w:p>
    <w:p w14:paraId="291FC9A5" w14:textId="77777777" w:rsidR="003E7C3F" w:rsidRPr="00ED331B" w:rsidRDefault="003E7C3F" w:rsidP="003E7C3F">
      <w:pPr>
        <w:rPr>
          <w:rFonts w:ascii="Times New Roman" w:hAnsi="Times New Roman" w:cs="Times New Roman"/>
          <w:sz w:val="22"/>
          <w:szCs w:val="22"/>
        </w:rPr>
      </w:pPr>
      <w:r w:rsidRPr="00ED331B">
        <w:rPr>
          <w:rFonts w:ascii="Times New Roman" w:hAnsi="Times New Roman" w:cs="Times New Roman"/>
          <w:sz w:val="22"/>
          <w:szCs w:val="22"/>
        </w:rPr>
        <w:t>(On behalf of all the co-authors)</w:t>
      </w:r>
    </w:p>
    <w:p w14:paraId="4387896C" w14:textId="77777777" w:rsidR="003E7C3F" w:rsidRPr="00ED331B" w:rsidRDefault="003E7C3F" w:rsidP="003E7C3F">
      <w:pPr>
        <w:rPr>
          <w:rFonts w:ascii="Times New Roman" w:hAnsi="Times New Roman" w:cs="Times New Roman"/>
          <w:sz w:val="22"/>
          <w:szCs w:val="22"/>
        </w:rPr>
      </w:pPr>
      <w:r w:rsidRPr="00ED331B">
        <w:rPr>
          <w:rFonts w:ascii="Times New Roman" w:hAnsi="Times New Roman" w:cs="Times New Roman"/>
          <w:sz w:val="22"/>
          <w:szCs w:val="22"/>
        </w:rPr>
        <w:t>Institute of Public Health,</w:t>
      </w:r>
    </w:p>
    <w:p w14:paraId="41AFBCD7" w14:textId="77777777" w:rsidR="003E7C3F" w:rsidRPr="00ED331B" w:rsidRDefault="003E7C3F" w:rsidP="003E7C3F">
      <w:pPr>
        <w:rPr>
          <w:rFonts w:ascii="Times New Roman" w:hAnsi="Times New Roman" w:cs="Times New Roman"/>
          <w:sz w:val="22"/>
          <w:szCs w:val="22"/>
        </w:rPr>
      </w:pPr>
      <w:r w:rsidRPr="00ED331B">
        <w:rPr>
          <w:rFonts w:ascii="Times New Roman" w:hAnsi="Times New Roman" w:cs="Times New Roman"/>
          <w:sz w:val="22"/>
          <w:szCs w:val="22"/>
        </w:rPr>
        <w:t>Bengaluru</w:t>
      </w:r>
    </w:p>
    <w:p w14:paraId="0DEC5E53" w14:textId="77777777" w:rsidR="004C1CA0" w:rsidRPr="00ED331B" w:rsidRDefault="004C1CA0">
      <w:pPr>
        <w:rPr>
          <w:rFonts w:ascii="Times New Roman" w:hAnsi="Times New Roman" w:cs="Times New Roman"/>
          <w:sz w:val="22"/>
          <w:szCs w:val="22"/>
        </w:rPr>
      </w:pPr>
    </w:p>
    <w:p w14:paraId="3FEB3DF1" w14:textId="77777777" w:rsidR="004C1CA0" w:rsidRPr="00ED331B" w:rsidRDefault="004C1CA0">
      <w:pPr>
        <w:rPr>
          <w:rFonts w:ascii="Times New Roman" w:hAnsi="Times New Roman" w:cs="Times New Roman"/>
          <w:sz w:val="22"/>
          <w:szCs w:val="22"/>
        </w:rPr>
      </w:pPr>
    </w:p>
    <w:p w14:paraId="3EB40B56" w14:textId="77777777" w:rsidR="004C1CA0" w:rsidRPr="00ED331B" w:rsidRDefault="004C1CA0">
      <w:pPr>
        <w:rPr>
          <w:rFonts w:ascii="Times New Roman" w:hAnsi="Times New Roman" w:cs="Times New Roman"/>
          <w:sz w:val="22"/>
          <w:szCs w:val="22"/>
        </w:rPr>
      </w:pPr>
    </w:p>
    <w:tbl>
      <w:tblPr>
        <w:tblStyle w:val="TableGrid"/>
        <w:tblW w:w="9378" w:type="dxa"/>
        <w:tblLayout w:type="fixed"/>
        <w:tblLook w:val="04A0" w:firstRow="1" w:lastRow="0" w:firstColumn="1" w:lastColumn="0" w:noHBand="0" w:noVBand="1"/>
      </w:tblPr>
      <w:tblGrid>
        <w:gridCol w:w="558"/>
        <w:gridCol w:w="2880"/>
        <w:gridCol w:w="5940"/>
      </w:tblGrid>
      <w:tr w:rsidR="00020904" w:rsidRPr="00ED331B" w14:paraId="225E95A7" w14:textId="77777777" w:rsidTr="00A121AB">
        <w:tc>
          <w:tcPr>
            <w:tcW w:w="558" w:type="dxa"/>
          </w:tcPr>
          <w:p w14:paraId="1C23B258" w14:textId="77777777" w:rsidR="00020904" w:rsidRPr="00ED331B" w:rsidRDefault="00020904">
            <w:pPr>
              <w:rPr>
                <w:rFonts w:ascii="Times New Roman" w:hAnsi="Times New Roman" w:cs="Times New Roman"/>
                <w:sz w:val="22"/>
                <w:szCs w:val="22"/>
              </w:rPr>
            </w:pPr>
            <w:r w:rsidRPr="00ED331B">
              <w:rPr>
                <w:rFonts w:ascii="Times New Roman" w:hAnsi="Times New Roman" w:cs="Times New Roman"/>
                <w:sz w:val="22"/>
                <w:szCs w:val="22"/>
              </w:rPr>
              <w:t>Sr. No.</w:t>
            </w:r>
          </w:p>
        </w:tc>
        <w:tc>
          <w:tcPr>
            <w:tcW w:w="2880" w:type="dxa"/>
          </w:tcPr>
          <w:p w14:paraId="207D941E" w14:textId="77777777" w:rsidR="00020904" w:rsidRPr="00ED331B" w:rsidRDefault="00020904">
            <w:pPr>
              <w:rPr>
                <w:rFonts w:ascii="Times New Roman" w:hAnsi="Times New Roman" w:cs="Times New Roman"/>
                <w:sz w:val="22"/>
                <w:szCs w:val="22"/>
              </w:rPr>
            </w:pPr>
            <w:r w:rsidRPr="00ED331B">
              <w:rPr>
                <w:rFonts w:ascii="Times New Roman" w:hAnsi="Times New Roman" w:cs="Times New Roman"/>
                <w:sz w:val="22"/>
                <w:szCs w:val="22"/>
              </w:rPr>
              <w:t>Reviewers’ comment</w:t>
            </w:r>
            <w:r w:rsidR="003E7C3F" w:rsidRPr="00ED331B">
              <w:rPr>
                <w:rFonts w:ascii="Times New Roman" w:hAnsi="Times New Roman" w:cs="Times New Roman"/>
                <w:sz w:val="22"/>
                <w:szCs w:val="22"/>
              </w:rPr>
              <w:t>s</w:t>
            </w:r>
          </w:p>
        </w:tc>
        <w:tc>
          <w:tcPr>
            <w:tcW w:w="5940" w:type="dxa"/>
          </w:tcPr>
          <w:p w14:paraId="0CA7F494" w14:textId="77777777" w:rsidR="00020904" w:rsidRPr="00ED331B" w:rsidRDefault="00020904">
            <w:pPr>
              <w:rPr>
                <w:rFonts w:ascii="Times New Roman" w:hAnsi="Times New Roman" w:cs="Times New Roman"/>
                <w:sz w:val="22"/>
                <w:szCs w:val="22"/>
              </w:rPr>
            </w:pPr>
            <w:r w:rsidRPr="00ED331B">
              <w:rPr>
                <w:rFonts w:ascii="Times New Roman" w:hAnsi="Times New Roman" w:cs="Times New Roman"/>
                <w:sz w:val="22"/>
                <w:szCs w:val="22"/>
              </w:rPr>
              <w:t>Authors’ response</w:t>
            </w:r>
            <w:r w:rsidR="003E7C3F" w:rsidRPr="00ED331B">
              <w:rPr>
                <w:rFonts w:ascii="Times New Roman" w:hAnsi="Times New Roman" w:cs="Times New Roman"/>
                <w:sz w:val="22"/>
                <w:szCs w:val="22"/>
              </w:rPr>
              <w:t>s</w:t>
            </w:r>
          </w:p>
        </w:tc>
      </w:tr>
      <w:tr w:rsidR="00020904" w:rsidRPr="00ED331B" w14:paraId="0FE8869D" w14:textId="77777777" w:rsidTr="003E7C3F">
        <w:tc>
          <w:tcPr>
            <w:tcW w:w="9378" w:type="dxa"/>
            <w:gridSpan w:val="3"/>
          </w:tcPr>
          <w:p w14:paraId="219FF0E0" w14:textId="77777777" w:rsidR="00020904" w:rsidRPr="00ED331B" w:rsidRDefault="00020904" w:rsidP="00020904">
            <w:pPr>
              <w:jc w:val="center"/>
              <w:rPr>
                <w:rFonts w:ascii="Times New Roman" w:hAnsi="Times New Roman" w:cs="Times New Roman"/>
                <w:sz w:val="22"/>
                <w:szCs w:val="22"/>
              </w:rPr>
            </w:pPr>
            <w:r w:rsidRPr="00ED331B">
              <w:rPr>
                <w:rFonts w:ascii="Times New Roman" w:hAnsi="Times New Roman" w:cs="Times New Roman"/>
                <w:sz w:val="22"/>
                <w:szCs w:val="22"/>
              </w:rPr>
              <w:t>Reviewer 1</w:t>
            </w:r>
          </w:p>
        </w:tc>
      </w:tr>
      <w:tr w:rsidR="00020904" w:rsidRPr="00ED331B" w14:paraId="25C162B4" w14:textId="77777777" w:rsidTr="00A121AB">
        <w:tc>
          <w:tcPr>
            <w:tcW w:w="558" w:type="dxa"/>
          </w:tcPr>
          <w:p w14:paraId="6680E237" w14:textId="77777777" w:rsidR="00020904" w:rsidRPr="00ED331B" w:rsidRDefault="00020904">
            <w:pPr>
              <w:rPr>
                <w:rFonts w:ascii="Times New Roman" w:hAnsi="Times New Roman" w:cs="Times New Roman"/>
                <w:sz w:val="22"/>
                <w:szCs w:val="22"/>
              </w:rPr>
            </w:pPr>
            <w:r w:rsidRPr="00ED331B">
              <w:rPr>
                <w:rFonts w:ascii="Times New Roman" w:hAnsi="Times New Roman" w:cs="Times New Roman"/>
                <w:sz w:val="22"/>
                <w:szCs w:val="22"/>
              </w:rPr>
              <w:t>1</w:t>
            </w:r>
          </w:p>
        </w:tc>
        <w:tc>
          <w:tcPr>
            <w:tcW w:w="2880" w:type="dxa"/>
          </w:tcPr>
          <w:p w14:paraId="7973461F" w14:textId="77777777" w:rsidR="00641511" w:rsidRPr="00ED331B" w:rsidRDefault="00641511" w:rsidP="00641511">
            <w:pPr>
              <w:rPr>
                <w:rFonts w:ascii="Times New Roman" w:hAnsi="Times New Roman" w:cs="Times New Roman"/>
                <w:color w:val="222222"/>
                <w:sz w:val="22"/>
                <w:szCs w:val="22"/>
                <w:shd w:val="clear" w:color="auto" w:fill="FFFFFF"/>
              </w:rPr>
            </w:pPr>
            <w:r w:rsidRPr="00ED331B">
              <w:rPr>
                <w:rFonts w:ascii="Times New Roman" w:hAnsi="Times New Roman" w:cs="Times New Roman"/>
                <w:sz w:val="22"/>
                <w:szCs w:val="22"/>
              </w:rPr>
              <w:t xml:space="preserve">Clearly describe their analytical framework vis-à-vis affirmative action while embarking on the study. Present an initial listing of pathways of impact of affirmative action that lead from this analytical framework. </w:t>
            </w:r>
          </w:p>
          <w:p w14:paraId="565613EA" w14:textId="77777777" w:rsidR="00020904" w:rsidRPr="00ED331B" w:rsidRDefault="00020904">
            <w:pPr>
              <w:rPr>
                <w:rFonts w:ascii="Times New Roman" w:hAnsi="Times New Roman" w:cs="Times New Roman"/>
                <w:sz w:val="22"/>
                <w:szCs w:val="22"/>
              </w:rPr>
            </w:pPr>
          </w:p>
        </w:tc>
        <w:tc>
          <w:tcPr>
            <w:tcW w:w="5940" w:type="dxa"/>
          </w:tcPr>
          <w:p w14:paraId="3F46CD34" w14:textId="4DDA733F" w:rsidR="00020904" w:rsidRPr="00ED331B" w:rsidRDefault="00641511" w:rsidP="00555763">
            <w:pPr>
              <w:rPr>
                <w:rFonts w:ascii="Times New Roman" w:hAnsi="Times New Roman" w:cs="Times New Roman"/>
                <w:sz w:val="22"/>
                <w:szCs w:val="22"/>
              </w:rPr>
            </w:pPr>
            <w:r w:rsidRPr="00ED331B">
              <w:rPr>
                <w:rFonts w:ascii="Times New Roman" w:hAnsi="Times New Roman" w:cs="Times New Roman"/>
                <w:sz w:val="22"/>
                <w:szCs w:val="22"/>
              </w:rPr>
              <w:t>We appreciate the reviewers’ suggestion</w:t>
            </w:r>
            <w:r w:rsidR="003E7C3F" w:rsidRPr="00ED331B">
              <w:rPr>
                <w:rFonts w:ascii="Times New Roman" w:hAnsi="Times New Roman" w:cs="Times New Roman"/>
                <w:sz w:val="22"/>
                <w:szCs w:val="22"/>
              </w:rPr>
              <w:t xml:space="preserve"> for clarity</w:t>
            </w:r>
            <w:r w:rsidRPr="00ED331B">
              <w:rPr>
                <w:rFonts w:ascii="Times New Roman" w:hAnsi="Times New Roman" w:cs="Times New Roman"/>
                <w:sz w:val="22"/>
                <w:szCs w:val="22"/>
              </w:rPr>
              <w:t xml:space="preserve">. </w:t>
            </w:r>
            <w:r w:rsidR="0020759D">
              <w:rPr>
                <w:rFonts w:ascii="Times New Roman" w:hAnsi="Times New Roman" w:cs="Times New Roman"/>
                <w:sz w:val="22"/>
                <w:szCs w:val="22"/>
              </w:rPr>
              <w:t xml:space="preserve">Although the paper is more focused on </w:t>
            </w:r>
            <w:r w:rsidR="0020759D" w:rsidRPr="00ED331B">
              <w:rPr>
                <w:rFonts w:ascii="Times New Roman" w:hAnsi="Times New Roman" w:cs="Times New Roman"/>
                <w:sz w:val="22"/>
                <w:szCs w:val="22"/>
              </w:rPr>
              <w:t>review</w:t>
            </w:r>
            <w:r w:rsidR="0020759D">
              <w:rPr>
                <w:rFonts w:ascii="Times New Roman" w:hAnsi="Times New Roman" w:cs="Times New Roman"/>
                <w:sz w:val="22"/>
                <w:szCs w:val="22"/>
              </w:rPr>
              <w:t xml:space="preserve">ing </w:t>
            </w:r>
            <w:r w:rsidR="0020759D" w:rsidRPr="00ED331B">
              <w:rPr>
                <w:rFonts w:ascii="Times New Roman" w:hAnsi="Times New Roman" w:cs="Times New Roman"/>
                <w:sz w:val="22"/>
                <w:szCs w:val="22"/>
              </w:rPr>
              <w:t xml:space="preserve">how affirmative action policies have benefited minorities </w:t>
            </w:r>
            <w:r w:rsidR="0020759D">
              <w:rPr>
                <w:rFonts w:ascii="Times New Roman" w:hAnsi="Times New Roman" w:cs="Times New Roman"/>
                <w:sz w:val="22"/>
                <w:szCs w:val="22"/>
              </w:rPr>
              <w:t>than on the concept of affirmative action per se, w</w:t>
            </w:r>
            <w:r w:rsidR="00555763" w:rsidRPr="00ED331B">
              <w:rPr>
                <w:rFonts w:ascii="Times New Roman" w:hAnsi="Times New Roman" w:cs="Times New Roman"/>
                <w:sz w:val="22"/>
                <w:szCs w:val="22"/>
              </w:rPr>
              <w:t>e</w:t>
            </w:r>
            <w:r w:rsidR="0020759D">
              <w:rPr>
                <w:rFonts w:ascii="Times New Roman" w:hAnsi="Times New Roman" w:cs="Times New Roman"/>
                <w:sz w:val="22"/>
                <w:szCs w:val="22"/>
              </w:rPr>
              <w:t xml:space="preserve"> </w:t>
            </w:r>
            <w:r w:rsidR="00555763" w:rsidRPr="00ED331B">
              <w:rPr>
                <w:rFonts w:ascii="Times New Roman" w:hAnsi="Times New Roman" w:cs="Times New Roman"/>
                <w:sz w:val="22"/>
                <w:szCs w:val="22"/>
              </w:rPr>
              <w:t xml:space="preserve">appreciate the reviewer’s remarks on how there could be a broader interpretation of affirmative action (esp. in health sector) than just assessing the direct impact on beneficiaries. Keeping this aspect into consideration, we revised the text in Methods section clarifying the scope and analytical framework </w:t>
            </w:r>
            <w:r w:rsidR="003E7C3F" w:rsidRPr="00ED331B">
              <w:rPr>
                <w:rFonts w:ascii="Times New Roman" w:hAnsi="Times New Roman" w:cs="Times New Roman"/>
                <w:sz w:val="22"/>
                <w:szCs w:val="22"/>
              </w:rPr>
              <w:t xml:space="preserve">and added some observations on indirect and long-term impact of affirmative action policies in the discussion. </w:t>
            </w:r>
          </w:p>
          <w:p w14:paraId="1A3B0B86" w14:textId="77777777" w:rsidR="003E7C3F" w:rsidRPr="00ED331B" w:rsidRDefault="003E7C3F" w:rsidP="00555763">
            <w:pPr>
              <w:rPr>
                <w:rFonts w:ascii="Times New Roman" w:hAnsi="Times New Roman" w:cs="Times New Roman"/>
                <w:sz w:val="22"/>
                <w:szCs w:val="22"/>
              </w:rPr>
            </w:pPr>
          </w:p>
          <w:p w14:paraId="6635E008" w14:textId="50840450" w:rsidR="003E7C3F" w:rsidRPr="00ED331B" w:rsidRDefault="003E7C3F" w:rsidP="00555763">
            <w:pPr>
              <w:rPr>
                <w:rFonts w:ascii="Times New Roman" w:hAnsi="Times New Roman" w:cs="Times New Roman"/>
                <w:sz w:val="22"/>
                <w:szCs w:val="22"/>
              </w:rPr>
            </w:pPr>
            <w:r w:rsidRPr="00ED331B">
              <w:rPr>
                <w:rFonts w:ascii="Times New Roman" w:hAnsi="Times New Roman" w:cs="Times New Roman"/>
                <w:sz w:val="22"/>
                <w:szCs w:val="22"/>
              </w:rPr>
              <w:t xml:space="preserve">See (lines: </w:t>
            </w:r>
            <w:r w:rsidR="0020759D">
              <w:rPr>
                <w:rFonts w:ascii="Times New Roman" w:hAnsi="Times New Roman" w:cs="Times New Roman"/>
                <w:sz w:val="22"/>
                <w:szCs w:val="22"/>
              </w:rPr>
              <w:t>214-224</w:t>
            </w:r>
            <w:r w:rsidRPr="00ED331B">
              <w:rPr>
                <w:rFonts w:ascii="Times New Roman" w:hAnsi="Times New Roman" w:cs="Times New Roman"/>
                <w:sz w:val="22"/>
                <w:szCs w:val="22"/>
              </w:rPr>
              <w:t>):</w:t>
            </w:r>
          </w:p>
          <w:p w14:paraId="3BE07044" w14:textId="77777777" w:rsidR="004C4075" w:rsidRPr="00ED331B" w:rsidRDefault="004C4075" w:rsidP="00555763">
            <w:pPr>
              <w:rPr>
                <w:rFonts w:ascii="Times New Roman" w:hAnsi="Times New Roman" w:cs="Times New Roman"/>
                <w:sz w:val="22"/>
                <w:szCs w:val="22"/>
              </w:rPr>
            </w:pPr>
          </w:p>
          <w:p w14:paraId="2C3FC6FB" w14:textId="55D5E166" w:rsidR="004C4075" w:rsidRPr="00344E01" w:rsidRDefault="003E7C3F" w:rsidP="00555763">
            <w:pPr>
              <w:rPr>
                <w:rFonts w:ascii="Times New Roman" w:hAnsi="Times New Roman" w:cs="Times New Roman"/>
              </w:rPr>
            </w:pPr>
            <w:r w:rsidRPr="00ED331B">
              <w:rPr>
                <w:rFonts w:ascii="Times New Roman" w:hAnsi="Times New Roman" w:cs="Times New Roman"/>
                <w:sz w:val="22"/>
                <w:szCs w:val="22"/>
              </w:rPr>
              <w:t>“</w:t>
            </w:r>
            <w:r w:rsidR="0020759D">
              <w:rPr>
                <w:rFonts w:ascii="Times New Roman" w:hAnsi="Times New Roman" w:cs="Times New Roman"/>
              </w:rPr>
              <w:t xml:space="preserve">We aim to better understand (1) the direct impact of these policies in achieving desired outcomes among the intended groups (especially religious and ethnic minorities); (2) specific issues that hinder desired outcomes; and (3) the research gaps/challenges with regard to the affirmative action policies in India. Hence, we looked at the available evidence on whether and how affirmative action policies in areas of health, education, and governance directly benefited these groups. We acknowledge that a </w:t>
            </w:r>
            <w:r w:rsidR="0020759D">
              <w:rPr>
                <w:rFonts w:ascii="Times New Roman" w:hAnsi="Times New Roman" w:cs="Times New Roman"/>
              </w:rPr>
              <w:lastRenderedPageBreak/>
              <w:t>comprehensive assessment of impact of such policies needs to go beyond examining the direct and immediate benefits among intended groups, which was the focus of this empirical enquiry. However, we do make some observations on indirect and long-term impacts of these policies while discussing the results.”</w:t>
            </w:r>
          </w:p>
        </w:tc>
      </w:tr>
      <w:tr w:rsidR="00020904" w:rsidRPr="00ED331B" w14:paraId="6FE73DFC" w14:textId="77777777" w:rsidTr="00A121AB">
        <w:tc>
          <w:tcPr>
            <w:tcW w:w="558" w:type="dxa"/>
          </w:tcPr>
          <w:p w14:paraId="06F44CDD" w14:textId="72561AC3" w:rsidR="00020904" w:rsidRPr="00ED331B" w:rsidRDefault="002F700E">
            <w:pPr>
              <w:rPr>
                <w:rFonts w:ascii="Times New Roman" w:hAnsi="Times New Roman" w:cs="Times New Roman"/>
                <w:sz w:val="22"/>
                <w:szCs w:val="22"/>
              </w:rPr>
            </w:pPr>
            <w:r w:rsidRPr="00ED331B">
              <w:rPr>
                <w:rFonts w:ascii="Times New Roman" w:hAnsi="Times New Roman" w:cs="Times New Roman"/>
                <w:sz w:val="22"/>
                <w:szCs w:val="22"/>
              </w:rPr>
              <w:lastRenderedPageBreak/>
              <w:t>2</w:t>
            </w:r>
          </w:p>
        </w:tc>
        <w:tc>
          <w:tcPr>
            <w:tcW w:w="2880" w:type="dxa"/>
          </w:tcPr>
          <w:p w14:paraId="653579F9" w14:textId="77777777" w:rsidR="00FD25A5" w:rsidRPr="00ED331B" w:rsidRDefault="00FD25A5" w:rsidP="00FD25A5">
            <w:pPr>
              <w:rPr>
                <w:rFonts w:ascii="Times New Roman" w:hAnsi="Times New Roman" w:cs="Times New Roman"/>
                <w:color w:val="222222"/>
                <w:sz w:val="22"/>
                <w:szCs w:val="22"/>
                <w:shd w:val="clear" w:color="auto" w:fill="FFFFFF"/>
              </w:rPr>
            </w:pPr>
            <w:r w:rsidRPr="00ED331B">
              <w:rPr>
                <w:rFonts w:ascii="Times New Roman" w:hAnsi="Times New Roman" w:cs="Times New Roman"/>
                <w:color w:val="222222"/>
                <w:sz w:val="22"/>
                <w:szCs w:val="22"/>
              </w:rPr>
              <w:t xml:space="preserve">The evidence and what it says regarding each of these pathways – this section is already there. The gaps in the literature may be pointed out. </w:t>
            </w:r>
          </w:p>
          <w:p w14:paraId="4F952E6E" w14:textId="77777777" w:rsidR="00020904" w:rsidRPr="00ED331B" w:rsidRDefault="00020904">
            <w:pPr>
              <w:rPr>
                <w:rFonts w:ascii="Times New Roman" w:hAnsi="Times New Roman" w:cs="Times New Roman"/>
                <w:sz w:val="22"/>
                <w:szCs w:val="22"/>
              </w:rPr>
            </w:pPr>
          </w:p>
        </w:tc>
        <w:tc>
          <w:tcPr>
            <w:tcW w:w="5940" w:type="dxa"/>
          </w:tcPr>
          <w:p w14:paraId="29231E29" w14:textId="77777777" w:rsidR="00020904" w:rsidRPr="00ED331B" w:rsidRDefault="004C4075" w:rsidP="004C4075">
            <w:pPr>
              <w:rPr>
                <w:rFonts w:ascii="Times New Roman" w:hAnsi="Times New Roman" w:cs="Times New Roman"/>
                <w:sz w:val="22"/>
                <w:szCs w:val="22"/>
              </w:rPr>
            </w:pPr>
            <w:r w:rsidRPr="00ED331B">
              <w:rPr>
                <w:rFonts w:ascii="Times New Roman" w:hAnsi="Times New Roman" w:cs="Times New Roman"/>
                <w:sz w:val="22"/>
                <w:szCs w:val="22"/>
              </w:rPr>
              <w:t xml:space="preserve">As indicated by the reviewer, we discuss the evidence on impact of affirmative </w:t>
            </w:r>
            <w:r w:rsidR="003E7208" w:rsidRPr="00ED331B">
              <w:rPr>
                <w:rFonts w:ascii="Times New Roman" w:hAnsi="Times New Roman" w:cs="Times New Roman"/>
                <w:sz w:val="22"/>
                <w:szCs w:val="22"/>
              </w:rPr>
              <w:t xml:space="preserve">action </w:t>
            </w:r>
            <w:r w:rsidRPr="00ED331B">
              <w:rPr>
                <w:rFonts w:ascii="Times New Roman" w:hAnsi="Times New Roman" w:cs="Times New Roman"/>
                <w:sz w:val="22"/>
                <w:szCs w:val="22"/>
              </w:rPr>
              <w:t>policies as well as the research gaps in literature under the heading ‘Affirmative action policies</w:t>
            </w:r>
            <w:r w:rsidR="00756914" w:rsidRPr="00ED331B">
              <w:rPr>
                <w:rFonts w:ascii="Times New Roman" w:hAnsi="Times New Roman" w:cs="Times New Roman"/>
                <w:sz w:val="22"/>
                <w:szCs w:val="22"/>
              </w:rPr>
              <w:t xml:space="preserve"> and their impact’. We further highlight the research gaps under the section ‘Future research and practice agenda’.</w:t>
            </w:r>
          </w:p>
          <w:p w14:paraId="4348C976" w14:textId="77777777" w:rsidR="003E7208" w:rsidRPr="00ED331B" w:rsidRDefault="003E7208" w:rsidP="004C4075">
            <w:pPr>
              <w:rPr>
                <w:rFonts w:ascii="Times New Roman" w:hAnsi="Times New Roman" w:cs="Times New Roman"/>
                <w:sz w:val="22"/>
                <w:szCs w:val="22"/>
              </w:rPr>
            </w:pPr>
          </w:p>
          <w:p w14:paraId="5A65810B" w14:textId="73A65563" w:rsidR="003E7208" w:rsidRPr="00ED331B" w:rsidRDefault="003E7208" w:rsidP="004C4075">
            <w:pPr>
              <w:rPr>
                <w:rFonts w:ascii="Times New Roman" w:hAnsi="Times New Roman" w:cs="Times New Roman"/>
                <w:sz w:val="22"/>
                <w:szCs w:val="22"/>
              </w:rPr>
            </w:pPr>
            <w:r w:rsidRPr="00ED331B">
              <w:rPr>
                <w:rFonts w:ascii="Times New Roman" w:hAnsi="Times New Roman" w:cs="Times New Roman"/>
                <w:sz w:val="22"/>
                <w:szCs w:val="22"/>
              </w:rPr>
              <w:t xml:space="preserve">For example, see (lines: </w:t>
            </w:r>
            <w:r w:rsidR="00344E01">
              <w:rPr>
                <w:rFonts w:ascii="Times New Roman" w:hAnsi="Times New Roman" w:cs="Times New Roman"/>
                <w:sz w:val="22"/>
                <w:szCs w:val="22"/>
              </w:rPr>
              <w:t>1069-1080</w:t>
            </w:r>
            <w:r w:rsidRPr="00ED331B">
              <w:rPr>
                <w:rFonts w:ascii="Times New Roman" w:hAnsi="Times New Roman" w:cs="Times New Roman"/>
                <w:sz w:val="22"/>
                <w:szCs w:val="22"/>
              </w:rPr>
              <w:t>):</w:t>
            </w:r>
          </w:p>
          <w:p w14:paraId="03146049" w14:textId="77777777" w:rsidR="003E7208" w:rsidRPr="00ED331B" w:rsidRDefault="003E7208" w:rsidP="004C4075">
            <w:pPr>
              <w:rPr>
                <w:rFonts w:ascii="Times New Roman" w:hAnsi="Times New Roman" w:cs="Times New Roman"/>
                <w:sz w:val="22"/>
                <w:szCs w:val="22"/>
              </w:rPr>
            </w:pPr>
          </w:p>
          <w:p w14:paraId="3FBE8977" w14:textId="77777777" w:rsidR="003E7208" w:rsidRPr="00ED331B" w:rsidRDefault="003E7208" w:rsidP="003E7208">
            <w:pPr>
              <w:rPr>
                <w:rFonts w:ascii="Times New Roman" w:hAnsi="Times New Roman" w:cs="Times New Roman"/>
                <w:bCs/>
                <w:sz w:val="22"/>
                <w:szCs w:val="22"/>
              </w:rPr>
            </w:pPr>
            <w:r w:rsidRPr="00ED331B">
              <w:rPr>
                <w:rFonts w:ascii="Times New Roman" w:hAnsi="Times New Roman" w:cs="Times New Roman"/>
                <w:sz w:val="22"/>
                <w:szCs w:val="22"/>
              </w:rPr>
              <w:t>“</w:t>
            </w:r>
            <w:r w:rsidRPr="00ED331B">
              <w:rPr>
                <w:rFonts w:ascii="Times New Roman" w:hAnsi="Times New Roman" w:cs="Times New Roman"/>
                <w:bCs/>
                <w:sz w:val="22"/>
                <w:szCs w:val="22"/>
              </w:rPr>
              <w:t>Workshop participants acknowledged that many social inclusion policies and more importantly, their implementation are the result of strong social movements…. There is meager research about the role of social movements, of social networks (for migrant and other vulnerable communities) and about the politics of community organization/engagement (Workshop-2, 3).”</w:t>
            </w:r>
          </w:p>
          <w:p w14:paraId="0BAC75E0" w14:textId="77777777" w:rsidR="003E7208" w:rsidRPr="00ED331B" w:rsidRDefault="003E7208" w:rsidP="003E7208">
            <w:pPr>
              <w:rPr>
                <w:rFonts w:ascii="Times New Roman" w:hAnsi="Times New Roman" w:cs="Times New Roman"/>
                <w:bCs/>
                <w:sz w:val="22"/>
                <w:szCs w:val="22"/>
              </w:rPr>
            </w:pPr>
          </w:p>
          <w:p w14:paraId="7232BC1B" w14:textId="4F26BF7C" w:rsidR="003E7208" w:rsidRPr="00ED331B" w:rsidRDefault="003E7208" w:rsidP="003E7208">
            <w:pPr>
              <w:rPr>
                <w:rFonts w:ascii="Times New Roman" w:hAnsi="Times New Roman" w:cs="Times New Roman"/>
                <w:bCs/>
                <w:sz w:val="22"/>
                <w:szCs w:val="22"/>
              </w:rPr>
            </w:pPr>
            <w:r w:rsidRPr="00ED331B">
              <w:rPr>
                <w:rFonts w:ascii="Times New Roman" w:hAnsi="Times New Roman" w:cs="Times New Roman"/>
                <w:bCs/>
                <w:sz w:val="22"/>
                <w:szCs w:val="22"/>
              </w:rPr>
              <w:t xml:space="preserve">Or see (lines: </w:t>
            </w:r>
            <w:r w:rsidR="004D2F0C">
              <w:rPr>
                <w:rFonts w:ascii="Times New Roman" w:hAnsi="Times New Roman" w:cs="Times New Roman"/>
                <w:bCs/>
                <w:sz w:val="22"/>
                <w:szCs w:val="22"/>
              </w:rPr>
              <w:t>1097-1101</w:t>
            </w:r>
            <w:r w:rsidR="00E37CBA" w:rsidRPr="00ED331B">
              <w:rPr>
                <w:rFonts w:ascii="Times New Roman" w:hAnsi="Times New Roman" w:cs="Times New Roman"/>
                <w:bCs/>
                <w:sz w:val="22"/>
                <w:szCs w:val="22"/>
              </w:rPr>
              <w:t>):</w:t>
            </w:r>
          </w:p>
          <w:p w14:paraId="1F675EAF" w14:textId="77777777" w:rsidR="00E37CBA" w:rsidRPr="00ED331B" w:rsidRDefault="00E37CBA" w:rsidP="003E7208">
            <w:pPr>
              <w:rPr>
                <w:rFonts w:ascii="Times New Roman" w:hAnsi="Times New Roman" w:cs="Times New Roman"/>
                <w:bCs/>
                <w:sz w:val="22"/>
                <w:szCs w:val="22"/>
              </w:rPr>
            </w:pPr>
          </w:p>
          <w:p w14:paraId="5BA81140" w14:textId="77777777" w:rsidR="00E37CBA" w:rsidRPr="00ED331B" w:rsidRDefault="00E37CBA" w:rsidP="003E7208">
            <w:pPr>
              <w:rPr>
                <w:rFonts w:ascii="Times New Roman" w:hAnsi="Times New Roman" w:cs="Times New Roman"/>
                <w:bCs/>
                <w:sz w:val="22"/>
                <w:szCs w:val="22"/>
              </w:rPr>
            </w:pPr>
            <w:r w:rsidRPr="00ED331B">
              <w:rPr>
                <w:rFonts w:ascii="Times New Roman" w:hAnsi="Times New Roman" w:cs="Times New Roman"/>
                <w:bCs/>
                <w:sz w:val="22"/>
                <w:szCs w:val="22"/>
              </w:rPr>
              <w:t>“There is a growing body of research, mainly in high-income countries, on integrating health and social care (Workshop-2). Despite the acknowledgement of the need for such coordination, there is a dearth of research on feasible models for achieving intersectoral and interagency coordination that promotes social inclusion of minorities (Workshop-2, 3).”</w:t>
            </w:r>
          </w:p>
          <w:p w14:paraId="59AAAE7F" w14:textId="77777777" w:rsidR="00E37CBA" w:rsidRPr="00ED331B" w:rsidRDefault="00E37CBA" w:rsidP="003E7208">
            <w:pPr>
              <w:rPr>
                <w:rFonts w:ascii="Times New Roman" w:hAnsi="Times New Roman" w:cs="Times New Roman"/>
                <w:bCs/>
                <w:sz w:val="22"/>
                <w:szCs w:val="22"/>
              </w:rPr>
            </w:pPr>
          </w:p>
          <w:p w14:paraId="03F52DB5" w14:textId="77777777" w:rsidR="00E37CBA" w:rsidRPr="00ED331B" w:rsidRDefault="00E37CBA" w:rsidP="00E37CBA">
            <w:pPr>
              <w:rPr>
                <w:rFonts w:ascii="Times New Roman" w:hAnsi="Times New Roman" w:cs="Times New Roman"/>
                <w:sz w:val="22"/>
                <w:szCs w:val="22"/>
              </w:rPr>
            </w:pPr>
            <w:r w:rsidRPr="00ED331B">
              <w:rPr>
                <w:rFonts w:ascii="Times New Roman" w:hAnsi="Times New Roman" w:cs="Times New Roman"/>
                <w:bCs/>
                <w:sz w:val="22"/>
                <w:szCs w:val="22"/>
              </w:rPr>
              <w:t xml:space="preserve">There are several such gaps highlighted in the manuscript under the above-mentioned two sections. </w:t>
            </w:r>
          </w:p>
        </w:tc>
      </w:tr>
      <w:tr w:rsidR="00020904" w:rsidRPr="00ED331B" w14:paraId="5B0791CA" w14:textId="77777777" w:rsidTr="00A121AB">
        <w:tc>
          <w:tcPr>
            <w:tcW w:w="558" w:type="dxa"/>
          </w:tcPr>
          <w:p w14:paraId="1541E675" w14:textId="6C4DA412" w:rsidR="00020904" w:rsidRPr="00ED331B" w:rsidRDefault="002F700E">
            <w:pPr>
              <w:rPr>
                <w:rFonts w:ascii="Times New Roman" w:hAnsi="Times New Roman" w:cs="Times New Roman"/>
                <w:sz w:val="22"/>
                <w:szCs w:val="22"/>
              </w:rPr>
            </w:pPr>
            <w:r w:rsidRPr="00ED331B">
              <w:rPr>
                <w:rFonts w:ascii="Times New Roman" w:hAnsi="Times New Roman" w:cs="Times New Roman"/>
                <w:sz w:val="22"/>
                <w:szCs w:val="22"/>
              </w:rPr>
              <w:t>3</w:t>
            </w:r>
          </w:p>
        </w:tc>
        <w:tc>
          <w:tcPr>
            <w:tcW w:w="2880" w:type="dxa"/>
          </w:tcPr>
          <w:p w14:paraId="1C32DE5D" w14:textId="77777777" w:rsidR="00FD25A5" w:rsidRPr="00ED331B" w:rsidRDefault="00FD25A5" w:rsidP="00FD25A5">
            <w:pPr>
              <w:rPr>
                <w:rFonts w:ascii="Times New Roman" w:hAnsi="Times New Roman" w:cs="Times New Roman"/>
                <w:color w:val="222222"/>
                <w:sz w:val="22"/>
                <w:szCs w:val="22"/>
                <w:shd w:val="clear" w:color="auto" w:fill="FFFFFF"/>
              </w:rPr>
            </w:pPr>
            <w:r w:rsidRPr="00ED331B">
              <w:rPr>
                <w:rFonts w:ascii="Times New Roman" w:hAnsi="Times New Roman" w:cs="Times New Roman"/>
                <w:color w:val="222222"/>
                <w:sz w:val="22"/>
                <w:szCs w:val="22"/>
              </w:rPr>
              <w:t xml:space="preserve">Describe clearly the way in which the group discussion contributed to the understanding of the results of the literature survey. </w:t>
            </w:r>
          </w:p>
          <w:p w14:paraId="668950AD" w14:textId="77777777" w:rsidR="00020904" w:rsidRPr="00ED331B" w:rsidRDefault="00020904">
            <w:pPr>
              <w:rPr>
                <w:rFonts w:ascii="Times New Roman" w:hAnsi="Times New Roman" w:cs="Times New Roman"/>
                <w:sz w:val="22"/>
                <w:szCs w:val="22"/>
              </w:rPr>
            </w:pPr>
          </w:p>
        </w:tc>
        <w:tc>
          <w:tcPr>
            <w:tcW w:w="5940" w:type="dxa"/>
          </w:tcPr>
          <w:p w14:paraId="3CE8F435" w14:textId="3BD8282B" w:rsidR="00756914" w:rsidRPr="00ED331B" w:rsidRDefault="00344E01" w:rsidP="00756914">
            <w:pPr>
              <w:rPr>
                <w:rFonts w:ascii="Times New Roman" w:hAnsi="Times New Roman" w:cs="Times New Roman"/>
                <w:sz w:val="22"/>
                <w:szCs w:val="22"/>
              </w:rPr>
            </w:pPr>
            <w:r>
              <w:rPr>
                <w:rFonts w:ascii="Times New Roman" w:hAnsi="Times New Roman" w:cs="Times New Roman"/>
                <w:sz w:val="22"/>
                <w:szCs w:val="22"/>
              </w:rPr>
              <w:t>We t</w:t>
            </w:r>
            <w:r w:rsidR="00756914" w:rsidRPr="00ED331B">
              <w:rPr>
                <w:rFonts w:ascii="Times New Roman" w:hAnsi="Times New Roman" w:cs="Times New Roman"/>
                <w:sz w:val="22"/>
                <w:szCs w:val="22"/>
              </w:rPr>
              <w:t>hank</w:t>
            </w:r>
            <w:r>
              <w:rPr>
                <w:rFonts w:ascii="Times New Roman" w:hAnsi="Times New Roman" w:cs="Times New Roman"/>
                <w:sz w:val="22"/>
                <w:szCs w:val="22"/>
              </w:rPr>
              <w:t xml:space="preserve"> the reviewer</w:t>
            </w:r>
            <w:r w:rsidR="00756914" w:rsidRPr="00ED331B">
              <w:rPr>
                <w:rFonts w:ascii="Times New Roman" w:hAnsi="Times New Roman" w:cs="Times New Roman"/>
                <w:sz w:val="22"/>
                <w:szCs w:val="22"/>
              </w:rPr>
              <w:t xml:space="preserve"> for pointing out that while we relied on group discussions (in form of </w:t>
            </w:r>
            <w:r w:rsidR="00E37CBA" w:rsidRPr="00ED331B">
              <w:rPr>
                <w:rFonts w:ascii="Times New Roman" w:hAnsi="Times New Roman" w:cs="Times New Roman"/>
                <w:sz w:val="22"/>
                <w:szCs w:val="22"/>
              </w:rPr>
              <w:t xml:space="preserve">the </w:t>
            </w:r>
            <w:r w:rsidR="00756914" w:rsidRPr="00ED331B">
              <w:rPr>
                <w:rFonts w:ascii="Times New Roman" w:hAnsi="Times New Roman" w:cs="Times New Roman"/>
                <w:sz w:val="22"/>
                <w:szCs w:val="22"/>
              </w:rPr>
              <w:t>three workshops), contributions from these workshops were not clearly delineated. We have</w:t>
            </w:r>
            <w:r w:rsidR="00E37CBA" w:rsidRPr="00ED331B">
              <w:rPr>
                <w:rFonts w:ascii="Times New Roman" w:hAnsi="Times New Roman" w:cs="Times New Roman"/>
                <w:sz w:val="22"/>
                <w:szCs w:val="22"/>
              </w:rPr>
              <w:t xml:space="preserve"> now</w:t>
            </w:r>
            <w:r w:rsidR="00756914" w:rsidRPr="00ED331B">
              <w:rPr>
                <w:rFonts w:ascii="Times New Roman" w:hAnsi="Times New Roman" w:cs="Times New Roman"/>
                <w:sz w:val="22"/>
                <w:szCs w:val="22"/>
              </w:rPr>
              <w:t xml:space="preserve"> indicated each workshop by its theme in </w:t>
            </w:r>
            <w:r w:rsidR="00E37CBA" w:rsidRPr="00ED331B">
              <w:rPr>
                <w:rFonts w:ascii="Times New Roman" w:hAnsi="Times New Roman" w:cs="Times New Roman"/>
                <w:sz w:val="22"/>
                <w:szCs w:val="22"/>
              </w:rPr>
              <w:t xml:space="preserve">the </w:t>
            </w:r>
            <w:r w:rsidR="00756914" w:rsidRPr="00ED331B">
              <w:rPr>
                <w:rFonts w:ascii="Times New Roman" w:hAnsi="Times New Roman" w:cs="Times New Roman"/>
                <w:sz w:val="22"/>
                <w:szCs w:val="22"/>
              </w:rPr>
              <w:t xml:space="preserve">Methods section (line: </w:t>
            </w:r>
            <w:r w:rsidR="004D2F0C">
              <w:rPr>
                <w:rFonts w:ascii="Times New Roman" w:hAnsi="Times New Roman" w:cs="Times New Roman"/>
                <w:sz w:val="22"/>
                <w:szCs w:val="22"/>
              </w:rPr>
              <w:t>242</w:t>
            </w:r>
            <w:r w:rsidR="00756914" w:rsidRPr="00ED331B">
              <w:rPr>
                <w:rFonts w:ascii="Times New Roman" w:hAnsi="Times New Roman" w:cs="Times New Roman"/>
                <w:sz w:val="22"/>
                <w:szCs w:val="22"/>
              </w:rPr>
              <w:t>-</w:t>
            </w:r>
            <w:r w:rsidR="004D2F0C">
              <w:rPr>
                <w:rFonts w:ascii="Times New Roman" w:hAnsi="Times New Roman" w:cs="Times New Roman"/>
                <w:sz w:val="22"/>
                <w:szCs w:val="22"/>
              </w:rPr>
              <w:t>246</w:t>
            </w:r>
            <w:r w:rsidR="00756914" w:rsidRPr="00ED331B">
              <w:rPr>
                <w:rFonts w:ascii="Times New Roman" w:hAnsi="Times New Roman" w:cs="Times New Roman"/>
                <w:sz w:val="22"/>
                <w:szCs w:val="22"/>
              </w:rPr>
              <w:t>)</w:t>
            </w:r>
          </w:p>
          <w:p w14:paraId="4FED7CA8" w14:textId="77777777" w:rsidR="00756914" w:rsidRPr="00ED331B" w:rsidRDefault="00756914" w:rsidP="00756914">
            <w:pPr>
              <w:rPr>
                <w:rFonts w:ascii="Times New Roman" w:hAnsi="Times New Roman" w:cs="Times New Roman"/>
                <w:sz w:val="22"/>
                <w:szCs w:val="22"/>
              </w:rPr>
            </w:pPr>
          </w:p>
          <w:p w14:paraId="64D405FB" w14:textId="77777777" w:rsidR="00020904" w:rsidRPr="00ED331B" w:rsidRDefault="00756914" w:rsidP="00756914">
            <w:pPr>
              <w:rPr>
                <w:rFonts w:ascii="Times New Roman" w:hAnsi="Times New Roman" w:cs="Times New Roman"/>
                <w:sz w:val="22"/>
                <w:szCs w:val="22"/>
              </w:rPr>
            </w:pPr>
            <w:r w:rsidRPr="00ED331B">
              <w:rPr>
                <w:rFonts w:ascii="Times New Roman" w:hAnsi="Times New Roman" w:cs="Times New Roman"/>
                <w:sz w:val="22"/>
                <w:szCs w:val="22"/>
              </w:rPr>
              <w:t xml:space="preserve">“Workshops were half-day meetings of researchers, practitioners and policymakers from Karnataka who were engaged in social exclusion/inclusion related work and focused on themes of ‘social exclusion’ (workshop-1), ‘socially inclusive policies’ (workshop-2) and ‘age, gender and migration’ (workshop-3) respectively.”   </w:t>
            </w:r>
          </w:p>
          <w:p w14:paraId="34F65CEE" w14:textId="77777777" w:rsidR="00756914" w:rsidRPr="00ED331B" w:rsidRDefault="00756914" w:rsidP="00756914">
            <w:pPr>
              <w:rPr>
                <w:rFonts w:ascii="Times New Roman" w:hAnsi="Times New Roman" w:cs="Times New Roman"/>
                <w:sz w:val="22"/>
                <w:szCs w:val="22"/>
              </w:rPr>
            </w:pPr>
          </w:p>
          <w:p w14:paraId="6A57DBC4" w14:textId="77777777" w:rsidR="00E37CBA" w:rsidRPr="00ED331B" w:rsidRDefault="00756914" w:rsidP="007165B7">
            <w:pPr>
              <w:rPr>
                <w:rFonts w:ascii="Times New Roman" w:hAnsi="Times New Roman" w:cs="Times New Roman"/>
                <w:sz w:val="22"/>
                <w:szCs w:val="22"/>
              </w:rPr>
            </w:pPr>
            <w:r w:rsidRPr="00ED331B">
              <w:rPr>
                <w:rFonts w:ascii="Times New Roman" w:hAnsi="Times New Roman" w:cs="Times New Roman"/>
                <w:sz w:val="22"/>
                <w:szCs w:val="22"/>
              </w:rPr>
              <w:t xml:space="preserve">We have revised the body of the paper to clearly indicate </w:t>
            </w:r>
            <w:r w:rsidR="00E37CBA" w:rsidRPr="00ED331B">
              <w:rPr>
                <w:rFonts w:ascii="Times New Roman" w:hAnsi="Times New Roman" w:cs="Times New Roman"/>
                <w:sz w:val="22"/>
                <w:szCs w:val="22"/>
              </w:rPr>
              <w:t>the</w:t>
            </w:r>
            <w:r w:rsidRPr="00ED331B">
              <w:rPr>
                <w:rFonts w:ascii="Times New Roman" w:hAnsi="Times New Roman" w:cs="Times New Roman"/>
                <w:sz w:val="22"/>
                <w:szCs w:val="22"/>
              </w:rPr>
              <w:t xml:space="preserve"> contributions from the workshops by citing </w:t>
            </w:r>
            <w:r w:rsidR="007165B7" w:rsidRPr="00ED331B">
              <w:rPr>
                <w:rFonts w:ascii="Times New Roman" w:hAnsi="Times New Roman" w:cs="Times New Roman"/>
                <w:sz w:val="22"/>
                <w:szCs w:val="22"/>
              </w:rPr>
              <w:t xml:space="preserve">specific workshop series. </w:t>
            </w:r>
          </w:p>
          <w:p w14:paraId="4796EF14" w14:textId="77777777" w:rsidR="00E37CBA" w:rsidRPr="00ED331B" w:rsidRDefault="00E37CBA" w:rsidP="007165B7">
            <w:pPr>
              <w:rPr>
                <w:rFonts w:ascii="Times New Roman" w:hAnsi="Times New Roman" w:cs="Times New Roman"/>
                <w:sz w:val="22"/>
                <w:szCs w:val="22"/>
              </w:rPr>
            </w:pPr>
          </w:p>
          <w:p w14:paraId="045EBC4B" w14:textId="6E89CD2A" w:rsidR="00756914" w:rsidRPr="00ED331B" w:rsidRDefault="007165B7" w:rsidP="007165B7">
            <w:pPr>
              <w:rPr>
                <w:rFonts w:ascii="Times New Roman" w:hAnsi="Times New Roman" w:cs="Times New Roman"/>
                <w:sz w:val="22"/>
                <w:szCs w:val="22"/>
              </w:rPr>
            </w:pPr>
            <w:r w:rsidRPr="00ED331B">
              <w:rPr>
                <w:rFonts w:ascii="Times New Roman" w:hAnsi="Times New Roman" w:cs="Times New Roman"/>
                <w:sz w:val="22"/>
                <w:szCs w:val="22"/>
              </w:rPr>
              <w:lastRenderedPageBreak/>
              <w:t>For example, see (line</w:t>
            </w:r>
            <w:r w:rsidR="00756914" w:rsidRPr="00ED331B">
              <w:rPr>
                <w:rFonts w:ascii="Times New Roman" w:hAnsi="Times New Roman" w:cs="Times New Roman"/>
                <w:sz w:val="22"/>
                <w:szCs w:val="22"/>
              </w:rPr>
              <w:t xml:space="preserve"> </w:t>
            </w:r>
            <w:r w:rsidR="004D2F0C">
              <w:rPr>
                <w:rFonts w:ascii="Times New Roman" w:hAnsi="Times New Roman" w:cs="Times New Roman"/>
                <w:sz w:val="22"/>
                <w:szCs w:val="22"/>
              </w:rPr>
              <w:t>483-486</w:t>
            </w:r>
            <w:r w:rsidRPr="00ED331B">
              <w:rPr>
                <w:rFonts w:ascii="Times New Roman" w:hAnsi="Times New Roman" w:cs="Times New Roman"/>
                <w:sz w:val="22"/>
                <w:szCs w:val="22"/>
              </w:rPr>
              <w:t>):</w:t>
            </w:r>
          </w:p>
          <w:p w14:paraId="416A3D8C" w14:textId="77777777" w:rsidR="007165B7" w:rsidRPr="00ED331B" w:rsidRDefault="007165B7" w:rsidP="007165B7">
            <w:pPr>
              <w:rPr>
                <w:rFonts w:ascii="Times New Roman" w:hAnsi="Times New Roman" w:cs="Times New Roman"/>
                <w:sz w:val="22"/>
                <w:szCs w:val="22"/>
              </w:rPr>
            </w:pPr>
          </w:p>
          <w:p w14:paraId="23C7F575" w14:textId="77777777" w:rsidR="007165B7" w:rsidRPr="00ED331B" w:rsidRDefault="007165B7" w:rsidP="007165B7">
            <w:pPr>
              <w:rPr>
                <w:rFonts w:ascii="Times New Roman" w:hAnsi="Times New Roman" w:cs="Times New Roman"/>
                <w:sz w:val="22"/>
                <w:szCs w:val="22"/>
              </w:rPr>
            </w:pPr>
            <w:r w:rsidRPr="00ED331B">
              <w:rPr>
                <w:rFonts w:ascii="Times New Roman" w:hAnsi="Times New Roman" w:cs="Times New Roman"/>
                <w:sz w:val="22"/>
                <w:szCs w:val="22"/>
              </w:rPr>
              <w:t>“The workshop participants engaged in the education sector recognized the promise of such enabling legislation. However, they expressed concerns over suboptimal implementation of this legislation, especially by private schools among several states in India (Workshop-2).”</w:t>
            </w:r>
          </w:p>
          <w:p w14:paraId="49205BED" w14:textId="77777777" w:rsidR="007165B7" w:rsidRPr="00ED331B" w:rsidRDefault="007165B7" w:rsidP="007165B7">
            <w:pPr>
              <w:rPr>
                <w:rFonts w:ascii="Times New Roman" w:hAnsi="Times New Roman" w:cs="Times New Roman"/>
                <w:sz w:val="22"/>
                <w:szCs w:val="22"/>
              </w:rPr>
            </w:pPr>
          </w:p>
          <w:p w14:paraId="79736571" w14:textId="77777777" w:rsidR="007165B7" w:rsidRPr="00ED331B" w:rsidRDefault="007165B7" w:rsidP="007165B7">
            <w:pPr>
              <w:rPr>
                <w:rFonts w:ascii="Times New Roman" w:hAnsi="Times New Roman" w:cs="Times New Roman"/>
                <w:sz w:val="22"/>
                <w:szCs w:val="22"/>
              </w:rPr>
            </w:pPr>
            <w:r w:rsidRPr="00ED331B">
              <w:rPr>
                <w:rFonts w:ascii="Times New Roman" w:hAnsi="Times New Roman" w:cs="Times New Roman"/>
                <w:sz w:val="22"/>
                <w:szCs w:val="22"/>
              </w:rPr>
              <w:t xml:space="preserve">Likewise, we have done this throughout the paper. </w:t>
            </w:r>
          </w:p>
        </w:tc>
      </w:tr>
      <w:tr w:rsidR="00020904" w:rsidRPr="00ED331B" w14:paraId="3B2D0212" w14:textId="77777777" w:rsidTr="00A121AB">
        <w:tc>
          <w:tcPr>
            <w:tcW w:w="558" w:type="dxa"/>
          </w:tcPr>
          <w:p w14:paraId="4C70E865" w14:textId="799C42D8" w:rsidR="00020904" w:rsidRPr="00ED331B" w:rsidRDefault="002F700E">
            <w:pPr>
              <w:rPr>
                <w:rFonts w:ascii="Times New Roman" w:hAnsi="Times New Roman" w:cs="Times New Roman"/>
                <w:sz w:val="22"/>
                <w:szCs w:val="22"/>
              </w:rPr>
            </w:pPr>
            <w:r w:rsidRPr="00ED331B">
              <w:rPr>
                <w:rFonts w:ascii="Times New Roman" w:hAnsi="Times New Roman" w:cs="Times New Roman"/>
                <w:sz w:val="22"/>
                <w:szCs w:val="22"/>
              </w:rPr>
              <w:lastRenderedPageBreak/>
              <w:t>4</w:t>
            </w:r>
          </w:p>
        </w:tc>
        <w:tc>
          <w:tcPr>
            <w:tcW w:w="2880" w:type="dxa"/>
          </w:tcPr>
          <w:p w14:paraId="229047C1" w14:textId="77777777" w:rsidR="00FD25A5" w:rsidRPr="00ED331B" w:rsidRDefault="00FD25A5" w:rsidP="00FD25A5">
            <w:pPr>
              <w:rPr>
                <w:rFonts w:ascii="Times New Roman" w:hAnsi="Times New Roman" w:cs="Times New Roman"/>
                <w:color w:val="222222"/>
                <w:sz w:val="22"/>
                <w:szCs w:val="22"/>
                <w:shd w:val="clear" w:color="auto" w:fill="FFFFFF"/>
              </w:rPr>
            </w:pPr>
            <w:r w:rsidRPr="00ED331B">
              <w:rPr>
                <w:rFonts w:ascii="Times New Roman" w:hAnsi="Times New Roman" w:cs="Times New Roman"/>
                <w:color w:val="222222"/>
                <w:sz w:val="22"/>
                <w:szCs w:val="22"/>
              </w:rPr>
              <w:t>In the discussion</w:t>
            </w:r>
            <w:r w:rsidR="00E37CBA" w:rsidRPr="00ED331B">
              <w:rPr>
                <w:rFonts w:ascii="Times New Roman" w:hAnsi="Times New Roman" w:cs="Times New Roman"/>
                <w:color w:val="222222"/>
                <w:sz w:val="22"/>
                <w:szCs w:val="22"/>
              </w:rPr>
              <w:t>,</w:t>
            </w:r>
            <w:r w:rsidRPr="00ED331B">
              <w:rPr>
                <w:rFonts w:ascii="Times New Roman" w:hAnsi="Times New Roman" w:cs="Times New Roman"/>
                <w:color w:val="222222"/>
                <w:sz w:val="22"/>
                <w:szCs w:val="22"/>
              </w:rPr>
              <w:t xml:space="preserve"> place the findings in the context of the larger literature on affirmative action and policy implementation. </w:t>
            </w:r>
          </w:p>
          <w:p w14:paraId="141D8185" w14:textId="77777777" w:rsidR="00020904" w:rsidRPr="00ED331B" w:rsidRDefault="00020904">
            <w:pPr>
              <w:rPr>
                <w:rFonts w:ascii="Times New Roman" w:hAnsi="Times New Roman" w:cs="Times New Roman"/>
                <w:sz w:val="22"/>
                <w:szCs w:val="22"/>
              </w:rPr>
            </w:pPr>
          </w:p>
        </w:tc>
        <w:tc>
          <w:tcPr>
            <w:tcW w:w="5940" w:type="dxa"/>
          </w:tcPr>
          <w:p w14:paraId="4AFE8CF4" w14:textId="77777777" w:rsidR="00E37CBA" w:rsidRPr="00ED331B" w:rsidRDefault="007165B7">
            <w:pPr>
              <w:rPr>
                <w:rFonts w:ascii="Times New Roman" w:hAnsi="Times New Roman" w:cs="Times New Roman"/>
                <w:sz w:val="22"/>
                <w:szCs w:val="22"/>
              </w:rPr>
            </w:pPr>
            <w:r w:rsidRPr="00ED331B">
              <w:rPr>
                <w:rFonts w:ascii="Times New Roman" w:hAnsi="Times New Roman" w:cs="Times New Roman"/>
                <w:sz w:val="22"/>
                <w:szCs w:val="22"/>
              </w:rPr>
              <w:t xml:space="preserve">We appreciate the reviewer’s suggestion and also pointing us to </w:t>
            </w:r>
            <w:r w:rsidR="00E37CBA" w:rsidRPr="00ED331B">
              <w:rPr>
                <w:rFonts w:ascii="Times New Roman" w:hAnsi="Times New Roman" w:cs="Times New Roman"/>
                <w:sz w:val="22"/>
                <w:szCs w:val="22"/>
              </w:rPr>
              <w:t xml:space="preserve">the </w:t>
            </w:r>
            <w:r w:rsidRPr="00ED331B">
              <w:rPr>
                <w:rFonts w:ascii="Times New Roman" w:hAnsi="Times New Roman" w:cs="Times New Roman"/>
                <w:sz w:val="22"/>
                <w:szCs w:val="22"/>
              </w:rPr>
              <w:t xml:space="preserve">specific literature in this regard. We have revised the discussion at several places inserting observations/arguments situating our findings in the larger literature on affirmative action and policy implementation. </w:t>
            </w:r>
          </w:p>
          <w:p w14:paraId="22724AFA" w14:textId="77777777" w:rsidR="00E37CBA" w:rsidRPr="00ED331B" w:rsidRDefault="00E37CBA">
            <w:pPr>
              <w:rPr>
                <w:rFonts w:ascii="Times New Roman" w:hAnsi="Times New Roman" w:cs="Times New Roman"/>
                <w:sz w:val="22"/>
                <w:szCs w:val="22"/>
              </w:rPr>
            </w:pPr>
          </w:p>
          <w:p w14:paraId="15B32699" w14:textId="3790B267" w:rsidR="007165B7" w:rsidRPr="00ED331B" w:rsidRDefault="007165B7">
            <w:pPr>
              <w:rPr>
                <w:rFonts w:ascii="Times New Roman" w:hAnsi="Times New Roman" w:cs="Times New Roman"/>
                <w:sz w:val="22"/>
                <w:szCs w:val="22"/>
              </w:rPr>
            </w:pPr>
            <w:r w:rsidRPr="00ED331B">
              <w:rPr>
                <w:rFonts w:ascii="Times New Roman" w:hAnsi="Times New Roman" w:cs="Times New Roman"/>
                <w:sz w:val="22"/>
                <w:szCs w:val="22"/>
              </w:rPr>
              <w:t>For example, see (</w:t>
            </w:r>
            <w:r w:rsidR="004D2F0C">
              <w:rPr>
                <w:rFonts w:ascii="Times New Roman" w:hAnsi="Times New Roman" w:cs="Times New Roman"/>
                <w:sz w:val="22"/>
                <w:szCs w:val="22"/>
              </w:rPr>
              <w:t>366-447</w:t>
            </w:r>
            <w:r w:rsidRPr="00ED331B">
              <w:rPr>
                <w:rFonts w:ascii="Times New Roman" w:hAnsi="Times New Roman" w:cs="Times New Roman"/>
                <w:sz w:val="22"/>
                <w:szCs w:val="22"/>
              </w:rPr>
              <w:t>):</w:t>
            </w:r>
          </w:p>
          <w:p w14:paraId="14DC83E4" w14:textId="77777777" w:rsidR="007165B7" w:rsidRPr="00ED331B" w:rsidRDefault="007165B7">
            <w:pPr>
              <w:rPr>
                <w:rFonts w:ascii="Times New Roman" w:hAnsi="Times New Roman" w:cs="Times New Roman"/>
                <w:sz w:val="22"/>
                <w:szCs w:val="22"/>
              </w:rPr>
            </w:pPr>
          </w:p>
          <w:p w14:paraId="6ABC802B" w14:textId="02D86AEF" w:rsidR="007165B7" w:rsidRPr="00ED331B" w:rsidRDefault="007165B7">
            <w:pPr>
              <w:rPr>
                <w:rFonts w:ascii="Times New Roman" w:hAnsi="Times New Roman" w:cs="Times New Roman"/>
                <w:sz w:val="22"/>
                <w:szCs w:val="22"/>
              </w:rPr>
            </w:pPr>
            <w:r w:rsidRPr="00ED331B">
              <w:rPr>
                <w:rFonts w:ascii="Times New Roman" w:hAnsi="Times New Roman" w:cs="Times New Roman"/>
                <w:sz w:val="22"/>
                <w:szCs w:val="22"/>
              </w:rPr>
              <w:t>“</w:t>
            </w:r>
            <w:r w:rsidR="004D2F0C">
              <w:rPr>
                <w:rFonts w:ascii="Times New Roman" w:hAnsi="Times New Roman" w:cs="Times New Roman"/>
              </w:rPr>
              <w:t xml:space="preserve">Affirmative action policies for SC and ST have been in place in India since colonial times. Historically, there was limited political resistance to such quotas as they formed a small proportion of overall seats/jobs, remained largely unfilled, and as such did not result in the development of new political/power structures by these groups </w:t>
            </w:r>
            <w:r w:rsidR="004D2F0C">
              <w:rPr>
                <w:rFonts w:ascii="Times New Roman" w:hAnsi="Times New Roman" w:cs="Times New Roman"/>
              </w:rPr>
              <w:fldChar w:fldCharType="begin" w:fldLock="1"/>
            </w:r>
            <w:r w:rsidR="004D2F0C">
              <w:rPr>
                <w:rFonts w:ascii="Times New Roman" w:hAnsi="Times New Roman" w:cs="Times New Roman"/>
              </w:rPr>
              <w:instrText>ADDIN CSL_CITATION {"citationItems":[{"id":"ITEM-1","itemData":{"DOI":"10.1080/14736480600824516","ISSN":"1473-6489","author":[{"dropping-particle":"","family":"Jaffrelot","given":"Christophe","non-dropping-particle":"","parse-names":false,"suffix":""}],"container-title":"India Review","id":"ITEM-1","issue":"2","issued":{"date-parts":[["2006"]]},"page":"173-189","title":"The impact of affirmative action in India: more political than socioeconomic","type":"article-journal","volume":"5"},"uris":["http://www.mendeley.com/documents/?uuid=b84b60f0-14b4-42c4-a8ff-08126e373489"]}],"mendeley":{"formattedCitation":"(20)","plainTextFormattedCitation":"(20)","previouslyFormattedCitation":"(19)"},"properties":{"noteIndex":0},"schema":"https://github.com/citation-style-language/schema/raw/master/csl-citation.json"}</w:instrText>
            </w:r>
            <w:r w:rsidR="004D2F0C">
              <w:rPr>
                <w:rFonts w:ascii="Times New Roman" w:hAnsi="Times New Roman" w:cs="Times New Roman"/>
              </w:rPr>
              <w:fldChar w:fldCharType="separate"/>
            </w:r>
            <w:r w:rsidR="004D2F0C" w:rsidRPr="00B73C3B">
              <w:rPr>
                <w:rFonts w:ascii="Times New Roman" w:hAnsi="Times New Roman" w:cs="Times New Roman"/>
                <w:noProof/>
              </w:rPr>
              <w:t>(20)</w:t>
            </w:r>
            <w:r w:rsidR="004D2F0C">
              <w:rPr>
                <w:rFonts w:ascii="Times New Roman" w:hAnsi="Times New Roman" w:cs="Times New Roman"/>
              </w:rPr>
              <w:fldChar w:fldCharType="end"/>
            </w:r>
            <w:r w:rsidR="004D2F0C">
              <w:rPr>
                <w:rFonts w:ascii="Times New Roman" w:hAnsi="Times New Roman" w:cs="Times New Roman"/>
              </w:rPr>
              <w:t xml:space="preserve">. However, extending affirmative action to OBC led to fierce opposition on several accounts: dominant groups worried about competition in higher classes of government jobs, and the dominance of an idea of ‘class’ (from Marxist influence) as well as framing the idea of ‘caste’ as being a complementary rather </w:t>
            </w:r>
            <w:r w:rsidR="004D2F0C" w:rsidRPr="007963BE">
              <w:rPr>
                <w:rFonts w:ascii="Times New Roman" w:hAnsi="Times New Roman" w:cs="Times New Roman"/>
              </w:rPr>
              <w:t>hierarchical</w:t>
            </w:r>
            <w:r w:rsidR="004D2F0C">
              <w:rPr>
                <w:rFonts w:ascii="Times New Roman" w:hAnsi="Times New Roman" w:cs="Times New Roman"/>
              </w:rPr>
              <w:t xml:space="preserve"> social order (Gandhian influence) led to inadequate appreciation of caste-based oppression </w:t>
            </w:r>
            <w:r w:rsidR="004D2F0C">
              <w:rPr>
                <w:rFonts w:ascii="Times New Roman" w:hAnsi="Times New Roman" w:cs="Times New Roman"/>
              </w:rPr>
              <w:fldChar w:fldCharType="begin" w:fldLock="1"/>
            </w:r>
            <w:r w:rsidR="004D2F0C">
              <w:rPr>
                <w:rFonts w:ascii="Times New Roman" w:hAnsi="Times New Roman" w:cs="Times New Roman"/>
              </w:rPr>
              <w:instrText>ADDIN CSL_CITATION {"citationItems":[{"id":"ITEM-1","itemData":{"DOI":"10.1080/14736480600824516","ISSN":"1473-6489","author":[{"dropping-particle":"","family":"Jaffrelot","given":"Christophe","non-dropping-particle":"","parse-names":false,"suffix":""}],"container-title":"India Review","id":"ITEM-1","issue":"2","issued":{"date-parts":[["2006"]]},"page":"173-189","title":"The impact of affirmative action in India: more political than socioeconomic","type":"article-journal","volume":"5"},"uris":["http://www.mendeley.com/documents/?uuid=b84b60f0-14b4-42c4-a8ff-08126e373489"]}],"mendeley":{"formattedCitation":"(20)","plainTextFormattedCitation":"(20)","previouslyFormattedCitation":"(19)"},"properties":{"noteIndex":0},"schema":"https://github.com/citation-style-language/schema/raw/master/csl-citation.json"}</w:instrText>
            </w:r>
            <w:r w:rsidR="004D2F0C">
              <w:rPr>
                <w:rFonts w:ascii="Times New Roman" w:hAnsi="Times New Roman" w:cs="Times New Roman"/>
              </w:rPr>
              <w:fldChar w:fldCharType="separate"/>
            </w:r>
            <w:r w:rsidR="004D2F0C" w:rsidRPr="00B73C3B">
              <w:rPr>
                <w:rFonts w:ascii="Times New Roman" w:hAnsi="Times New Roman" w:cs="Times New Roman"/>
                <w:noProof/>
              </w:rPr>
              <w:t>(20)</w:t>
            </w:r>
            <w:r w:rsidR="004D2F0C">
              <w:rPr>
                <w:rFonts w:ascii="Times New Roman" w:hAnsi="Times New Roman" w:cs="Times New Roman"/>
              </w:rPr>
              <w:fldChar w:fldCharType="end"/>
            </w:r>
            <w:r w:rsidR="004D2F0C">
              <w:rPr>
                <w:rFonts w:ascii="Times New Roman" w:hAnsi="Times New Roman" w:cs="Times New Roman"/>
              </w:rPr>
              <w:t>.</w:t>
            </w:r>
            <w:r w:rsidR="002B5752" w:rsidRPr="00ED331B">
              <w:rPr>
                <w:rFonts w:ascii="Times New Roman" w:hAnsi="Times New Roman" w:cs="Times New Roman"/>
                <w:sz w:val="22"/>
                <w:szCs w:val="22"/>
              </w:rPr>
              <w:t>”</w:t>
            </w:r>
          </w:p>
          <w:p w14:paraId="5C8DD041" w14:textId="77777777" w:rsidR="007165B7" w:rsidRPr="00ED331B" w:rsidRDefault="007165B7">
            <w:pPr>
              <w:rPr>
                <w:rFonts w:ascii="Times New Roman" w:hAnsi="Times New Roman" w:cs="Times New Roman"/>
                <w:sz w:val="22"/>
                <w:szCs w:val="22"/>
              </w:rPr>
            </w:pPr>
          </w:p>
          <w:p w14:paraId="477B3743" w14:textId="4646BBA1" w:rsidR="007165B7" w:rsidRPr="00ED331B" w:rsidRDefault="002B5752">
            <w:pPr>
              <w:rPr>
                <w:rFonts w:ascii="Times New Roman" w:hAnsi="Times New Roman" w:cs="Times New Roman"/>
                <w:sz w:val="22"/>
                <w:szCs w:val="22"/>
              </w:rPr>
            </w:pPr>
            <w:r w:rsidRPr="00ED331B">
              <w:rPr>
                <w:rFonts w:ascii="Times New Roman" w:hAnsi="Times New Roman" w:cs="Times New Roman"/>
                <w:sz w:val="22"/>
                <w:szCs w:val="22"/>
              </w:rPr>
              <w:t>S</w:t>
            </w:r>
            <w:r w:rsidR="007165B7" w:rsidRPr="00ED331B">
              <w:rPr>
                <w:rFonts w:ascii="Times New Roman" w:hAnsi="Times New Roman" w:cs="Times New Roman"/>
                <w:sz w:val="22"/>
                <w:szCs w:val="22"/>
              </w:rPr>
              <w:t xml:space="preserve">ee (line: </w:t>
            </w:r>
            <w:r w:rsidR="004D2F0C">
              <w:rPr>
                <w:rFonts w:ascii="Times New Roman" w:hAnsi="Times New Roman" w:cs="Times New Roman"/>
                <w:sz w:val="22"/>
                <w:szCs w:val="22"/>
              </w:rPr>
              <w:t>671-687</w:t>
            </w:r>
            <w:r w:rsidR="007165B7" w:rsidRPr="00ED331B">
              <w:rPr>
                <w:rFonts w:ascii="Times New Roman" w:hAnsi="Times New Roman" w:cs="Times New Roman"/>
                <w:sz w:val="22"/>
                <w:szCs w:val="22"/>
              </w:rPr>
              <w:t>)</w:t>
            </w:r>
          </w:p>
          <w:p w14:paraId="5D03E386" w14:textId="77777777" w:rsidR="002B5752" w:rsidRPr="00ED331B" w:rsidRDefault="002B5752">
            <w:pPr>
              <w:rPr>
                <w:rFonts w:ascii="Times New Roman" w:hAnsi="Times New Roman" w:cs="Times New Roman"/>
                <w:sz w:val="22"/>
                <w:szCs w:val="22"/>
              </w:rPr>
            </w:pPr>
          </w:p>
          <w:p w14:paraId="793C71E1" w14:textId="7DFC2FB2" w:rsidR="002B5752" w:rsidRPr="00ED331B" w:rsidRDefault="007165B7" w:rsidP="002B5752">
            <w:pPr>
              <w:widowControl w:val="0"/>
              <w:autoSpaceDE w:val="0"/>
              <w:autoSpaceDN w:val="0"/>
              <w:adjustRightInd w:val="0"/>
              <w:rPr>
                <w:rFonts w:ascii="Times New Roman" w:hAnsi="Times New Roman" w:cs="Times New Roman"/>
                <w:sz w:val="22"/>
                <w:szCs w:val="22"/>
              </w:rPr>
            </w:pPr>
            <w:r w:rsidRPr="00ED331B">
              <w:rPr>
                <w:rFonts w:ascii="Times New Roman" w:hAnsi="Times New Roman" w:cs="Times New Roman"/>
                <w:sz w:val="22"/>
                <w:szCs w:val="22"/>
              </w:rPr>
              <w:t>“</w:t>
            </w:r>
            <w:r w:rsidR="004D2F0C">
              <w:rPr>
                <w:rFonts w:ascii="Times New Roman" w:hAnsi="Times New Roman" w:cs="Times New Roman"/>
              </w:rPr>
              <w:t xml:space="preserve">Jaffrelot </w:t>
            </w:r>
            <w:r w:rsidR="004D2F0C">
              <w:rPr>
                <w:rFonts w:ascii="Times New Roman" w:hAnsi="Times New Roman" w:cs="Times New Roman"/>
              </w:rPr>
              <w:fldChar w:fldCharType="begin" w:fldLock="1"/>
            </w:r>
            <w:r w:rsidR="004D2F0C">
              <w:rPr>
                <w:rFonts w:ascii="Times New Roman" w:hAnsi="Times New Roman" w:cs="Times New Roman"/>
              </w:rPr>
              <w:instrText>ADDIN CSL_CITATION {"citationItems":[{"id":"ITEM-1","itemData":{"DOI":"10.1080/14736480600824516","ISSN":"1473-6489","author":[{"dropping-particle":"","family":"Jaffrelot","given":"Christophe","non-dropping-particle":"","parse-names":false,"suffix":""}],"container-title":"India Review","id":"ITEM-1","issue":"2","issued":{"date-parts":[["2006"]]},"page":"173-189","title":"The impact of affirmative action in India: more political than socioeconomic","type":"article-journal","volume":"5"},"uris":["http://www.mendeley.com/documents/?uuid=b84b60f0-14b4-42c4-a8ff-08126e373489"]}],"mendeley":{"formattedCitation":"(20)","plainTextFormattedCitation":"(20)","previouslyFormattedCitation":"(19)"},"properties":{"noteIndex":0},"schema":"https://github.com/citation-style-language/schema/raw/master/csl-citation.json"}</w:instrText>
            </w:r>
            <w:r w:rsidR="004D2F0C">
              <w:rPr>
                <w:rFonts w:ascii="Times New Roman" w:hAnsi="Times New Roman" w:cs="Times New Roman"/>
              </w:rPr>
              <w:fldChar w:fldCharType="separate"/>
            </w:r>
            <w:r w:rsidR="004D2F0C" w:rsidRPr="00B73C3B">
              <w:rPr>
                <w:rFonts w:ascii="Times New Roman" w:hAnsi="Times New Roman" w:cs="Times New Roman"/>
                <w:noProof/>
              </w:rPr>
              <w:t>(20)</w:t>
            </w:r>
            <w:r w:rsidR="004D2F0C">
              <w:rPr>
                <w:rFonts w:ascii="Times New Roman" w:hAnsi="Times New Roman" w:cs="Times New Roman"/>
              </w:rPr>
              <w:fldChar w:fldCharType="end"/>
            </w:r>
            <w:r w:rsidR="004D2F0C">
              <w:rPr>
                <w:rFonts w:ascii="Times New Roman" w:hAnsi="Times New Roman" w:cs="Times New Roman"/>
              </w:rPr>
              <w:t>,</w:t>
            </w:r>
            <w:r w:rsidR="004D2F0C">
              <w:t xml:space="preserve"> </w:t>
            </w:r>
            <w:r w:rsidR="004D2F0C">
              <w:rPr>
                <w:rFonts w:ascii="Times New Roman" w:hAnsi="Times New Roman" w:cs="Times New Roman"/>
              </w:rPr>
              <w:t xml:space="preserve">in his incisive review of the impacts of affirmative action published in 2006, found that these policies had been valuable in terms of their political outcomes (in the form of political formations by marginalized caste groups, the fragmentation of political hegemony within the Congress party, and kindling hope and aspirations among lower caste groups) but had been very limited in terms of their positive socioeconomic outcomes for the intended groups. In fact, he noted that quotas for jobs for SC, introduced since colonial times, remained largely unfilled due to the presence of indirect discrimination in the form of qualification barriers (as eligibility criteria) and lack of willingness on part of authorities to fill them </w:t>
            </w:r>
            <w:r w:rsidR="004D2F0C">
              <w:rPr>
                <w:rFonts w:ascii="Times New Roman" w:hAnsi="Times New Roman" w:cs="Times New Roman"/>
              </w:rPr>
              <w:fldChar w:fldCharType="begin" w:fldLock="1"/>
            </w:r>
            <w:r w:rsidR="004D2F0C">
              <w:rPr>
                <w:rFonts w:ascii="Times New Roman" w:hAnsi="Times New Roman" w:cs="Times New Roman"/>
              </w:rPr>
              <w:instrText>ADDIN CSL_CITATION {"citationItems":[{"id":"ITEM-1","itemData":{"DOI":"10.1080/14736480600824516","ISSN":"1473-6489","author":[{"dropping-particle":"","family":"Jaffrelot","given":"Christophe","non-dropping-particle":"","parse-names":false,"suffix":""}],"container-title":"India Review","id":"ITEM-1","issue":"2","issued":{"date-parts":[["2006"]]},"page":"173-189","title":"The impact of affirmative action in India: more political than socioeconomic","type":"article-journal","volume":"5"},"uris":["http://www.mendeley.com/documents/?uuid=b84b60f0-14b4-42c4-a8ff-08126e373489"]}],"mendeley":{"formattedCitation":"(20)","plainTextFormattedCitation":"(20)","previouslyFormattedCitation":"(19)"},"properties":{"noteIndex":0},"schema":"https://github.com/citation-style-language/schema/raw/master/csl-citation.json"}</w:instrText>
            </w:r>
            <w:r w:rsidR="004D2F0C">
              <w:rPr>
                <w:rFonts w:ascii="Times New Roman" w:hAnsi="Times New Roman" w:cs="Times New Roman"/>
              </w:rPr>
              <w:fldChar w:fldCharType="separate"/>
            </w:r>
            <w:r w:rsidR="004D2F0C" w:rsidRPr="00B73C3B">
              <w:rPr>
                <w:rFonts w:ascii="Times New Roman" w:hAnsi="Times New Roman" w:cs="Times New Roman"/>
                <w:noProof/>
              </w:rPr>
              <w:t>(20)</w:t>
            </w:r>
            <w:r w:rsidR="004D2F0C">
              <w:rPr>
                <w:rFonts w:ascii="Times New Roman" w:hAnsi="Times New Roman" w:cs="Times New Roman"/>
              </w:rPr>
              <w:fldChar w:fldCharType="end"/>
            </w:r>
            <w:r w:rsidR="004D2F0C">
              <w:rPr>
                <w:rFonts w:ascii="Times New Roman" w:hAnsi="Times New Roman" w:cs="Times New Roman"/>
              </w:rPr>
              <w:t xml:space="preserve">. For several decades, only the </w:t>
            </w:r>
            <w:r w:rsidR="004D2F0C">
              <w:rPr>
                <w:rFonts w:ascii="Times New Roman" w:hAnsi="Times New Roman" w:cs="Times New Roman"/>
              </w:rPr>
              <w:lastRenderedPageBreak/>
              <w:t xml:space="preserve">quotas for lower status government jobs were filled. Somewhat ironically, these were mainly positions as sanitation workers – occupations that marginalized groups were otherwise destined for in any case because of caste-based discrimination. The quotas for higher status civil service posts were not filled in any significant way till 1980s </w:t>
            </w:r>
            <w:r w:rsidR="004D2F0C">
              <w:rPr>
                <w:rFonts w:ascii="Times New Roman" w:hAnsi="Times New Roman" w:cs="Times New Roman"/>
              </w:rPr>
              <w:fldChar w:fldCharType="begin" w:fldLock="1"/>
            </w:r>
            <w:r w:rsidR="004D2F0C">
              <w:rPr>
                <w:rFonts w:ascii="Times New Roman" w:hAnsi="Times New Roman" w:cs="Times New Roman"/>
              </w:rPr>
              <w:instrText>ADDIN CSL_CITATION {"citationItems":[{"id":"ITEM-1","itemData":{"DOI":"10.1080/14736480600824516","ISSN":"1473-6489","author":[{"dropping-particle":"","family":"Jaffrelot","given":"Christophe","non-dropping-particle":"","parse-names":false,"suffix":""}],"container-title":"India Review","id":"ITEM-1","issue":"2","issued":{"date-parts":[["2006"]]},"page":"173-189","title":"The impact of affirmative action in India: more political than socioeconomic","type":"article-journal","volume":"5"},"uris":["http://www.mendeley.com/documents/?uuid=b84b60f0-14b4-42c4-a8ff-08126e373489"]}],"mendeley":{"formattedCitation":"(20)","plainTextFormattedCitation":"(20)","previouslyFormattedCitation":"(19)"},"properties":{"noteIndex":0},"schema":"https://github.com/citation-style-language/schema/raw/master/csl-citation.json"}</w:instrText>
            </w:r>
            <w:r w:rsidR="004D2F0C">
              <w:rPr>
                <w:rFonts w:ascii="Times New Roman" w:hAnsi="Times New Roman" w:cs="Times New Roman"/>
              </w:rPr>
              <w:fldChar w:fldCharType="separate"/>
            </w:r>
            <w:r w:rsidR="004D2F0C" w:rsidRPr="00B73C3B">
              <w:rPr>
                <w:rFonts w:ascii="Times New Roman" w:hAnsi="Times New Roman" w:cs="Times New Roman"/>
                <w:noProof/>
              </w:rPr>
              <w:t>(20)</w:t>
            </w:r>
            <w:r w:rsidR="004D2F0C">
              <w:rPr>
                <w:rFonts w:ascii="Times New Roman" w:hAnsi="Times New Roman" w:cs="Times New Roman"/>
              </w:rPr>
              <w:fldChar w:fldCharType="end"/>
            </w:r>
            <w:r w:rsidR="004D2F0C">
              <w:rPr>
                <w:rFonts w:ascii="Times New Roman" w:hAnsi="Times New Roman" w:cs="Times New Roman"/>
              </w:rPr>
              <w:t>. While this situation has certainly changed, our findings still point towards the limited direct impact of affirmative action, especially in the case of job quotas, but also a visible indirect impact through enhanced political representation of these groups, at least for SC and OBC.”</w:t>
            </w:r>
            <w:r w:rsidR="002B5752" w:rsidRPr="00ED331B">
              <w:rPr>
                <w:rFonts w:ascii="Times New Roman" w:hAnsi="Times New Roman" w:cs="Times New Roman"/>
                <w:sz w:val="22"/>
                <w:szCs w:val="22"/>
              </w:rPr>
              <w:t xml:space="preserve">  </w:t>
            </w:r>
          </w:p>
          <w:p w14:paraId="1EE9BBA7" w14:textId="77777777" w:rsidR="001B09ED" w:rsidRPr="00ED331B" w:rsidRDefault="001B09ED" w:rsidP="007165B7">
            <w:pPr>
              <w:rPr>
                <w:rFonts w:ascii="Times New Roman" w:hAnsi="Times New Roman" w:cs="Times New Roman"/>
                <w:sz w:val="22"/>
                <w:szCs w:val="22"/>
              </w:rPr>
            </w:pPr>
          </w:p>
          <w:p w14:paraId="07D0B356" w14:textId="77777777" w:rsidR="001B09ED" w:rsidRPr="00ED331B" w:rsidRDefault="001B09ED" w:rsidP="007165B7">
            <w:pPr>
              <w:rPr>
                <w:rFonts w:ascii="Times New Roman" w:hAnsi="Times New Roman" w:cs="Times New Roman"/>
                <w:sz w:val="22"/>
                <w:szCs w:val="22"/>
              </w:rPr>
            </w:pPr>
          </w:p>
          <w:p w14:paraId="6C7CB086" w14:textId="2298F5EB" w:rsidR="001B09ED" w:rsidRPr="00ED331B" w:rsidRDefault="001B09ED" w:rsidP="007165B7">
            <w:pPr>
              <w:rPr>
                <w:rFonts w:ascii="Times New Roman" w:hAnsi="Times New Roman" w:cs="Times New Roman"/>
                <w:sz w:val="22"/>
                <w:szCs w:val="22"/>
              </w:rPr>
            </w:pPr>
            <w:r w:rsidRPr="00ED331B">
              <w:rPr>
                <w:rFonts w:ascii="Times New Roman" w:hAnsi="Times New Roman" w:cs="Times New Roman"/>
                <w:sz w:val="22"/>
                <w:szCs w:val="22"/>
              </w:rPr>
              <w:t xml:space="preserve">See (line: </w:t>
            </w:r>
            <w:r w:rsidR="004D2F0C">
              <w:rPr>
                <w:rFonts w:ascii="Times New Roman" w:hAnsi="Times New Roman" w:cs="Times New Roman"/>
                <w:sz w:val="22"/>
                <w:szCs w:val="22"/>
              </w:rPr>
              <w:t>701-727</w:t>
            </w:r>
            <w:r w:rsidRPr="00ED331B">
              <w:rPr>
                <w:rFonts w:ascii="Times New Roman" w:hAnsi="Times New Roman" w:cs="Times New Roman"/>
                <w:sz w:val="22"/>
                <w:szCs w:val="22"/>
              </w:rPr>
              <w:t>):</w:t>
            </w:r>
          </w:p>
          <w:p w14:paraId="068CED0F" w14:textId="77777777" w:rsidR="00D928B6" w:rsidRPr="00ED331B" w:rsidRDefault="00D928B6" w:rsidP="007165B7">
            <w:pPr>
              <w:rPr>
                <w:rFonts w:ascii="Times New Roman" w:hAnsi="Times New Roman" w:cs="Times New Roman"/>
                <w:sz w:val="22"/>
                <w:szCs w:val="22"/>
              </w:rPr>
            </w:pPr>
          </w:p>
          <w:p w14:paraId="2A8DCE6B" w14:textId="21830CFE" w:rsidR="004D2F0C" w:rsidRDefault="001B09ED" w:rsidP="004D2F0C">
            <w:pPr>
              <w:widowControl w:val="0"/>
              <w:autoSpaceDE w:val="0"/>
              <w:autoSpaceDN w:val="0"/>
              <w:adjustRightInd w:val="0"/>
              <w:rPr>
                <w:rFonts w:ascii="Times New Roman" w:hAnsi="Times New Roman" w:cs="Times New Roman"/>
              </w:rPr>
            </w:pPr>
            <w:r w:rsidRPr="00ED331B">
              <w:rPr>
                <w:rFonts w:ascii="Times New Roman" w:hAnsi="Times New Roman" w:cs="Times New Roman"/>
                <w:sz w:val="22"/>
                <w:szCs w:val="22"/>
              </w:rPr>
              <w:t>“</w:t>
            </w:r>
            <w:r w:rsidR="004D2F0C">
              <w:rPr>
                <w:rFonts w:ascii="Times New Roman" w:hAnsi="Times New Roman" w:cs="Times New Roman"/>
              </w:rPr>
              <w:t xml:space="preserve">Furthermore, the reservations in medical education as well as the presence of minority-administered institutions operating in medical education should, in principle, enhance the representation of marginalized groups in healthcare workforce. Studies indicate that the discrimination in public healthcare delivery based on caste and social groups is a reality </w:t>
            </w:r>
            <w:r w:rsidR="004D2F0C">
              <w:rPr>
                <w:rFonts w:ascii="Times New Roman" w:hAnsi="Times New Roman" w:cs="Times New Roman"/>
              </w:rPr>
              <w:fldChar w:fldCharType="begin" w:fldLock="1"/>
            </w:r>
            <w:r w:rsidR="004D2F0C">
              <w:rPr>
                <w:rFonts w:ascii="Times New Roman" w:hAnsi="Times New Roman" w:cs="Times New Roman"/>
              </w:rPr>
              <w:instrText>ADDIN CSL_CITATION {"citationItems":[{"id":"ITEM-1","itemData":{"author":[{"dropping-particle":"","family":"Baru","given":"Rama","non-dropping-particle":"","parse-names":false,"suffix":""},{"dropping-particle":"","family":"Acharya","given":"Arnab","non-dropping-particle":"","parse-names":false,"suffix":""},{"dropping-particle":"","family":"Kumar","given":"A K Shiva","non-dropping-particle":"","parse-names":false,"suffix":""},{"dropping-particle":"","family":"Nagaraj","given":"K","non-dropping-particle":"","parse-names":false,"suffix":""}],"container-title":"Economic and Political Weekly","id":"ITEM-1","issue":"38","issued":{"date-parts":[["2010"]]},"page":"49-58","title":"Inequities in access to health services in India: caste, class and region","type":"article-journal","volume":"XLV"},"uris":["http://www.mendeley.com/documents/?uuid=19ff1f59-bb00-46fe-baf6-046eb53c60cd"]},{"id":"ITEM-2","itemData":{"ISBN":"9788177912067","author":[{"dropping-particle":"","family":"George","given":"Sobin","non-dropping-particle":"","parse-names":false,"suffix":""}],"id":"ITEM-2","issued":{"date-parts":[["2015"]]},"number":"350","number-of-pages":"1-14","publisher-place":"Bangalore","title":"Caste and care: is Indian healthcare delivery system favourable for dalits?","type":"report"},"uris":["http://www.mendeley.com/documents/?uuid=5cde1ea7-e11d-4e10-af24-691eceb38f92"]},{"id":"ITEM-3","itemData":{"DOI":"10.9790/0837-2209016569","author":[{"dropping-particle":"","family":"Shirsat","given":"Pravinkumar","non-dropping-particle":"","parse-names":false,"suffix":""}],"container-title":"Journal of Humanities and Social Sciences","id":"ITEM-3","issue":"9","issued":{"date-parts":[["2017"]]},"page":"65-69","title":"The chronicle of caste and the medical profession in India","type":"article-journal","volume":"22"},"uris":["http://www.mendeley.com/documents/?uuid=5de2975c-8890-401c-8dd7-38392788a155"]}],"mendeley":{"formattedCitation":"(32–34)","plainTextFormattedCitation":"(32–34)","previouslyFormattedCitation":"(31–33)"},"properties":{"noteIndex":0},"schema":"https://github.com/citation-style-language/schema/raw/master/csl-citation.json"}</w:instrText>
            </w:r>
            <w:r w:rsidR="004D2F0C">
              <w:rPr>
                <w:rFonts w:ascii="Times New Roman" w:hAnsi="Times New Roman" w:cs="Times New Roman"/>
              </w:rPr>
              <w:fldChar w:fldCharType="separate"/>
            </w:r>
            <w:r w:rsidR="004D2F0C" w:rsidRPr="00B73C3B">
              <w:rPr>
                <w:rFonts w:ascii="Times New Roman" w:hAnsi="Times New Roman" w:cs="Times New Roman"/>
                <w:noProof/>
              </w:rPr>
              <w:t>(32–34)</w:t>
            </w:r>
            <w:r w:rsidR="004D2F0C">
              <w:rPr>
                <w:rFonts w:ascii="Times New Roman" w:hAnsi="Times New Roman" w:cs="Times New Roman"/>
              </w:rPr>
              <w:fldChar w:fldCharType="end"/>
            </w:r>
            <w:r w:rsidR="004D2F0C">
              <w:rPr>
                <w:rFonts w:ascii="Times New Roman" w:hAnsi="Times New Roman" w:cs="Times New Roman"/>
              </w:rPr>
              <w:t xml:space="preserve">. There is underrepresentation of healthcare workers from marginalized social groups, more so in the cadres of physicians and surgeons </w:t>
            </w:r>
            <w:r w:rsidR="004D2F0C">
              <w:rPr>
                <w:rFonts w:ascii="Times New Roman" w:hAnsi="Times New Roman" w:cs="Times New Roman"/>
              </w:rPr>
              <w:fldChar w:fldCharType="begin" w:fldLock="1"/>
            </w:r>
            <w:r w:rsidR="004D2F0C">
              <w:rPr>
                <w:rFonts w:ascii="Times New Roman" w:hAnsi="Times New Roman" w:cs="Times New Roman"/>
              </w:rPr>
              <w:instrText>ADDIN CSL_CITATION {"citationItems":[{"id":"ITEM-1","itemData":{"ISBN":"9788177912067","author":[{"dropping-particle":"","family":"George","given":"Sobin","non-dropping-particle":"","parse-names":false,"suffix":""}],"id":"ITEM-1","issued":{"date-parts":[["2015"]]},"number":"350","number-of-pages":"1-14","publisher-place":"Bangalore","title":"Caste and care: is Indian healthcare delivery system favourable for dalits?","type":"report"},"uris":["http://www.mendeley.com/documents/?uuid=5cde1ea7-e11d-4e10-af24-691eceb38f92"]},{"id":"ITEM-2","itemData":{"DOI":"10.9790/0837-2209016569","author":[{"dropping-particle":"","family":"Shirsat","given":"Pravinkumar","non-dropping-particle":"","parse-names":false,"suffix":""}],"container-title":"Journal of Humanities and Social Sciences","id":"ITEM-2","issue":"9","issued":{"date-parts":[["2017"]]},"page":"65-69","title":"The chronicle of caste and the medical profession in India","type":"article-journal","volume":"22"},"uris":["http://www.mendeley.com/documents/?uuid=5de2975c-8890-401c-8dd7-38392788a155"]}],"mendeley":{"formattedCitation":"(33,34)","plainTextFormattedCitation":"(33,34)","previouslyFormattedCitation":"(32,33)"},"properties":{"noteIndex":0},"schema":"https://github.com/citation-style-language/schema/raw/master/csl-citation.json"}</w:instrText>
            </w:r>
            <w:r w:rsidR="004D2F0C">
              <w:rPr>
                <w:rFonts w:ascii="Times New Roman" w:hAnsi="Times New Roman" w:cs="Times New Roman"/>
              </w:rPr>
              <w:fldChar w:fldCharType="separate"/>
            </w:r>
            <w:r w:rsidR="004D2F0C" w:rsidRPr="00B73C3B">
              <w:rPr>
                <w:rFonts w:ascii="Times New Roman" w:hAnsi="Times New Roman" w:cs="Times New Roman"/>
                <w:noProof/>
              </w:rPr>
              <w:t>(33,34)</w:t>
            </w:r>
            <w:r w:rsidR="004D2F0C">
              <w:rPr>
                <w:rFonts w:ascii="Times New Roman" w:hAnsi="Times New Roman" w:cs="Times New Roman"/>
              </w:rPr>
              <w:fldChar w:fldCharType="end"/>
            </w:r>
            <w:r w:rsidR="004D2F0C">
              <w:rPr>
                <w:rFonts w:ascii="Times New Roman" w:hAnsi="Times New Roman" w:cs="Times New Roman"/>
              </w:rPr>
              <w:t xml:space="preserve">. This is shown to be one of the factors that contribute to an environment leading to discrimination in healthcare delivery. In fact, Dreze and Sen </w:t>
            </w:r>
            <w:r w:rsidR="004D2F0C">
              <w:rPr>
                <w:rFonts w:ascii="Times New Roman" w:hAnsi="Times New Roman" w:cs="Times New Roman"/>
              </w:rPr>
              <w:fldChar w:fldCharType="begin" w:fldLock="1"/>
            </w:r>
            <w:r w:rsidR="004D2F0C">
              <w:rPr>
                <w:rFonts w:ascii="Times New Roman" w:hAnsi="Times New Roman" w:cs="Times New Roman"/>
              </w:rPr>
              <w:instrText>ADDIN CSL_CITATION {"citationItems":[{"id":"ITEM-1","itemData":{"author":[{"dropping-particle":"","family":"Dreze","given":"Jean","non-dropping-particle":"","parse-names":false,"suffix":""},{"dropping-particle":"","family":"Sen","given":"Amartya","non-dropping-particle":"","parse-names":false,"suffix":""}],"chapter-number":"6","container-title":"India: development and participation","edition":"second","id":"ITEM-1","issued":{"date-parts":[["2002"]]},"page":"217","publisher-place":"New York","title":"Population, health and the environment","type":"chapter"},"uris":["http://www.mendeley.com/documents/?uuid=e7180339-3101-4aee-aea2-82d6eaf78696"]}],"mendeley":{"formattedCitation":"(35)","plainTextFormattedCitation":"(35)","previouslyFormattedCitation":"(34)"},"properties":{"noteIndex":0},"schema":"https://github.com/citation-style-language/schema/raw/master/csl-citation.json"}</w:instrText>
            </w:r>
            <w:r w:rsidR="004D2F0C">
              <w:rPr>
                <w:rFonts w:ascii="Times New Roman" w:hAnsi="Times New Roman" w:cs="Times New Roman"/>
              </w:rPr>
              <w:fldChar w:fldCharType="separate"/>
            </w:r>
            <w:r w:rsidR="004D2F0C" w:rsidRPr="00B73C3B">
              <w:rPr>
                <w:rFonts w:ascii="Times New Roman" w:hAnsi="Times New Roman" w:cs="Times New Roman"/>
                <w:noProof/>
              </w:rPr>
              <w:t>(35)</w:t>
            </w:r>
            <w:r w:rsidR="004D2F0C">
              <w:rPr>
                <w:rFonts w:ascii="Times New Roman" w:hAnsi="Times New Roman" w:cs="Times New Roman"/>
              </w:rPr>
              <w:fldChar w:fldCharType="end"/>
            </w:r>
            <w:r w:rsidR="004D2F0C">
              <w:t xml:space="preserve"> </w:t>
            </w:r>
            <w:r w:rsidR="004D2F0C">
              <w:rPr>
                <w:rFonts w:ascii="Times New Roman" w:hAnsi="Times New Roman" w:cs="Times New Roman"/>
              </w:rPr>
              <w:t>observed that one of the factors behind the better utilization and performance of the public health system in Tamil Nadu is narrowing of ‘social distance’ between doctors and patients with the recruitment of several doctors who are women and those coming fr</w:t>
            </w:r>
            <w:r w:rsidR="00340699">
              <w:rPr>
                <w:rFonts w:ascii="Times New Roman" w:hAnsi="Times New Roman" w:cs="Times New Roman"/>
              </w:rPr>
              <w:t>om marginalized social groups.”</w:t>
            </w:r>
          </w:p>
          <w:p w14:paraId="2A5192F6" w14:textId="77777777" w:rsidR="001B09ED" w:rsidRPr="00ED331B" w:rsidRDefault="001B09ED" w:rsidP="00E01E95">
            <w:pPr>
              <w:widowControl w:val="0"/>
              <w:autoSpaceDE w:val="0"/>
              <w:autoSpaceDN w:val="0"/>
              <w:adjustRightInd w:val="0"/>
              <w:rPr>
                <w:rFonts w:ascii="Times New Roman" w:hAnsi="Times New Roman" w:cs="Times New Roman"/>
                <w:sz w:val="22"/>
                <w:szCs w:val="22"/>
              </w:rPr>
            </w:pPr>
          </w:p>
          <w:p w14:paraId="167FAD6E" w14:textId="77777777" w:rsidR="007165B7" w:rsidRPr="00ED331B" w:rsidRDefault="001B09ED">
            <w:pPr>
              <w:rPr>
                <w:rFonts w:ascii="Times New Roman" w:hAnsi="Times New Roman" w:cs="Times New Roman"/>
                <w:sz w:val="22"/>
                <w:szCs w:val="22"/>
              </w:rPr>
            </w:pPr>
            <w:r w:rsidRPr="00ED331B">
              <w:rPr>
                <w:rFonts w:ascii="Times New Roman" w:hAnsi="Times New Roman" w:cs="Times New Roman"/>
                <w:sz w:val="22"/>
                <w:szCs w:val="22"/>
              </w:rPr>
              <w:t>There are other minor edits (see track-changes</w:t>
            </w:r>
            <w:r w:rsidR="00D928B6" w:rsidRPr="00ED331B">
              <w:rPr>
                <w:rFonts w:ascii="Times New Roman" w:hAnsi="Times New Roman" w:cs="Times New Roman"/>
                <w:sz w:val="22"/>
                <w:szCs w:val="22"/>
              </w:rPr>
              <w:t xml:space="preserve"> in the manuscript</w:t>
            </w:r>
            <w:r w:rsidRPr="00ED331B">
              <w:rPr>
                <w:rFonts w:ascii="Times New Roman" w:hAnsi="Times New Roman" w:cs="Times New Roman"/>
                <w:sz w:val="22"/>
                <w:szCs w:val="22"/>
              </w:rPr>
              <w:t xml:space="preserve">) to lift up the discussion in the paper. </w:t>
            </w:r>
          </w:p>
        </w:tc>
      </w:tr>
      <w:tr w:rsidR="00020904" w:rsidRPr="00ED331B" w14:paraId="0DDF8A7B" w14:textId="77777777" w:rsidTr="00A121AB">
        <w:tc>
          <w:tcPr>
            <w:tcW w:w="558" w:type="dxa"/>
          </w:tcPr>
          <w:p w14:paraId="48B52D5A" w14:textId="7ABD3F7E" w:rsidR="00020904" w:rsidRPr="00ED331B" w:rsidRDefault="002F700E">
            <w:pPr>
              <w:rPr>
                <w:rFonts w:ascii="Times New Roman" w:hAnsi="Times New Roman" w:cs="Times New Roman"/>
                <w:sz w:val="22"/>
                <w:szCs w:val="22"/>
              </w:rPr>
            </w:pPr>
            <w:r w:rsidRPr="00ED331B">
              <w:rPr>
                <w:rFonts w:ascii="Times New Roman" w:hAnsi="Times New Roman" w:cs="Times New Roman"/>
                <w:sz w:val="22"/>
                <w:szCs w:val="22"/>
              </w:rPr>
              <w:lastRenderedPageBreak/>
              <w:t>5</w:t>
            </w:r>
          </w:p>
        </w:tc>
        <w:tc>
          <w:tcPr>
            <w:tcW w:w="2880" w:type="dxa"/>
          </w:tcPr>
          <w:p w14:paraId="6999B41A" w14:textId="77777777" w:rsidR="00036BE0" w:rsidRPr="00ED331B" w:rsidRDefault="00036BE0" w:rsidP="00036BE0">
            <w:pPr>
              <w:autoSpaceDE w:val="0"/>
              <w:autoSpaceDN w:val="0"/>
              <w:adjustRightInd w:val="0"/>
              <w:rPr>
                <w:rFonts w:ascii="Times New Roman" w:hAnsi="Times New Roman" w:cs="Times New Roman"/>
                <w:color w:val="222222"/>
                <w:sz w:val="22"/>
                <w:szCs w:val="22"/>
              </w:rPr>
            </w:pPr>
            <w:r w:rsidRPr="00ED331B">
              <w:rPr>
                <w:rFonts w:ascii="Times New Roman" w:hAnsi="Times New Roman" w:cs="Times New Roman"/>
                <w:color w:val="222222"/>
                <w:sz w:val="22"/>
                <w:szCs w:val="22"/>
              </w:rPr>
              <w:t xml:space="preserve">In addition, as mentioned above there is need to make the links to ethics more explicit.  </w:t>
            </w:r>
          </w:p>
          <w:p w14:paraId="489F448D" w14:textId="77777777" w:rsidR="00020904" w:rsidRPr="00ED331B" w:rsidRDefault="00020904">
            <w:pPr>
              <w:rPr>
                <w:rFonts w:ascii="Times New Roman" w:hAnsi="Times New Roman" w:cs="Times New Roman"/>
                <w:sz w:val="22"/>
                <w:szCs w:val="22"/>
              </w:rPr>
            </w:pPr>
          </w:p>
        </w:tc>
        <w:tc>
          <w:tcPr>
            <w:tcW w:w="5940" w:type="dxa"/>
          </w:tcPr>
          <w:p w14:paraId="2115BFC6" w14:textId="6B7A0DD6" w:rsidR="00020904" w:rsidRPr="00ED331B" w:rsidRDefault="00340699">
            <w:pPr>
              <w:rPr>
                <w:rFonts w:ascii="Times New Roman" w:hAnsi="Times New Roman" w:cs="Times New Roman"/>
                <w:sz w:val="22"/>
                <w:szCs w:val="22"/>
              </w:rPr>
            </w:pPr>
            <w:r>
              <w:rPr>
                <w:rFonts w:ascii="Times New Roman" w:hAnsi="Times New Roman" w:cs="Times New Roman"/>
                <w:sz w:val="22"/>
                <w:szCs w:val="22"/>
              </w:rPr>
              <w:t>We t</w:t>
            </w:r>
            <w:r w:rsidR="001B09ED" w:rsidRPr="00ED331B">
              <w:rPr>
                <w:rFonts w:ascii="Times New Roman" w:hAnsi="Times New Roman" w:cs="Times New Roman"/>
                <w:sz w:val="22"/>
                <w:szCs w:val="22"/>
              </w:rPr>
              <w:t>hank</w:t>
            </w:r>
            <w:r>
              <w:rPr>
                <w:rFonts w:ascii="Times New Roman" w:hAnsi="Times New Roman" w:cs="Times New Roman"/>
                <w:sz w:val="22"/>
                <w:szCs w:val="22"/>
              </w:rPr>
              <w:t xml:space="preserve"> the reviewer</w:t>
            </w:r>
            <w:r w:rsidR="001B09ED" w:rsidRPr="00ED331B">
              <w:rPr>
                <w:rFonts w:ascii="Times New Roman" w:hAnsi="Times New Roman" w:cs="Times New Roman"/>
                <w:sz w:val="22"/>
                <w:szCs w:val="22"/>
              </w:rPr>
              <w:t xml:space="preserve"> for the suggestion. We have now revised the text in the Introduction as well as Conclusions </w:t>
            </w:r>
            <w:r w:rsidR="00D928B6" w:rsidRPr="00ED331B">
              <w:rPr>
                <w:rFonts w:ascii="Times New Roman" w:hAnsi="Times New Roman" w:cs="Times New Roman"/>
                <w:sz w:val="22"/>
                <w:szCs w:val="22"/>
              </w:rPr>
              <w:t>sections to make such link explicit.</w:t>
            </w:r>
          </w:p>
          <w:p w14:paraId="5A6ACDA5" w14:textId="77777777" w:rsidR="00D928B6" w:rsidRPr="00ED331B" w:rsidRDefault="00D928B6">
            <w:pPr>
              <w:rPr>
                <w:rFonts w:ascii="Times New Roman" w:hAnsi="Times New Roman" w:cs="Times New Roman"/>
                <w:sz w:val="22"/>
                <w:szCs w:val="22"/>
              </w:rPr>
            </w:pPr>
          </w:p>
          <w:p w14:paraId="4E600E0E" w14:textId="4471CE0E" w:rsidR="001B09ED" w:rsidRPr="00ED331B" w:rsidRDefault="001B09ED">
            <w:pPr>
              <w:rPr>
                <w:rFonts w:ascii="Times New Roman" w:hAnsi="Times New Roman" w:cs="Times New Roman"/>
                <w:sz w:val="22"/>
                <w:szCs w:val="22"/>
              </w:rPr>
            </w:pPr>
            <w:r w:rsidRPr="00ED331B">
              <w:rPr>
                <w:rFonts w:ascii="Times New Roman" w:hAnsi="Times New Roman" w:cs="Times New Roman"/>
                <w:sz w:val="22"/>
                <w:szCs w:val="22"/>
              </w:rPr>
              <w:t>See (line</w:t>
            </w:r>
            <w:r w:rsidR="00D928B6" w:rsidRPr="00ED331B">
              <w:rPr>
                <w:rFonts w:ascii="Times New Roman" w:hAnsi="Times New Roman" w:cs="Times New Roman"/>
                <w:sz w:val="22"/>
                <w:szCs w:val="22"/>
              </w:rPr>
              <w:t>s</w:t>
            </w:r>
            <w:r w:rsidRPr="00ED331B">
              <w:rPr>
                <w:rFonts w:ascii="Times New Roman" w:hAnsi="Times New Roman" w:cs="Times New Roman"/>
                <w:sz w:val="22"/>
                <w:szCs w:val="22"/>
              </w:rPr>
              <w:t>:</w:t>
            </w:r>
            <w:r w:rsidR="00D928B6" w:rsidRPr="00ED331B">
              <w:rPr>
                <w:rFonts w:ascii="Times New Roman" w:hAnsi="Times New Roman" w:cs="Times New Roman"/>
                <w:sz w:val="22"/>
                <w:szCs w:val="22"/>
              </w:rPr>
              <w:t xml:space="preserve"> </w:t>
            </w:r>
            <w:r w:rsidR="00340699">
              <w:rPr>
                <w:rFonts w:ascii="Times New Roman" w:hAnsi="Times New Roman" w:cs="Times New Roman"/>
                <w:sz w:val="22"/>
                <w:szCs w:val="22"/>
              </w:rPr>
              <w:t>104-114</w:t>
            </w:r>
            <w:r w:rsidRPr="00ED331B">
              <w:rPr>
                <w:rFonts w:ascii="Times New Roman" w:hAnsi="Times New Roman" w:cs="Times New Roman"/>
                <w:sz w:val="22"/>
                <w:szCs w:val="22"/>
              </w:rPr>
              <w:t>)</w:t>
            </w:r>
          </w:p>
          <w:p w14:paraId="56080421" w14:textId="77777777" w:rsidR="001B09ED" w:rsidRPr="00ED331B" w:rsidRDefault="001B09ED">
            <w:pPr>
              <w:rPr>
                <w:rFonts w:ascii="Times New Roman" w:hAnsi="Times New Roman" w:cs="Times New Roman"/>
                <w:sz w:val="22"/>
                <w:szCs w:val="22"/>
              </w:rPr>
            </w:pPr>
          </w:p>
          <w:p w14:paraId="0C93460D" w14:textId="3621C8CE" w:rsidR="001B09ED" w:rsidRPr="00ED331B" w:rsidRDefault="001B09ED">
            <w:pPr>
              <w:rPr>
                <w:rFonts w:ascii="Times New Roman" w:hAnsi="Times New Roman" w:cs="Times New Roman"/>
                <w:sz w:val="22"/>
                <w:szCs w:val="22"/>
              </w:rPr>
            </w:pPr>
            <w:r w:rsidRPr="00ED331B">
              <w:rPr>
                <w:rFonts w:ascii="Times New Roman" w:hAnsi="Times New Roman" w:cs="Times New Roman"/>
                <w:sz w:val="22"/>
                <w:szCs w:val="22"/>
              </w:rPr>
              <w:t>“</w:t>
            </w:r>
            <w:r w:rsidR="00340699">
              <w:rPr>
                <w:rFonts w:ascii="Times New Roman" w:hAnsi="Times New Roman" w:cs="Times New Roman"/>
              </w:rPr>
              <w:t xml:space="preserve">In this sense, affirmative action for fairer distribution of resources relating to the social determinants of health is crucial in enhancing health equity. However, </w:t>
            </w:r>
            <w:r w:rsidR="00340699" w:rsidRPr="002374F5">
              <w:rPr>
                <w:rFonts w:ascii="Times New Roman" w:hAnsi="Times New Roman" w:cs="Times New Roman"/>
              </w:rPr>
              <w:t xml:space="preserve">Burns and </w:t>
            </w:r>
            <w:proofErr w:type="spellStart"/>
            <w:r w:rsidR="00340699" w:rsidRPr="002374F5">
              <w:rPr>
                <w:rFonts w:ascii="Times New Roman" w:hAnsi="Times New Roman" w:cs="Times New Roman"/>
              </w:rPr>
              <w:t>Schapper</w:t>
            </w:r>
            <w:proofErr w:type="spellEnd"/>
            <w:r w:rsidR="00340699" w:rsidRPr="002374F5">
              <w:rPr>
                <w:rFonts w:ascii="Times New Roman" w:hAnsi="Times New Roman" w:cs="Times New Roman"/>
              </w:rPr>
              <w:t xml:space="preserve"> </w:t>
            </w:r>
            <w:r w:rsidR="00340699" w:rsidRPr="002374F5">
              <w:rPr>
                <w:rFonts w:ascii="Times New Roman" w:hAnsi="Times New Roman" w:cs="Times New Roman"/>
              </w:rPr>
              <w:fldChar w:fldCharType="begin" w:fldLock="1"/>
            </w:r>
            <w:r w:rsidR="00340699" w:rsidRPr="002374F5">
              <w:rPr>
                <w:rFonts w:ascii="Times New Roman" w:hAnsi="Times New Roman" w:cs="Times New Roman"/>
              </w:rPr>
              <w:instrText>ADDIN CSL_CITATION {"citationItems":[{"id":"ITEM-1","itemData":{"DOI":"10.1007/sl0551-007-9625-8","author":[{"dropping-particle":"","family":"Burns","given":"Prue","non-dropping-particle":"","parse-names":false,"suffix":""},{"dropping-particle":"","family":"Schapper","given":"Jan","non-dropping-particle":"","parse-names":false,"suffix":""}],"container-title":"Journal of Business Ethics","id":"ITEM-1","issued":{"date-parts":[["2008"]]},"page":"369-379","title":"The ethical case for affirmative action","type":"article-journal","volume":"83"},"uris":["http://www.mendeley.com/documents/?uuid=8d2692f7-0e7b-42d2-922b-97a13b13fabc"]}],"mendeley":{"formattedCitation":"(5)","plainTextFormattedCitation":"(5)","previouslyFormattedCitation":"(5)"},"properties":{"noteIndex":0},"schema":"https://github.com/citation-style-language/schema/raw/master/csl-citation.json"}</w:instrText>
            </w:r>
            <w:r w:rsidR="00340699" w:rsidRPr="002374F5">
              <w:rPr>
                <w:rFonts w:ascii="Times New Roman" w:hAnsi="Times New Roman" w:cs="Times New Roman"/>
              </w:rPr>
              <w:fldChar w:fldCharType="separate"/>
            </w:r>
            <w:r w:rsidR="00340699" w:rsidRPr="002374F5">
              <w:rPr>
                <w:rFonts w:ascii="Times New Roman" w:hAnsi="Times New Roman" w:cs="Times New Roman"/>
                <w:noProof/>
              </w:rPr>
              <w:t>(5)</w:t>
            </w:r>
            <w:r w:rsidR="00340699" w:rsidRPr="002374F5">
              <w:rPr>
                <w:rFonts w:ascii="Times New Roman" w:hAnsi="Times New Roman" w:cs="Times New Roman"/>
              </w:rPr>
              <w:fldChar w:fldCharType="end"/>
            </w:r>
            <w:r w:rsidR="00340699" w:rsidRPr="004C1E75">
              <w:t xml:space="preserve"> </w:t>
            </w:r>
            <w:r w:rsidR="00340699" w:rsidRPr="004C1E75">
              <w:rPr>
                <w:rFonts w:ascii="Times New Roman" w:hAnsi="Times New Roman" w:cs="Times New Roman"/>
              </w:rPr>
              <w:t>as well as Bacchi</w:t>
            </w:r>
            <w:r w:rsidR="00340699">
              <w:rPr>
                <w:rFonts w:ascii="Times New Roman" w:hAnsi="Times New Roman" w:cs="Times New Roman"/>
              </w:rPr>
              <w:t xml:space="preserve"> </w:t>
            </w:r>
            <w:r w:rsidR="00340699">
              <w:rPr>
                <w:rFonts w:ascii="Times New Roman" w:hAnsi="Times New Roman" w:cs="Times New Roman"/>
              </w:rPr>
              <w:fldChar w:fldCharType="begin" w:fldLock="1"/>
            </w:r>
            <w:r w:rsidR="00340699">
              <w:rPr>
                <w:rFonts w:ascii="Times New Roman" w:hAnsi="Times New Roman" w:cs="Times New Roman"/>
              </w:rPr>
              <w:instrText>ADDIN CSL_CITATION {"citationItems":[{"id":"ITEM-1","itemData":{"DOI":"10.1080/1350176042000164334","ISSN":"13501763","abstract":"This paper uses debates around affirmative/positive action to offer insights into the usefulness and limitations of discourse approaches to policy analysis. It illustrates that a particular understanding of affirmative action as preferential treatment has become hegemonic. This understanding relies upon a view that background social rules are generally fair, and that members of groups targeted by affirmative action need 'special help' to succeed. The basis of the privilege of dominant social groups is invisible in this conceptualization. The ubiquity of this understanding reveals the extent to which large numbers of social actors, including many who claim to be committed to substantive structural change, accept the premises of equal opportunity. My goal is to achieve a rebalancing in thinking about the relationship between discourse and political subjectivity by emphasizing the embeddedness, the taken-for-granted status, of certain belief systems. This rebalancing signals the need for reformers to interrogate closely the conceptual frameworks which shape their proposals.","author":[{"dropping-particle":"","family":"Bacchi","given":"Carol","non-dropping-particle":"","parse-names":false,"suffix":""}],"container-title":"Journal of European Public Policy","id":"ITEM-1","issue":"1","issued":{"date-parts":[["2004"]]},"page":"128-146","title":"Policy and discourse: challenging the construction of affirmative action as preferential treatment","type":"article-journal","volume":"11"},"uris":["http://www.mendeley.com/documents/?uuid=9588a85f-27f5-4ab8-bf70-433f45e581b2"]}],"mendeley":{"formattedCitation":"(6)","plainTextFormattedCitation":"(6)","previouslyFormattedCitation":"(6)"},"properties":{"noteIndex":0},"schema":"https://github.com/citation-style-language/schema/raw/master/csl-citation.json"}</w:instrText>
            </w:r>
            <w:r w:rsidR="00340699">
              <w:rPr>
                <w:rFonts w:ascii="Times New Roman" w:hAnsi="Times New Roman" w:cs="Times New Roman"/>
              </w:rPr>
              <w:fldChar w:fldCharType="separate"/>
            </w:r>
            <w:r w:rsidR="00340699" w:rsidRPr="00071BC3">
              <w:rPr>
                <w:rFonts w:ascii="Times New Roman" w:hAnsi="Times New Roman" w:cs="Times New Roman"/>
                <w:noProof/>
              </w:rPr>
              <w:t>(6)</w:t>
            </w:r>
            <w:r w:rsidR="00340699">
              <w:rPr>
                <w:rFonts w:ascii="Times New Roman" w:hAnsi="Times New Roman" w:cs="Times New Roman"/>
              </w:rPr>
              <w:fldChar w:fldCharType="end"/>
            </w:r>
            <w:r w:rsidR="00340699">
              <w:t xml:space="preserve"> </w:t>
            </w:r>
            <w:r w:rsidR="00340699">
              <w:rPr>
                <w:rFonts w:ascii="Times New Roman" w:hAnsi="Times New Roman" w:cs="Times New Roman"/>
              </w:rPr>
              <w:t xml:space="preserve">highlight that dominant discourses brand affirmative action as ‘preferential </w:t>
            </w:r>
            <w:r w:rsidR="00340699">
              <w:rPr>
                <w:rFonts w:ascii="Times New Roman" w:hAnsi="Times New Roman" w:cs="Times New Roman"/>
              </w:rPr>
              <w:lastRenderedPageBreak/>
              <w:t xml:space="preserve">treatment’ (often couched in language of equal opportunity policies) or simply  ‘diversity management’. This interpretation effectively locate the ‘problem’ within the social groups that are the targets of affirmative action, as if they inherently lacked ‘merit’ and needed ‘help’ to overcome their disadvantage. Such discourse importantly ignores the role of dominant groups in constructing ideas of ‘merit’ and ‘assessment’, and the ethical implications of such constructs. These authors rather promote affirmative action as a means to address social injustice inflicted upon certain social groups, making a strong ethical case for such action </w:t>
            </w:r>
            <w:r w:rsidR="00340699">
              <w:rPr>
                <w:rFonts w:ascii="Times New Roman" w:hAnsi="Times New Roman" w:cs="Times New Roman"/>
              </w:rPr>
              <w:fldChar w:fldCharType="begin" w:fldLock="1"/>
            </w:r>
            <w:r w:rsidR="00340699">
              <w:rPr>
                <w:rFonts w:ascii="Times New Roman" w:hAnsi="Times New Roman" w:cs="Times New Roman"/>
              </w:rPr>
              <w:instrText>ADDIN CSL_CITATION {"citationItems":[{"id":"ITEM-1","itemData":{"DOI":"10.1007/sl0551-007-9625-8","author":[{"dropping-particle":"","family":"Burns","given":"Prue","non-dropping-particle":"","parse-names":false,"suffix":""},{"dropping-particle":"","family":"Schapper","given":"Jan","non-dropping-particle":"","parse-names":false,"suffix":""}],"container-title":"Journal of Business Ethics","id":"ITEM-1","issued":{"date-parts":[["2008"]]},"page":"369-379","title":"The ethical case for affirmative action","type":"article-journal","volume":"83"},"uris":["http://www.mendeley.com/documents/?uuid=8d2692f7-0e7b-42d2-922b-97a13b13fabc"]},{"id":"ITEM-2","itemData":{"DOI":"10.1080/1350176042000164334","ISSN":"13501763","abstract":"This paper uses debates around affirmative/positive action to offer insights into the usefulness and limitations of discourse approaches to policy analysis. It illustrates that a particular understanding of affirmative action as preferential treatment has become hegemonic. This understanding relies upon a view that background social rules are generally fair, and that members of groups targeted by affirmative action need 'special help' to succeed. The basis of the privilege of dominant social groups is invisible in this conceptualization. The ubiquity of this understanding reveals the extent to which large numbers of social actors, including many who claim to be committed to substantive structural change, accept the premises of equal opportunity. My goal is to achieve a rebalancing in thinking about the relationship between discourse and political subjectivity by emphasizing the embeddedness, the taken-for-granted status, of certain belief systems. This rebalancing signals the need for reformers to interrogate closely the conceptual frameworks which shape their proposals.","author":[{"dropping-particle":"","family":"Bacchi","given":"Carol","non-dropping-particle":"","parse-names":false,"suffix":""}],"container-title":"Journal of European Public Policy","id":"ITEM-2","issue":"1","issued":{"date-parts":[["2004"]]},"page":"128-146","title":"Policy and discourse: challenging the construction of affirmative action as preferential treatment","type":"article-journal","volume":"11"},"uris":["http://www.mendeley.com/documents/?uuid=9588a85f-27f5-4ab8-bf70-433f45e581b2"]}],"mendeley":{"formattedCitation":"(5,6)","plainTextFormattedCitation":"(5,6)","previouslyFormattedCitation":"(5,6)"},"properties":{"noteIndex":0},"schema":"https://github.com/citation-style-language/schema/raw/master/csl-citation.json"}</w:instrText>
            </w:r>
            <w:r w:rsidR="00340699">
              <w:rPr>
                <w:rFonts w:ascii="Times New Roman" w:hAnsi="Times New Roman" w:cs="Times New Roman"/>
              </w:rPr>
              <w:fldChar w:fldCharType="separate"/>
            </w:r>
            <w:r w:rsidR="00340699" w:rsidRPr="00071BC3">
              <w:rPr>
                <w:rFonts w:ascii="Times New Roman" w:hAnsi="Times New Roman" w:cs="Times New Roman"/>
                <w:noProof/>
              </w:rPr>
              <w:t>(5,6)</w:t>
            </w:r>
            <w:r w:rsidR="00340699">
              <w:rPr>
                <w:rFonts w:ascii="Times New Roman" w:hAnsi="Times New Roman" w:cs="Times New Roman"/>
              </w:rPr>
              <w:fldChar w:fldCharType="end"/>
            </w:r>
            <w:r w:rsidR="00340699">
              <w:rPr>
                <w:rFonts w:ascii="Times New Roman" w:hAnsi="Times New Roman" w:cs="Times New Roman"/>
              </w:rPr>
              <w:t>.</w:t>
            </w:r>
            <w:r w:rsidRPr="00ED331B">
              <w:rPr>
                <w:rFonts w:ascii="Times New Roman" w:hAnsi="Times New Roman" w:cs="Times New Roman"/>
                <w:sz w:val="22"/>
                <w:szCs w:val="22"/>
              </w:rPr>
              <w:t>”</w:t>
            </w:r>
          </w:p>
          <w:p w14:paraId="08F30EF5" w14:textId="77777777" w:rsidR="001B09ED" w:rsidRPr="00ED331B" w:rsidRDefault="001B09ED">
            <w:pPr>
              <w:rPr>
                <w:rFonts w:ascii="Times New Roman" w:hAnsi="Times New Roman" w:cs="Times New Roman"/>
                <w:sz w:val="22"/>
                <w:szCs w:val="22"/>
              </w:rPr>
            </w:pPr>
          </w:p>
          <w:p w14:paraId="6F918340" w14:textId="49215B34" w:rsidR="001B09ED" w:rsidRPr="00ED331B" w:rsidRDefault="001B09ED">
            <w:pPr>
              <w:rPr>
                <w:rFonts w:ascii="Times New Roman" w:hAnsi="Times New Roman" w:cs="Times New Roman"/>
                <w:sz w:val="22"/>
                <w:szCs w:val="22"/>
              </w:rPr>
            </w:pPr>
            <w:r w:rsidRPr="00ED331B">
              <w:rPr>
                <w:rFonts w:ascii="Times New Roman" w:hAnsi="Times New Roman" w:cs="Times New Roman"/>
                <w:sz w:val="22"/>
                <w:szCs w:val="22"/>
              </w:rPr>
              <w:t xml:space="preserve">See (line: </w:t>
            </w:r>
            <w:r w:rsidR="00340699">
              <w:rPr>
                <w:rFonts w:ascii="Times New Roman" w:hAnsi="Times New Roman" w:cs="Times New Roman"/>
                <w:sz w:val="22"/>
                <w:szCs w:val="22"/>
              </w:rPr>
              <w:t>1123-1125</w:t>
            </w:r>
            <w:r w:rsidRPr="00ED331B">
              <w:rPr>
                <w:rFonts w:ascii="Times New Roman" w:hAnsi="Times New Roman" w:cs="Times New Roman"/>
                <w:sz w:val="22"/>
                <w:szCs w:val="22"/>
              </w:rPr>
              <w:t>)</w:t>
            </w:r>
          </w:p>
          <w:p w14:paraId="3C651B92" w14:textId="7567FBAF" w:rsidR="001B09ED" w:rsidRPr="00ED331B" w:rsidRDefault="001B09ED">
            <w:pPr>
              <w:rPr>
                <w:rFonts w:ascii="Times New Roman" w:hAnsi="Times New Roman" w:cs="Times New Roman"/>
                <w:sz w:val="22"/>
                <w:szCs w:val="22"/>
              </w:rPr>
            </w:pPr>
            <w:r w:rsidRPr="00ED331B">
              <w:rPr>
                <w:rFonts w:ascii="Times New Roman" w:hAnsi="Times New Roman" w:cs="Times New Roman"/>
                <w:sz w:val="22"/>
                <w:szCs w:val="22"/>
              </w:rPr>
              <w:t>“</w:t>
            </w:r>
            <w:r w:rsidR="00340699">
              <w:rPr>
                <w:rFonts w:ascii="Times New Roman" w:hAnsi="Times New Roman" w:cs="Times New Roman"/>
              </w:rPr>
              <w:t>Affirmative action policies that aim to address social injustice and enhance equitable access to social determinants of health are an important determinant of health equity. India is known for its early reforms to bring in affirmative action.</w:t>
            </w:r>
            <w:r w:rsidR="00340699">
              <w:rPr>
                <w:rFonts w:ascii="Times New Roman" w:hAnsi="Times New Roman" w:cs="Times New Roman"/>
                <w:sz w:val="22"/>
                <w:szCs w:val="22"/>
              </w:rPr>
              <w:t>”</w:t>
            </w:r>
          </w:p>
        </w:tc>
      </w:tr>
      <w:tr w:rsidR="002F700E" w:rsidRPr="00ED331B" w14:paraId="05796148" w14:textId="77777777" w:rsidTr="00B3073E">
        <w:tc>
          <w:tcPr>
            <w:tcW w:w="9378" w:type="dxa"/>
            <w:gridSpan w:val="3"/>
          </w:tcPr>
          <w:p w14:paraId="26362014" w14:textId="6013CAC0" w:rsidR="002F700E" w:rsidRPr="00ED331B" w:rsidRDefault="002F700E" w:rsidP="002F700E">
            <w:pPr>
              <w:jc w:val="center"/>
              <w:rPr>
                <w:rFonts w:ascii="Times New Roman" w:hAnsi="Times New Roman" w:cs="Times New Roman"/>
                <w:sz w:val="22"/>
                <w:szCs w:val="22"/>
              </w:rPr>
            </w:pPr>
            <w:r w:rsidRPr="00ED331B">
              <w:rPr>
                <w:rFonts w:ascii="Times New Roman" w:hAnsi="Times New Roman" w:cs="Times New Roman"/>
                <w:sz w:val="22"/>
                <w:szCs w:val="22"/>
              </w:rPr>
              <w:lastRenderedPageBreak/>
              <w:t>Reviewer-2</w:t>
            </w:r>
          </w:p>
        </w:tc>
      </w:tr>
      <w:tr w:rsidR="002F700E" w:rsidRPr="00ED331B" w14:paraId="79AFED8E" w14:textId="77777777" w:rsidTr="00A121AB">
        <w:tc>
          <w:tcPr>
            <w:tcW w:w="558" w:type="dxa"/>
          </w:tcPr>
          <w:p w14:paraId="53D04D60" w14:textId="4939BBAF" w:rsidR="002F700E" w:rsidRPr="00ED331B" w:rsidRDefault="002F700E">
            <w:pPr>
              <w:rPr>
                <w:rFonts w:ascii="Times New Roman" w:hAnsi="Times New Roman" w:cs="Times New Roman"/>
                <w:sz w:val="22"/>
                <w:szCs w:val="22"/>
              </w:rPr>
            </w:pPr>
            <w:r w:rsidRPr="00ED331B">
              <w:rPr>
                <w:rFonts w:ascii="Times New Roman" w:hAnsi="Times New Roman" w:cs="Times New Roman"/>
                <w:sz w:val="22"/>
                <w:szCs w:val="22"/>
              </w:rPr>
              <w:t>6</w:t>
            </w:r>
          </w:p>
        </w:tc>
        <w:tc>
          <w:tcPr>
            <w:tcW w:w="2880" w:type="dxa"/>
          </w:tcPr>
          <w:p w14:paraId="0A18369F" w14:textId="16315D6B" w:rsidR="002F700E" w:rsidRPr="00ED331B" w:rsidRDefault="002F700E" w:rsidP="002F700E">
            <w:pPr>
              <w:widowControl w:val="0"/>
              <w:autoSpaceDE w:val="0"/>
              <w:autoSpaceDN w:val="0"/>
              <w:adjustRightInd w:val="0"/>
              <w:rPr>
                <w:rFonts w:ascii="Times New Roman" w:hAnsi="Times New Roman" w:cs="Times New Roman"/>
                <w:sz w:val="22"/>
                <w:szCs w:val="22"/>
              </w:rPr>
            </w:pPr>
            <w:r w:rsidRPr="00ED331B">
              <w:rPr>
                <w:rFonts w:ascii="Times New Roman" w:hAnsi="Times New Roman" w:cs="Times New Roman"/>
                <w:bCs/>
                <w:sz w:val="22"/>
                <w:szCs w:val="22"/>
              </w:rPr>
              <w:t>The paper looks at how the various policies have tried to solve inequity in education, health and governance and is relevant.</w:t>
            </w:r>
          </w:p>
        </w:tc>
        <w:tc>
          <w:tcPr>
            <w:tcW w:w="5940" w:type="dxa"/>
            <w:vMerge w:val="restart"/>
          </w:tcPr>
          <w:p w14:paraId="5DF42157" w14:textId="312F682E" w:rsidR="002F700E" w:rsidRPr="00ED331B" w:rsidRDefault="00340699">
            <w:pPr>
              <w:rPr>
                <w:rFonts w:ascii="Times New Roman" w:hAnsi="Times New Roman" w:cs="Times New Roman"/>
                <w:sz w:val="22"/>
                <w:szCs w:val="22"/>
              </w:rPr>
            </w:pPr>
            <w:r>
              <w:rPr>
                <w:rFonts w:ascii="Times New Roman" w:hAnsi="Times New Roman" w:cs="Times New Roman"/>
                <w:sz w:val="22"/>
                <w:szCs w:val="22"/>
              </w:rPr>
              <w:t xml:space="preserve">We very much appreciate these positive comments from the reviewer. </w:t>
            </w:r>
          </w:p>
        </w:tc>
      </w:tr>
      <w:tr w:rsidR="002F700E" w:rsidRPr="00ED331B" w14:paraId="1CF8ED44" w14:textId="77777777" w:rsidTr="00A121AB">
        <w:tc>
          <w:tcPr>
            <w:tcW w:w="558" w:type="dxa"/>
          </w:tcPr>
          <w:p w14:paraId="6D395074" w14:textId="46E20C9A" w:rsidR="002F700E" w:rsidRPr="00ED331B" w:rsidRDefault="002F700E">
            <w:pPr>
              <w:rPr>
                <w:rFonts w:ascii="Times New Roman" w:hAnsi="Times New Roman" w:cs="Times New Roman"/>
                <w:sz w:val="22"/>
                <w:szCs w:val="22"/>
              </w:rPr>
            </w:pPr>
            <w:r w:rsidRPr="00ED331B">
              <w:rPr>
                <w:rFonts w:ascii="Times New Roman" w:hAnsi="Times New Roman" w:cs="Times New Roman"/>
                <w:sz w:val="22"/>
                <w:szCs w:val="22"/>
              </w:rPr>
              <w:t>7</w:t>
            </w:r>
          </w:p>
        </w:tc>
        <w:tc>
          <w:tcPr>
            <w:tcW w:w="2880" w:type="dxa"/>
          </w:tcPr>
          <w:p w14:paraId="35196142" w14:textId="7E2CC292" w:rsidR="002F700E" w:rsidRPr="00ED331B" w:rsidRDefault="002F700E" w:rsidP="002F700E">
            <w:pPr>
              <w:rPr>
                <w:rFonts w:ascii="Times New Roman" w:hAnsi="Times New Roman" w:cs="Times New Roman"/>
                <w:sz w:val="22"/>
                <w:szCs w:val="22"/>
                <w:u w:val="single"/>
              </w:rPr>
            </w:pPr>
            <w:r w:rsidRPr="00ED331B">
              <w:rPr>
                <w:rFonts w:ascii="Times New Roman" w:hAnsi="Times New Roman" w:cs="Times New Roman"/>
                <w:color w:val="222222"/>
                <w:sz w:val="22"/>
                <w:szCs w:val="22"/>
              </w:rPr>
              <w:t xml:space="preserve">It is </w:t>
            </w:r>
            <w:r w:rsidRPr="00ED331B">
              <w:rPr>
                <w:rFonts w:ascii="Times New Roman" w:hAnsi="Times New Roman" w:cs="Times New Roman"/>
                <w:bCs/>
                <w:color w:val="222222"/>
                <w:sz w:val="22"/>
                <w:szCs w:val="22"/>
                <w:shd w:val="clear" w:color="auto" w:fill="FFFFFF"/>
              </w:rPr>
              <w:t>completely about the Indian context though the working team included people from other countries.</w:t>
            </w:r>
          </w:p>
        </w:tc>
        <w:tc>
          <w:tcPr>
            <w:tcW w:w="5940" w:type="dxa"/>
            <w:vMerge/>
          </w:tcPr>
          <w:p w14:paraId="29B4ED1B" w14:textId="77777777" w:rsidR="002F700E" w:rsidRPr="00ED331B" w:rsidRDefault="002F700E">
            <w:pPr>
              <w:rPr>
                <w:rFonts w:ascii="Times New Roman" w:hAnsi="Times New Roman" w:cs="Times New Roman"/>
                <w:sz w:val="22"/>
                <w:szCs w:val="22"/>
              </w:rPr>
            </w:pPr>
          </w:p>
        </w:tc>
      </w:tr>
      <w:tr w:rsidR="002F700E" w:rsidRPr="00ED331B" w14:paraId="2C0DD09E" w14:textId="77777777" w:rsidTr="00A121AB">
        <w:tc>
          <w:tcPr>
            <w:tcW w:w="558" w:type="dxa"/>
          </w:tcPr>
          <w:p w14:paraId="14B315FC" w14:textId="690A5C97" w:rsidR="002F700E" w:rsidRPr="00ED331B" w:rsidRDefault="002F700E">
            <w:pPr>
              <w:rPr>
                <w:rFonts w:ascii="Times New Roman" w:hAnsi="Times New Roman" w:cs="Times New Roman"/>
                <w:sz w:val="22"/>
                <w:szCs w:val="22"/>
              </w:rPr>
            </w:pPr>
            <w:r w:rsidRPr="00ED331B">
              <w:rPr>
                <w:rFonts w:ascii="Times New Roman" w:hAnsi="Times New Roman" w:cs="Times New Roman"/>
                <w:sz w:val="22"/>
                <w:szCs w:val="22"/>
              </w:rPr>
              <w:t>8</w:t>
            </w:r>
          </w:p>
        </w:tc>
        <w:tc>
          <w:tcPr>
            <w:tcW w:w="2880" w:type="dxa"/>
          </w:tcPr>
          <w:p w14:paraId="355F1494" w14:textId="77777777" w:rsidR="002F700E" w:rsidRPr="00ED331B" w:rsidRDefault="002F700E" w:rsidP="00036BE0">
            <w:pPr>
              <w:autoSpaceDE w:val="0"/>
              <w:autoSpaceDN w:val="0"/>
              <w:adjustRightInd w:val="0"/>
              <w:rPr>
                <w:rFonts w:ascii="Times New Roman" w:hAnsi="Times New Roman" w:cs="Times New Roman"/>
                <w:color w:val="222222"/>
                <w:sz w:val="22"/>
                <w:szCs w:val="22"/>
              </w:rPr>
            </w:pPr>
            <w:r w:rsidRPr="00ED331B">
              <w:rPr>
                <w:rFonts w:ascii="Times New Roman" w:hAnsi="Times New Roman" w:cs="Times New Roman"/>
                <w:bCs/>
                <w:color w:val="222222"/>
                <w:sz w:val="22"/>
                <w:szCs w:val="22"/>
              </w:rPr>
              <w:t xml:space="preserve">The paper </w:t>
            </w:r>
            <w:r w:rsidRPr="00ED331B">
              <w:rPr>
                <w:rFonts w:ascii="Times New Roman" w:hAnsi="Times New Roman" w:cs="Times New Roman"/>
                <w:bCs/>
                <w:color w:val="222222"/>
                <w:sz w:val="22"/>
                <w:szCs w:val="22"/>
                <w:shd w:val="clear" w:color="auto" w:fill="FFFFFF"/>
              </w:rPr>
              <w:t>will have an impact on the way new researches are coming in the context of equity. This will also help policy makers to decide on what needs to be evaluated.</w:t>
            </w:r>
          </w:p>
        </w:tc>
        <w:tc>
          <w:tcPr>
            <w:tcW w:w="5940" w:type="dxa"/>
            <w:vMerge/>
          </w:tcPr>
          <w:p w14:paraId="1BA535CE" w14:textId="77777777" w:rsidR="002F700E" w:rsidRPr="00ED331B" w:rsidRDefault="002F700E">
            <w:pPr>
              <w:rPr>
                <w:rFonts w:ascii="Times New Roman" w:hAnsi="Times New Roman" w:cs="Times New Roman"/>
                <w:sz w:val="22"/>
                <w:szCs w:val="22"/>
              </w:rPr>
            </w:pPr>
          </w:p>
        </w:tc>
      </w:tr>
      <w:tr w:rsidR="002F700E" w:rsidRPr="00ED331B" w14:paraId="4B04B9BA" w14:textId="77777777" w:rsidTr="00A121AB">
        <w:tc>
          <w:tcPr>
            <w:tcW w:w="558" w:type="dxa"/>
          </w:tcPr>
          <w:p w14:paraId="2908FA64" w14:textId="4D8EF53B" w:rsidR="002F700E" w:rsidRPr="00ED331B" w:rsidRDefault="002F700E">
            <w:pPr>
              <w:rPr>
                <w:rFonts w:ascii="Times New Roman" w:hAnsi="Times New Roman" w:cs="Times New Roman"/>
                <w:sz w:val="22"/>
                <w:szCs w:val="22"/>
              </w:rPr>
            </w:pPr>
            <w:r w:rsidRPr="00ED331B">
              <w:rPr>
                <w:rFonts w:ascii="Times New Roman" w:hAnsi="Times New Roman" w:cs="Times New Roman"/>
                <w:sz w:val="22"/>
                <w:szCs w:val="22"/>
              </w:rPr>
              <w:t>9</w:t>
            </w:r>
          </w:p>
        </w:tc>
        <w:tc>
          <w:tcPr>
            <w:tcW w:w="2880" w:type="dxa"/>
          </w:tcPr>
          <w:p w14:paraId="587AA29F" w14:textId="77777777" w:rsidR="002F700E" w:rsidRPr="00ED331B" w:rsidRDefault="002F700E" w:rsidP="00F36DA6">
            <w:pPr>
              <w:rPr>
                <w:rFonts w:ascii="Times New Roman" w:hAnsi="Times New Roman" w:cs="Times New Roman"/>
                <w:sz w:val="22"/>
                <w:szCs w:val="22"/>
                <w:u w:val="single"/>
              </w:rPr>
            </w:pPr>
            <w:r w:rsidRPr="00ED331B">
              <w:rPr>
                <w:rFonts w:ascii="Times New Roman" w:hAnsi="Times New Roman" w:cs="Times New Roman"/>
                <w:bCs/>
                <w:color w:val="222222"/>
                <w:sz w:val="22"/>
                <w:szCs w:val="22"/>
                <w:shd w:val="clear" w:color="auto" w:fill="FFFFFF"/>
              </w:rPr>
              <w:t>In my limited knowledge, this paper has tried to cover 3 different sectors which are also the determinants of health. It is good to see such interdisciplinary work happening.</w:t>
            </w:r>
          </w:p>
        </w:tc>
        <w:tc>
          <w:tcPr>
            <w:tcW w:w="5940" w:type="dxa"/>
            <w:vMerge/>
          </w:tcPr>
          <w:p w14:paraId="73BD94DC" w14:textId="77777777" w:rsidR="002F700E" w:rsidRPr="00ED331B" w:rsidRDefault="002F700E">
            <w:pPr>
              <w:rPr>
                <w:rFonts w:ascii="Times New Roman" w:hAnsi="Times New Roman" w:cs="Times New Roman"/>
                <w:sz w:val="22"/>
                <w:szCs w:val="22"/>
              </w:rPr>
            </w:pPr>
          </w:p>
        </w:tc>
      </w:tr>
      <w:tr w:rsidR="002F700E" w:rsidRPr="00ED331B" w14:paraId="0A14294C" w14:textId="77777777" w:rsidTr="00A121AB">
        <w:tc>
          <w:tcPr>
            <w:tcW w:w="558" w:type="dxa"/>
          </w:tcPr>
          <w:p w14:paraId="0F55ED83" w14:textId="0062B340" w:rsidR="002F700E" w:rsidRPr="00ED331B" w:rsidRDefault="002F700E">
            <w:pPr>
              <w:rPr>
                <w:rFonts w:ascii="Times New Roman" w:hAnsi="Times New Roman" w:cs="Times New Roman"/>
                <w:sz w:val="22"/>
                <w:szCs w:val="22"/>
              </w:rPr>
            </w:pPr>
            <w:r w:rsidRPr="00ED331B">
              <w:rPr>
                <w:rFonts w:ascii="Times New Roman" w:hAnsi="Times New Roman" w:cs="Times New Roman"/>
                <w:sz w:val="22"/>
                <w:szCs w:val="22"/>
              </w:rPr>
              <w:t>10</w:t>
            </w:r>
          </w:p>
        </w:tc>
        <w:tc>
          <w:tcPr>
            <w:tcW w:w="2880" w:type="dxa"/>
          </w:tcPr>
          <w:p w14:paraId="6E85855E" w14:textId="77777777" w:rsidR="002F700E" w:rsidRPr="00ED331B" w:rsidRDefault="002F700E" w:rsidP="00F36DA6">
            <w:pPr>
              <w:rPr>
                <w:rFonts w:ascii="Times New Roman" w:hAnsi="Times New Roman" w:cs="Times New Roman"/>
                <w:sz w:val="22"/>
                <w:szCs w:val="22"/>
                <w:u w:val="single"/>
              </w:rPr>
            </w:pPr>
            <w:r w:rsidRPr="00ED331B">
              <w:rPr>
                <w:rFonts w:ascii="Times New Roman" w:hAnsi="Times New Roman" w:cs="Times New Roman"/>
                <w:bCs/>
                <w:color w:val="222222"/>
                <w:sz w:val="22"/>
                <w:szCs w:val="22"/>
                <w:shd w:val="clear" w:color="auto" w:fill="FFFFFF"/>
              </w:rPr>
              <w:t xml:space="preserve">The conclusion and the recommendations mostly come from the Workshops conducted by the team with experts. And most of these recommendations were </w:t>
            </w:r>
            <w:r w:rsidRPr="00ED331B">
              <w:rPr>
                <w:rFonts w:ascii="Times New Roman" w:hAnsi="Times New Roman" w:cs="Times New Roman"/>
                <w:bCs/>
                <w:color w:val="222222"/>
                <w:sz w:val="22"/>
                <w:szCs w:val="22"/>
                <w:shd w:val="clear" w:color="auto" w:fill="FFFFFF"/>
              </w:rPr>
              <w:lastRenderedPageBreak/>
              <w:t>largely out of their learned experiences and expertise, which is well warranted.</w:t>
            </w:r>
          </w:p>
        </w:tc>
        <w:tc>
          <w:tcPr>
            <w:tcW w:w="5940" w:type="dxa"/>
            <w:vMerge/>
          </w:tcPr>
          <w:p w14:paraId="135A4BA1" w14:textId="77777777" w:rsidR="002F700E" w:rsidRPr="00ED331B" w:rsidRDefault="002F700E">
            <w:pPr>
              <w:rPr>
                <w:rFonts w:ascii="Times New Roman" w:hAnsi="Times New Roman" w:cs="Times New Roman"/>
                <w:sz w:val="22"/>
                <w:szCs w:val="22"/>
              </w:rPr>
            </w:pPr>
          </w:p>
        </w:tc>
      </w:tr>
      <w:tr w:rsidR="00B3073E" w:rsidRPr="00ED331B" w14:paraId="767EC199" w14:textId="77777777" w:rsidTr="00A121AB">
        <w:tc>
          <w:tcPr>
            <w:tcW w:w="558" w:type="dxa"/>
          </w:tcPr>
          <w:p w14:paraId="3D81A003" w14:textId="77D5F8CC" w:rsidR="00B3073E" w:rsidRPr="00ED331B" w:rsidRDefault="00B3073E">
            <w:pPr>
              <w:rPr>
                <w:rFonts w:ascii="Times New Roman" w:hAnsi="Times New Roman" w:cs="Times New Roman"/>
                <w:sz w:val="22"/>
                <w:szCs w:val="22"/>
              </w:rPr>
            </w:pPr>
            <w:r w:rsidRPr="00ED331B">
              <w:rPr>
                <w:rFonts w:ascii="Times New Roman" w:hAnsi="Times New Roman" w:cs="Times New Roman"/>
                <w:sz w:val="22"/>
                <w:szCs w:val="22"/>
              </w:rPr>
              <w:t>11</w:t>
            </w:r>
          </w:p>
        </w:tc>
        <w:tc>
          <w:tcPr>
            <w:tcW w:w="2880" w:type="dxa"/>
          </w:tcPr>
          <w:p w14:paraId="0C3192A0" w14:textId="77777777" w:rsidR="00B3073E" w:rsidRPr="00ED331B" w:rsidRDefault="00B3073E" w:rsidP="00B3073E">
            <w:pPr>
              <w:rPr>
                <w:rFonts w:ascii="Times New Roman" w:hAnsi="Times New Roman" w:cs="Times New Roman"/>
                <w:sz w:val="22"/>
                <w:szCs w:val="22"/>
                <w:u w:val="single"/>
              </w:rPr>
            </w:pPr>
            <w:r w:rsidRPr="00ED331B">
              <w:rPr>
                <w:rFonts w:ascii="Times New Roman" w:hAnsi="Times New Roman" w:cs="Times New Roman"/>
                <w:bCs/>
                <w:color w:val="222222"/>
                <w:sz w:val="22"/>
                <w:szCs w:val="22"/>
                <w:shd w:val="clear" w:color="auto" w:fill="FFFFFF"/>
              </w:rPr>
              <w:t>I felt that certain other social vulnerabilities like disability, people living with HIV have not been covered. They should be included.</w:t>
            </w:r>
          </w:p>
          <w:p w14:paraId="30E46BA8" w14:textId="77777777" w:rsidR="00B3073E" w:rsidRPr="00ED331B" w:rsidRDefault="00B3073E" w:rsidP="00F36DA6">
            <w:pPr>
              <w:rPr>
                <w:rFonts w:ascii="Times New Roman" w:hAnsi="Times New Roman" w:cs="Times New Roman"/>
                <w:bCs/>
                <w:color w:val="222222"/>
                <w:sz w:val="22"/>
                <w:szCs w:val="22"/>
                <w:shd w:val="clear" w:color="auto" w:fill="FFFFFF"/>
              </w:rPr>
            </w:pPr>
          </w:p>
        </w:tc>
        <w:tc>
          <w:tcPr>
            <w:tcW w:w="5940" w:type="dxa"/>
          </w:tcPr>
          <w:p w14:paraId="625EF24A" w14:textId="11B14CDE" w:rsidR="00B3073E" w:rsidRPr="00ED331B" w:rsidRDefault="00B3073E">
            <w:pPr>
              <w:rPr>
                <w:rFonts w:ascii="Times New Roman" w:hAnsi="Times New Roman" w:cs="Times New Roman"/>
                <w:sz w:val="22"/>
                <w:szCs w:val="22"/>
              </w:rPr>
            </w:pPr>
            <w:r w:rsidRPr="00ED331B">
              <w:rPr>
                <w:rFonts w:ascii="Times New Roman" w:hAnsi="Times New Roman" w:cs="Times New Roman"/>
                <w:sz w:val="22"/>
                <w:szCs w:val="22"/>
              </w:rPr>
              <w:t xml:space="preserve">We appreciate the reviewer’s suggestion. </w:t>
            </w:r>
            <w:r w:rsidR="00340699">
              <w:rPr>
                <w:rFonts w:ascii="Times New Roman" w:hAnsi="Times New Roman" w:cs="Times New Roman"/>
                <w:sz w:val="22"/>
                <w:szCs w:val="22"/>
              </w:rPr>
              <w:t xml:space="preserve">We did not aim to cover all socially excluded groups, which would have been a much bigger undertaking for which we did not have capacity. In focusing on ethnic and religious minorities, the paper raises issues that may apply to a range of other marginalized populations. </w:t>
            </w:r>
            <w:r w:rsidRPr="00ED331B">
              <w:rPr>
                <w:rFonts w:ascii="Times New Roman" w:hAnsi="Times New Roman" w:cs="Times New Roman"/>
                <w:sz w:val="22"/>
                <w:szCs w:val="22"/>
              </w:rPr>
              <w:t>The workshop participants did bring up the issue of disability, more as an example of how people with different abilities have been able to collectively voice their concerns</w:t>
            </w:r>
            <w:r w:rsidR="00ED331B" w:rsidRPr="00ED331B">
              <w:rPr>
                <w:rFonts w:ascii="Times New Roman" w:hAnsi="Times New Roman" w:cs="Times New Roman"/>
                <w:sz w:val="22"/>
                <w:szCs w:val="22"/>
              </w:rPr>
              <w:t>.</w:t>
            </w:r>
          </w:p>
          <w:p w14:paraId="30F23227" w14:textId="59DEA7C2" w:rsidR="00ED331B" w:rsidRPr="00ED331B" w:rsidRDefault="00ED331B">
            <w:pPr>
              <w:rPr>
                <w:rFonts w:ascii="Times New Roman" w:hAnsi="Times New Roman" w:cs="Times New Roman"/>
                <w:sz w:val="22"/>
                <w:szCs w:val="22"/>
              </w:rPr>
            </w:pPr>
            <w:r w:rsidRPr="00ED331B">
              <w:rPr>
                <w:rFonts w:ascii="Times New Roman" w:hAnsi="Times New Roman" w:cs="Times New Roman"/>
                <w:sz w:val="22"/>
                <w:szCs w:val="22"/>
              </w:rPr>
              <w:br/>
              <w:t xml:space="preserve">See (lines: </w:t>
            </w:r>
            <w:r w:rsidR="00340699">
              <w:rPr>
                <w:rFonts w:ascii="Times New Roman" w:hAnsi="Times New Roman" w:cs="Times New Roman"/>
                <w:sz w:val="22"/>
                <w:szCs w:val="22"/>
              </w:rPr>
              <w:t>1071-1075</w:t>
            </w:r>
            <w:r w:rsidRPr="00ED331B">
              <w:rPr>
                <w:rFonts w:ascii="Times New Roman" w:hAnsi="Times New Roman" w:cs="Times New Roman"/>
                <w:sz w:val="22"/>
                <w:szCs w:val="22"/>
              </w:rPr>
              <w:t>):</w:t>
            </w:r>
          </w:p>
          <w:p w14:paraId="40E9FAD3" w14:textId="77777777" w:rsidR="00ED331B" w:rsidRPr="00ED331B" w:rsidRDefault="00ED331B">
            <w:pPr>
              <w:rPr>
                <w:rFonts w:ascii="Times New Roman" w:hAnsi="Times New Roman" w:cs="Times New Roman"/>
                <w:sz w:val="22"/>
                <w:szCs w:val="22"/>
              </w:rPr>
            </w:pPr>
          </w:p>
          <w:p w14:paraId="4602DA55" w14:textId="262DA8BB" w:rsidR="00ED331B" w:rsidRPr="00ED331B" w:rsidRDefault="00ED331B">
            <w:pPr>
              <w:rPr>
                <w:rFonts w:ascii="Times New Roman" w:hAnsi="Times New Roman" w:cs="Times New Roman"/>
                <w:sz w:val="22"/>
                <w:szCs w:val="22"/>
              </w:rPr>
            </w:pPr>
            <w:r w:rsidRPr="00ED331B">
              <w:rPr>
                <w:rFonts w:ascii="Times New Roman" w:hAnsi="Times New Roman" w:cs="Times New Roman"/>
                <w:sz w:val="22"/>
                <w:szCs w:val="22"/>
              </w:rPr>
              <w:t>“</w:t>
            </w:r>
            <w:r w:rsidRPr="00ED331B">
              <w:rPr>
                <w:rFonts w:ascii="Times New Roman" w:hAnsi="Times New Roman" w:cs="Times New Roman"/>
                <w:bCs/>
                <w:sz w:val="22"/>
                <w:szCs w:val="22"/>
              </w:rPr>
              <w:t>While some groups (e.g. differently abled people) have been able to raise strong voices and garner support from influential stakeholders in society to bring into public discourse their demands, others struggle to get heard and remain at the fringes of policy discourse (Workshop-1, 2).”</w:t>
            </w:r>
          </w:p>
        </w:tc>
      </w:tr>
      <w:tr w:rsidR="00036BE0" w:rsidRPr="00ED331B" w14:paraId="51CAC9CB" w14:textId="77777777" w:rsidTr="00A121AB">
        <w:tc>
          <w:tcPr>
            <w:tcW w:w="558" w:type="dxa"/>
          </w:tcPr>
          <w:p w14:paraId="4280F8DD" w14:textId="567AD27D" w:rsidR="00036BE0" w:rsidRPr="00ED331B" w:rsidRDefault="002F700E">
            <w:pPr>
              <w:rPr>
                <w:rFonts w:ascii="Times New Roman" w:hAnsi="Times New Roman" w:cs="Times New Roman"/>
                <w:sz w:val="22"/>
                <w:szCs w:val="22"/>
              </w:rPr>
            </w:pPr>
            <w:r w:rsidRPr="00ED331B">
              <w:rPr>
                <w:rFonts w:ascii="Times New Roman" w:hAnsi="Times New Roman" w:cs="Times New Roman"/>
                <w:sz w:val="22"/>
                <w:szCs w:val="22"/>
              </w:rPr>
              <w:t>1</w:t>
            </w:r>
            <w:r w:rsidR="00B3073E" w:rsidRPr="00ED331B">
              <w:rPr>
                <w:rFonts w:ascii="Times New Roman" w:hAnsi="Times New Roman" w:cs="Times New Roman"/>
                <w:sz w:val="22"/>
                <w:szCs w:val="22"/>
              </w:rPr>
              <w:t>2</w:t>
            </w:r>
          </w:p>
        </w:tc>
        <w:tc>
          <w:tcPr>
            <w:tcW w:w="2880" w:type="dxa"/>
          </w:tcPr>
          <w:p w14:paraId="68D80F39" w14:textId="77777777" w:rsidR="004C1CA0" w:rsidRPr="00ED331B" w:rsidRDefault="004C1CA0" w:rsidP="004C1CA0">
            <w:pPr>
              <w:rPr>
                <w:rFonts w:ascii="Times New Roman" w:hAnsi="Times New Roman" w:cs="Times New Roman"/>
                <w:bCs/>
                <w:color w:val="222222"/>
                <w:sz w:val="22"/>
                <w:szCs w:val="22"/>
                <w:shd w:val="clear" w:color="auto" w:fill="FFFFFF"/>
              </w:rPr>
            </w:pPr>
            <w:r w:rsidRPr="00ED331B">
              <w:rPr>
                <w:rFonts w:ascii="Times New Roman" w:hAnsi="Times New Roman" w:cs="Times New Roman"/>
                <w:bCs/>
                <w:color w:val="222222"/>
                <w:sz w:val="22"/>
                <w:szCs w:val="22"/>
                <w:shd w:val="clear" w:color="auto" w:fill="FFFFFF"/>
              </w:rPr>
              <w:t>The manuscript states that there is a figure mentioned below:</w:t>
            </w:r>
          </w:p>
          <w:p w14:paraId="43CCEED9" w14:textId="77777777" w:rsidR="00036BE0" w:rsidRPr="00ED331B" w:rsidRDefault="004C1CA0" w:rsidP="004C1CA0">
            <w:pPr>
              <w:rPr>
                <w:rFonts w:ascii="Times New Roman" w:hAnsi="Times New Roman" w:cs="Times New Roman"/>
                <w:color w:val="222222"/>
                <w:sz w:val="22"/>
                <w:szCs w:val="22"/>
              </w:rPr>
            </w:pPr>
            <w:r w:rsidRPr="00ED331B">
              <w:rPr>
                <w:rFonts w:ascii="Times New Roman" w:hAnsi="Times New Roman" w:cs="Times New Roman"/>
                <w:bCs/>
                <w:sz w:val="22"/>
                <w:szCs w:val="22"/>
              </w:rPr>
              <w:t>Figure-1 Literature search strategy and outcomes, which is not available with the paper or which I have not received.</w:t>
            </w:r>
          </w:p>
        </w:tc>
        <w:tc>
          <w:tcPr>
            <w:tcW w:w="5940" w:type="dxa"/>
          </w:tcPr>
          <w:p w14:paraId="27F3DF50" w14:textId="77777777" w:rsidR="00036BE0" w:rsidRPr="00ED331B" w:rsidRDefault="001B09ED">
            <w:pPr>
              <w:rPr>
                <w:rFonts w:ascii="Times New Roman" w:hAnsi="Times New Roman" w:cs="Times New Roman"/>
                <w:sz w:val="22"/>
                <w:szCs w:val="22"/>
              </w:rPr>
            </w:pPr>
            <w:r w:rsidRPr="00ED331B">
              <w:rPr>
                <w:rFonts w:ascii="Times New Roman" w:hAnsi="Times New Roman" w:cs="Times New Roman"/>
                <w:sz w:val="22"/>
                <w:szCs w:val="22"/>
              </w:rPr>
              <w:t xml:space="preserve">We included the Figure-1 in the </w:t>
            </w:r>
            <w:r w:rsidR="00F36DA6" w:rsidRPr="00ED331B">
              <w:rPr>
                <w:rFonts w:ascii="Times New Roman" w:hAnsi="Times New Roman" w:cs="Times New Roman"/>
                <w:sz w:val="22"/>
                <w:szCs w:val="22"/>
              </w:rPr>
              <w:t>main text</w:t>
            </w:r>
            <w:r w:rsidRPr="00ED331B">
              <w:rPr>
                <w:rFonts w:ascii="Times New Roman" w:hAnsi="Times New Roman" w:cs="Times New Roman"/>
                <w:sz w:val="22"/>
                <w:szCs w:val="22"/>
              </w:rPr>
              <w:t xml:space="preserve"> of the submitted manuscript. We are appending the figure in this document for reviewer’s consideration. </w:t>
            </w:r>
          </w:p>
        </w:tc>
      </w:tr>
    </w:tbl>
    <w:p w14:paraId="6BAC4064" w14:textId="77777777" w:rsidR="005453D2" w:rsidRPr="00ED331B" w:rsidRDefault="005453D2">
      <w:pPr>
        <w:rPr>
          <w:rFonts w:ascii="Times New Roman" w:hAnsi="Times New Roman" w:cs="Times New Roman"/>
          <w:sz w:val="22"/>
          <w:szCs w:val="22"/>
        </w:rPr>
      </w:pPr>
    </w:p>
    <w:p w14:paraId="4A2F3FC1" w14:textId="77777777" w:rsidR="00565A2B" w:rsidRPr="00ED331B" w:rsidRDefault="00565A2B" w:rsidP="00565A2B">
      <w:pPr>
        <w:rPr>
          <w:rFonts w:ascii="Times New Roman" w:hAnsi="Times New Roman" w:cs="Times New Roman"/>
          <w:b/>
          <w:sz w:val="22"/>
          <w:szCs w:val="22"/>
        </w:rPr>
      </w:pPr>
    </w:p>
    <w:p w14:paraId="11AD99AC" w14:textId="77777777" w:rsidR="00565A2B" w:rsidRPr="00ED331B" w:rsidRDefault="00565A2B" w:rsidP="00565A2B">
      <w:pPr>
        <w:rPr>
          <w:rFonts w:ascii="Times New Roman" w:hAnsi="Times New Roman" w:cs="Times New Roman"/>
          <w:b/>
          <w:sz w:val="22"/>
          <w:szCs w:val="22"/>
        </w:rPr>
      </w:pPr>
    </w:p>
    <w:p w14:paraId="4BED04B2" w14:textId="77777777" w:rsidR="00565A2B" w:rsidRPr="00ED331B" w:rsidRDefault="00565A2B" w:rsidP="00565A2B">
      <w:pPr>
        <w:rPr>
          <w:rFonts w:ascii="Times New Roman" w:hAnsi="Times New Roman" w:cs="Times New Roman"/>
          <w:b/>
          <w:sz w:val="22"/>
          <w:szCs w:val="22"/>
        </w:rPr>
      </w:pPr>
      <w:r w:rsidRPr="00ED331B">
        <w:rPr>
          <w:rFonts w:ascii="Times New Roman" w:hAnsi="Times New Roman" w:cs="Times New Roman"/>
          <w:b/>
          <w:sz w:val="22"/>
          <w:szCs w:val="22"/>
        </w:rPr>
        <w:t>Figure-1 Literature search strategy and outcomes</w:t>
      </w:r>
    </w:p>
    <w:p w14:paraId="5ED9F6C1" w14:textId="77777777" w:rsidR="00565A2B" w:rsidRPr="00ED331B" w:rsidRDefault="00565A2B">
      <w:pPr>
        <w:rPr>
          <w:rFonts w:ascii="Times New Roman" w:hAnsi="Times New Roman" w:cs="Times New Roman"/>
          <w:sz w:val="22"/>
          <w:szCs w:val="22"/>
        </w:rPr>
      </w:pPr>
    </w:p>
    <w:p w14:paraId="6ADC3F00" w14:textId="77777777" w:rsidR="00565A2B" w:rsidRPr="00ED331B" w:rsidRDefault="00565A2B">
      <w:pPr>
        <w:rPr>
          <w:rFonts w:ascii="Times New Roman" w:hAnsi="Times New Roman" w:cs="Times New Roman"/>
          <w:sz w:val="22"/>
          <w:szCs w:val="22"/>
        </w:rPr>
      </w:pPr>
      <w:r w:rsidRPr="00ED331B">
        <w:rPr>
          <w:rFonts w:ascii="Times New Roman" w:hAnsi="Times New Roman" w:cs="Times New Roman"/>
          <w:b/>
          <w:noProof/>
          <w:sz w:val="22"/>
          <w:szCs w:val="22"/>
        </w:rPr>
        <w:drawing>
          <wp:inline distT="0" distB="0" distL="0" distR="0" wp14:anchorId="1E69CAA1" wp14:editId="5B8F3E0E">
            <wp:extent cx="2480310" cy="2898775"/>
            <wp:effectExtent l="0" t="0" r="8890" b="0"/>
            <wp:docPr id="1" name="Picture 2" descr="Description: A screenshot of a cell phon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 screenshot of a cell phone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0310" cy="2898775"/>
                    </a:xfrm>
                    <a:prstGeom prst="rect">
                      <a:avLst/>
                    </a:prstGeom>
                    <a:noFill/>
                    <a:ln>
                      <a:noFill/>
                    </a:ln>
                  </pic:spPr>
                </pic:pic>
              </a:graphicData>
            </a:graphic>
          </wp:inline>
        </w:drawing>
      </w:r>
    </w:p>
    <w:sectPr w:rsidR="00565A2B" w:rsidRPr="00ED331B" w:rsidSect="00A341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2747F"/>
    <w:multiLevelType w:val="hybridMultilevel"/>
    <w:tmpl w:val="D814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E7E52"/>
    <w:multiLevelType w:val="hybridMultilevel"/>
    <w:tmpl w:val="AEC6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D594F"/>
    <w:multiLevelType w:val="hybridMultilevel"/>
    <w:tmpl w:val="FC9E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E226D"/>
    <w:multiLevelType w:val="hybridMultilevel"/>
    <w:tmpl w:val="BFDC1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D41F48"/>
    <w:multiLevelType w:val="hybridMultilevel"/>
    <w:tmpl w:val="92704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BF25E9"/>
    <w:multiLevelType w:val="hybridMultilevel"/>
    <w:tmpl w:val="43825F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6DD426D"/>
    <w:multiLevelType w:val="hybridMultilevel"/>
    <w:tmpl w:val="BDD67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04"/>
    <w:rsid w:val="00020904"/>
    <w:rsid w:val="00036BE0"/>
    <w:rsid w:val="001B09ED"/>
    <w:rsid w:val="0020759D"/>
    <w:rsid w:val="002B09A1"/>
    <w:rsid w:val="002B5752"/>
    <w:rsid w:val="002F700E"/>
    <w:rsid w:val="00340699"/>
    <w:rsid w:val="00344E01"/>
    <w:rsid w:val="00346BD1"/>
    <w:rsid w:val="0037305C"/>
    <w:rsid w:val="003E7208"/>
    <w:rsid w:val="003E7C3F"/>
    <w:rsid w:val="004C1CA0"/>
    <w:rsid w:val="004C4075"/>
    <w:rsid w:val="004D2F0C"/>
    <w:rsid w:val="005453D2"/>
    <w:rsid w:val="00555763"/>
    <w:rsid w:val="00565A2B"/>
    <w:rsid w:val="00641511"/>
    <w:rsid w:val="007165B7"/>
    <w:rsid w:val="00756914"/>
    <w:rsid w:val="00845C36"/>
    <w:rsid w:val="00A121AB"/>
    <w:rsid w:val="00A341A5"/>
    <w:rsid w:val="00AE1D5D"/>
    <w:rsid w:val="00B3073E"/>
    <w:rsid w:val="00B63F00"/>
    <w:rsid w:val="00CC750F"/>
    <w:rsid w:val="00D928B6"/>
    <w:rsid w:val="00E01E95"/>
    <w:rsid w:val="00E37CBA"/>
    <w:rsid w:val="00ED331B"/>
    <w:rsid w:val="00F36DA6"/>
    <w:rsid w:val="00FD2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AF301"/>
  <w14:defaultImageDpi w14:val="300"/>
  <w15:docId w15:val="{51B1727A-651B-4270-A469-A4C78D9E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09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BD1"/>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565A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A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3936</Words>
  <Characters>22439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Bhojani</dc:creator>
  <cp:keywords/>
  <dc:description/>
  <cp:lastModifiedBy>Copy editor</cp:lastModifiedBy>
  <cp:revision>2</cp:revision>
  <dcterms:created xsi:type="dcterms:W3CDTF">2019-08-04T15:59:00Z</dcterms:created>
  <dcterms:modified xsi:type="dcterms:W3CDTF">2019-08-04T15:59:00Z</dcterms:modified>
</cp:coreProperties>
</file>