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28" w:rsidRPr="00DE5A0F" w:rsidRDefault="00240728" w:rsidP="008254E9">
      <w:pPr>
        <w:spacing w:line="360" w:lineRule="auto"/>
        <w:jc w:val="center"/>
        <w:rPr>
          <w:b/>
          <w:sz w:val="28"/>
          <w:szCs w:val="28"/>
        </w:rPr>
      </w:pPr>
      <w:bookmarkStart w:id="0" w:name="_GoBack"/>
      <w:r w:rsidRPr="00DE5A0F">
        <w:rPr>
          <w:b/>
          <w:sz w:val="28"/>
          <w:szCs w:val="28"/>
        </w:rPr>
        <w:t>Medical Negligence</w:t>
      </w:r>
      <w:r w:rsidR="00721E59" w:rsidRPr="00DE5A0F">
        <w:rPr>
          <w:b/>
          <w:sz w:val="28"/>
          <w:szCs w:val="28"/>
        </w:rPr>
        <w:t>- Recent Trends</w:t>
      </w:r>
    </w:p>
    <w:bookmarkEnd w:id="0"/>
    <w:p w:rsidR="00DE5A0F" w:rsidRDefault="00DE5A0F" w:rsidP="00DE5A0F">
      <w:pPr>
        <w:spacing w:after="0"/>
        <w:jc w:val="both"/>
        <w:rPr>
          <w:b/>
          <w:bCs/>
        </w:rPr>
      </w:pPr>
      <w:r>
        <w:rPr>
          <w:b/>
          <w:bCs/>
        </w:rPr>
        <w:t xml:space="preserve">Dr. BL Chaudhary*, Dr. </w:t>
      </w:r>
      <w:proofErr w:type="spellStart"/>
      <w:r>
        <w:rPr>
          <w:b/>
          <w:bCs/>
        </w:rPr>
        <w:t>Sukhdeep</w:t>
      </w:r>
      <w:proofErr w:type="spellEnd"/>
      <w:r>
        <w:rPr>
          <w:b/>
          <w:bCs/>
        </w:rPr>
        <w:t xml:space="preserve"> Singh**, Dr. Rishabh Kumar Singh***, Dr. Rishi Solanki****</w:t>
      </w:r>
    </w:p>
    <w:p w:rsidR="00DE5A0F" w:rsidRDefault="00DE5A0F" w:rsidP="00DE5A0F">
      <w:pPr>
        <w:spacing w:after="0"/>
        <w:jc w:val="both"/>
      </w:pPr>
      <w:r>
        <w:t xml:space="preserve">*Professor, Department of Forensic Medicine and Toxicology, AIIMS, </w:t>
      </w:r>
      <w:proofErr w:type="spellStart"/>
      <w:r>
        <w:t>Rishikesh</w:t>
      </w:r>
      <w:proofErr w:type="spellEnd"/>
      <w:r>
        <w:t>, Uttarakhand</w:t>
      </w:r>
    </w:p>
    <w:p w:rsidR="00DE5A0F" w:rsidRDefault="00DE5A0F" w:rsidP="00DE5A0F">
      <w:pPr>
        <w:spacing w:after="0"/>
        <w:jc w:val="both"/>
      </w:pPr>
      <w:r>
        <w:t xml:space="preserve">**Professor, Department of Forensic Medicine and Toxicology, Lady </w:t>
      </w:r>
      <w:proofErr w:type="spellStart"/>
      <w:r>
        <w:t>Hardinge</w:t>
      </w:r>
      <w:proofErr w:type="spellEnd"/>
      <w:r>
        <w:t xml:space="preserve"> Medical College, New Delhi</w:t>
      </w:r>
    </w:p>
    <w:p w:rsidR="00DE5A0F" w:rsidRDefault="00DE5A0F" w:rsidP="00DE5A0F">
      <w:pPr>
        <w:spacing w:after="0"/>
        <w:jc w:val="both"/>
      </w:pPr>
      <w:r>
        <w:t xml:space="preserve">***Senior Resident, Department of Forensic Medicine and Toxicology, Lady </w:t>
      </w:r>
      <w:proofErr w:type="spellStart"/>
      <w:r>
        <w:t>Hardinge</w:t>
      </w:r>
      <w:proofErr w:type="spellEnd"/>
      <w:r>
        <w:t xml:space="preserve"> Medical College, New Delhi</w:t>
      </w:r>
    </w:p>
    <w:p w:rsidR="00DE5A0F" w:rsidRDefault="00DE5A0F" w:rsidP="00DE5A0F">
      <w:pPr>
        <w:spacing w:after="0"/>
        <w:jc w:val="both"/>
      </w:pPr>
      <w:r>
        <w:t xml:space="preserve">****Assistant Professor, Department of Forensic Medicine and Toxicology, Lady </w:t>
      </w:r>
      <w:proofErr w:type="spellStart"/>
      <w:r>
        <w:t>Hardinge</w:t>
      </w:r>
      <w:proofErr w:type="spellEnd"/>
      <w:r>
        <w:t xml:space="preserve"> Medical College, New Delhi</w:t>
      </w:r>
    </w:p>
    <w:p w:rsidR="00C76827" w:rsidRDefault="00C76827" w:rsidP="00DE5A0F">
      <w:pPr>
        <w:spacing w:after="0"/>
        <w:jc w:val="both"/>
      </w:pPr>
    </w:p>
    <w:p w:rsidR="00C76827" w:rsidRPr="00C76827" w:rsidRDefault="00C76827" w:rsidP="00DE5A0F">
      <w:pPr>
        <w:spacing w:after="0"/>
        <w:jc w:val="both"/>
        <w:rPr>
          <w:b/>
          <w:bCs/>
        </w:rPr>
      </w:pPr>
      <w:r w:rsidRPr="00C76827">
        <w:rPr>
          <w:b/>
          <w:bCs/>
        </w:rPr>
        <w:t>Corresponding Author:</w:t>
      </w:r>
    </w:p>
    <w:p w:rsidR="00C76827" w:rsidRDefault="00C76827" w:rsidP="00DE5A0F">
      <w:pPr>
        <w:spacing w:after="0"/>
        <w:jc w:val="both"/>
      </w:pPr>
      <w:r>
        <w:t>Dr. Rishabh Kumar Singh, email: rishabhmd@gmail.com</w:t>
      </w:r>
    </w:p>
    <w:p w:rsidR="00DE5A0F" w:rsidRDefault="00DE5A0F" w:rsidP="00067C47">
      <w:pPr>
        <w:spacing w:after="0" w:line="360" w:lineRule="auto"/>
        <w:jc w:val="both"/>
        <w:rPr>
          <w:b/>
          <w:bCs/>
        </w:rPr>
      </w:pPr>
    </w:p>
    <w:p w:rsidR="00F37F34" w:rsidRDefault="00F37F34" w:rsidP="00067C47">
      <w:pPr>
        <w:spacing w:after="0" w:line="360" w:lineRule="auto"/>
        <w:jc w:val="both"/>
        <w:rPr>
          <w:b/>
          <w:bCs/>
        </w:rPr>
      </w:pPr>
      <w:r>
        <w:rPr>
          <w:b/>
          <w:bCs/>
        </w:rPr>
        <w:t>Introduction:</w:t>
      </w:r>
    </w:p>
    <w:p w:rsidR="00CF6CC1" w:rsidRDefault="003F58BC" w:rsidP="00E61BF9">
      <w:pPr>
        <w:spacing w:after="0"/>
        <w:jc w:val="both"/>
      </w:pPr>
      <w:r>
        <w:t>S</w:t>
      </w:r>
      <w:r w:rsidR="00C52020" w:rsidRPr="00240728">
        <w:t>ince the beginning of medical practice</w:t>
      </w:r>
      <w:r>
        <w:t>,</w:t>
      </w:r>
      <w:r w:rsidR="00C52020" w:rsidRPr="00240728">
        <w:t xml:space="preserve"> the society has taken the cognizance of medical negligence as well. In India, </w:t>
      </w:r>
      <w:r>
        <w:t>subsequent to</w:t>
      </w:r>
      <w:r w:rsidR="00C52020" w:rsidRPr="00240728">
        <w:t xml:space="preserve"> inception of the Consumer Protection Act, 1986 the question of medical negligence became very prominent. The public, patients, and the press including visual media became aware, with this, came the issues of not only civil negligence but criminal negligence also.</w:t>
      </w:r>
    </w:p>
    <w:p w:rsidR="00A97AD0" w:rsidRPr="00A97AD0" w:rsidRDefault="00A97AD0" w:rsidP="00E61BF9">
      <w:pPr>
        <w:spacing w:after="0"/>
        <w:jc w:val="both"/>
        <w:rPr>
          <w:vertAlign w:val="superscript"/>
        </w:rPr>
      </w:pPr>
      <w:r>
        <w:t>Supreme Court verdict in 1995 brought the medical profession under the purview of the Consumer protection Act, 1986.</w:t>
      </w:r>
      <w:r>
        <w:rPr>
          <w:vertAlign w:val="superscript"/>
        </w:rPr>
        <w:t>1</w:t>
      </w:r>
    </w:p>
    <w:p w:rsidR="005A4217" w:rsidRPr="005A4217" w:rsidRDefault="005A4217" w:rsidP="00E61BF9">
      <w:pPr>
        <w:spacing w:after="0"/>
      </w:pPr>
      <w:r>
        <w:t>As per</w:t>
      </w:r>
      <w:r w:rsidR="005D25BF">
        <w:t xml:space="preserve"> jurisprudent law in India</w:t>
      </w:r>
      <w:r>
        <w:t>, e</w:t>
      </w:r>
      <w:r w:rsidRPr="005A4217">
        <w:t>lements</w:t>
      </w:r>
      <w:r>
        <w:t xml:space="preserve"> of Professional medical negligence are</w:t>
      </w:r>
      <w:r w:rsidRPr="005A4217">
        <w:t>:</w:t>
      </w:r>
    </w:p>
    <w:p w:rsidR="005A4217" w:rsidRDefault="005A4217" w:rsidP="00E61BF9">
      <w:pPr>
        <w:pStyle w:val="ListParagraph"/>
        <w:numPr>
          <w:ilvl w:val="0"/>
          <w:numId w:val="3"/>
        </w:numPr>
        <w:spacing w:after="0"/>
        <w:rPr>
          <w:rFonts w:cs="Times New Roman"/>
        </w:rPr>
      </w:pPr>
      <w:r>
        <w:rPr>
          <w:rFonts w:cs="Times New Roman"/>
        </w:rPr>
        <w:t>Duty to treat: there should be a doctor- patient relationship established,</w:t>
      </w:r>
    </w:p>
    <w:p w:rsidR="005A4217" w:rsidRDefault="005A4217" w:rsidP="00E61BF9">
      <w:pPr>
        <w:pStyle w:val="ListParagraph"/>
        <w:numPr>
          <w:ilvl w:val="0"/>
          <w:numId w:val="3"/>
        </w:numPr>
        <w:spacing w:after="0"/>
        <w:rPr>
          <w:rFonts w:cs="Times New Roman"/>
        </w:rPr>
      </w:pPr>
      <w:r>
        <w:rPr>
          <w:rFonts w:cs="Times New Roman"/>
        </w:rPr>
        <w:t>Dereliction: a physician must conform to standard of a prudent physician,</w:t>
      </w:r>
    </w:p>
    <w:p w:rsidR="005A4217" w:rsidRDefault="005A4217" w:rsidP="00E61BF9">
      <w:pPr>
        <w:pStyle w:val="ListParagraph"/>
        <w:numPr>
          <w:ilvl w:val="0"/>
          <w:numId w:val="3"/>
        </w:numPr>
        <w:spacing w:after="0"/>
        <w:rPr>
          <w:rFonts w:cs="Times New Roman"/>
        </w:rPr>
      </w:pPr>
      <w:r>
        <w:rPr>
          <w:rFonts w:cs="Times New Roman"/>
        </w:rPr>
        <w:t>Direct causation between the damage and the procedure,</w:t>
      </w:r>
    </w:p>
    <w:p w:rsidR="005A4217" w:rsidRDefault="005A4217" w:rsidP="00E61BF9">
      <w:pPr>
        <w:pStyle w:val="ListParagraph"/>
        <w:numPr>
          <w:ilvl w:val="0"/>
          <w:numId w:val="3"/>
        </w:numPr>
        <w:spacing w:after="0"/>
        <w:rPr>
          <w:rFonts w:cs="Times New Roman"/>
        </w:rPr>
      </w:pPr>
      <w:r>
        <w:rPr>
          <w:rFonts w:cs="Times New Roman"/>
        </w:rPr>
        <w:t>Damages to the patient.</w:t>
      </w:r>
    </w:p>
    <w:p w:rsidR="00C52020" w:rsidRPr="00240728" w:rsidRDefault="005A4217" w:rsidP="00E61BF9">
      <w:pPr>
        <w:spacing w:after="0"/>
        <w:jc w:val="both"/>
      </w:pPr>
      <w:r>
        <w:t>In absence of any of the above</w:t>
      </w:r>
      <w:r w:rsidR="003F58BC">
        <w:t>,</w:t>
      </w:r>
      <w:r>
        <w:t xml:space="preserve"> a case of negligence can’t be proven in a court of law.</w:t>
      </w:r>
    </w:p>
    <w:p w:rsidR="00C52020" w:rsidRPr="00240728" w:rsidRDefault="005A4217" w:rsidP="00E61BF9">
      <w:pPr>
        <w:spacing w:after="0"/>
        <w:jc w:val="both"/>
        <w:rPr>
          <w:shd w:val="clear" w:color="auto" w:fill="FFFFFF"/>
        </w:rPr>
      </w:pPr>
      <w:r>
        <w:rPr>
          <w:shd w:val="clear" w:color="auto" w:fill="FFFFFF"/>
        </w:rPr>
        <w:t xml:space="preserve">With advancement of technology and increased literacy rate the </w:t>
      </w:r>
      <w:r w:rsidR="007E2762" w:rsidRPr="00240728">
        <w:rPr>
          <w:shd w:val="clear" w:color="auto" w:fill="FFFFFF"/>
        </w:rPr>
        <w:t>Indian society has developed an a</w:t>
      </w:r>
      <w:r w:rsidR="003F58BC">
        <w:rPr>
          <w:shd w:val="clear" w:color="auto" w:fill="FFFFFF"/>
        </w:rPr>
        <w:t>wareness regarding their rights and a</w:t>
      </w:r>
      <w:r>
        <w:rPr>
          <w:shd w:val="clear" w:color="auto" w:fill="FFFFFF"/>
        </w:rPr>
        <w:t xml:space="preserve">t the same time </w:t>
      </w:r>
      <w:r w:rsidR="007E2762" w:rsidRPr="00240728">
        <w:rPr>
          <w:shd w:val="clear" w:color="auto" w:fill="FFFFFF"/>
        </w:rPr>
        <w:t>public awareness about medical negligence is growing. The reason is that the degrading standards of professional competence, facilities, and the appropriateness of their therapeutic and diagnostic methods. In earlier times, people were afraid of suing doctors or hospitals, but with the passage of time, the law has played a major role in generating awareness among people regarding their rights.</w:t>
      </w:r>
    </w:p>
    <w:p w:rsidR="007E2762" w:rsidRPr="007E2762" w:rsidRDefault="007E2762" w:rsidP="00E61BF9">
      <w:pPr>
        <w:shd w:val="clear" w:color="auto" w:fill="FFFFFF"/>
        <w:spacing w:after="0"/>
        <w:jc w:val="both"/>
        <w:rPr>
          <w:rFonts w:eastAsia="Times New Roman"/>
        </w:rPr>
      </w:pPr>
      <w:r w:rsidRPr="007E2762">
        <w:rPr>
          <w:rFonts w:eastAsia="Times New Roman"/>
        </w:rPr>
        <w:t xml:space="preserve">According to </w:t>
      </w:r>
      <w:proofErr w:type="spellStart"/>
      <w:r w:rsidRPr="007E2762">
        <w:rPr>
          <w:rFonts w:eastAsia="Times New Roman"/>
        </w:rPr>
        <w:t>Bolam’s</w:t>
      </w:r>
      <w:proofErr w:type="spellEnd"/>
      <w:r w:rsidRPr="007E2762">
        <w:rPr>
          <w:rFonts w:eastAsia="Times New Roman"/>
        </w:rPr>
        <w:t xml:space="preserve"> test, a doctor, who acts by a practice accepted as proper by a responsible body of medical men, is not negligent mainly because there is a body of opinion that takes a contrary view.</w:t>
      </w:r>
      <w:r w:rsidR="00083916">
        <w:rPr>
          <w:rFonts w:eastAsia="Times New Roman"/>
          <w:vertAlign w:val="superscript"/>
        </w:rPr>
        <w:t>2</w:t>
      </w:r>
      <w:r w:rsidRPr="007E2762">
        <w:rPr>
          <w:rFonts w:eastAsia="Times New Roman"/>
        </w:rPr>
        <w:t> But the test came under a rough weather and was faced with a lot of criticism, and therefore, countries like Australia rejected it altogether.</w:t>
      </w:r>
    </w:p>
    <w:p w:rsidR="007E2762" w:rsidRPr="00083916" w:rsidRDefault="007E2762" w:rsidP="00E61BF9">
      <w:pPr>
        <w:shd w:val="clear" w:color="auto" w:fill="FFFFFF"/>
        <w:spacing w:after="0"/>
        <w:jc w:val="both"/>
        <w:rPr>
          <w:rFonts w:eastAsia="Times New Roman"/>
          <w:vertAlign w:val="superscript"/>
        </w:rPr>
      </w:pPr>
      <w:r w:rsidRPr="007E2762">
        <w:rPr>
          <w:rFonts w:eastAsia="Times New Roman"/>
        </w:rPr>
        <w:lastRenderedPageBreak/>
        <w:t>As of the present, after the Bolitho case, recognition of a two-step procedure took place so as to determine the question of alleged medical negligence:</w:t>
      </w:r>
      <w:r w:rsidR="00083916">
        <w:rPr>
          <w:rFonts w:eastAsia="Times New Roman"/>
          <w:vertAlign w:val="superscript"/>
        </w:rPr>
        <w:t>3</w:t>
      </w:r>
    </w:p>
    <w:p w:rsidR="007E2762" w:rsidRPr="007E2762" w:rsidRDefault="007E2762" w:rsidP="00E61BF9">
      <w:pPr>
        <w:numPr>
          <w:ilvl w:val="0"/>
          <w:numId w:val="1"/>
        </w:numPr>
        <w:shd w:val="clear" w:color="auto" w:fill="FFFFFF"/>
        <w:spacing w:before="100" w:beforeAutospacing="1" w:after="0"/>
        <w:ind w:left="1035"/>
        <w:jc w:val="both"/>
        <w:rPr>
          <w:rFonts w:eastAsia="Times New Roman"/>
        </w:rPr>
      </w:pPr>
      <w:r w:rsidRPr="007E2762">
        <w:rPr>
          <w:rFonts w:eastAsia="Times New Roman"/>
        </w:rPr>
        <w:t>Whether the doctor acted by a practice accepted as proper by an ordinarily competent doctor.</w:t>
      </w:r>
    </w:p>
    <w:p w:rsidR="007E2762" w:rsidRPr="007E2762" w:rsidRDefault="007E2762" w:rsidP="00E61BF9">
      <w:pPr>
        <w:numPr>
          <w:ilvl w:val="0"/>
          <w:numId w:val="1"/>
        </w:numPr>
        <w:shd w:val="clear" w:color="auto" w:fill="FFFFFF"/>
        <w:spacing w:before="100" w:beforeAutospacing="1" w:after="100" w:afterAutospacing="1"/>
        <w:ind w:left="1035"/>
        <w:jc w:val="both"/>
        <w:rPr>
          <w:rFonts w:eastAsia="Times New Roman"/>
        </w:rPr>
      </w:pPr>
      <w:r w:rsidRPr="007E2762">
        <w:rPr>
          <w:rFonts w:eastAsia="Times New Roman"/>
        </w:rPr>
        <w:t>If yes, whether the practice survived </w:t>
      </w:r>
      <w:r w:rsidRPr="00240728">
        <w:rPr>
          <w:rFonts w:eastAsia="Times New Roman"/>
          <w:i/>
          <w:iCs/>
        </w:rPr>
        <w:t>Bolitho </w:t>
      </w:r>
      <w:r w:rsidRPr="007E2762">
        <w:rPr>
          <w:rFonts w:eastAsia="Times New Roman"/>
        </w:rPr>
        <w:t>judicial scrutiny as being responsible or logical.</w:t>
      </w:r>
    </w:p>
    <w:p w:rsidR="007E2762" w:rsidRPr="00240728" w:rsidRDefault="007E2762" w:rsidP="00E61BF9">
      <w:pPr>
        <w:shd w:val="clear" w:color="auto" w:fill="FFFFFF"/>
        <w:spacing w:after="0"/>
        <w:jc w:val="both"/>
        <w:rPr>
          <w:rFonts w:eastAsia="Times New Roman"/>
        </w:rPr>
      </w:pPr>
      <w:r w:rsidRPr="007E2762">
        <w:rPr>
          <w:rFonts w:eastAsia="Times New Roman"/>
        </w:rPr>
        <w:t>The two-step analysis as followed in the Bolitho case was reiterated and confirmed in many cases, like </w:t>
      </w:r>
      <w:r w:rsidRPr="00240728">
        <w:rPr>
          <w:rFonts w:eastAsia="Times New Roman"/>
          <w:i/>
          <w:iCs/>
        </w:rPr>
        <w:t>French v. Thames Valley Strategic H.A. </w:t>
      </w:r>
      <w:r w:rsidRPr="007E2762">
        <w:rPr>
          <w:rFonts w:eastAsia="Times New Roman"/>
        </w:rPr>
        <w:t xml:space="preserve">Unlike the </w:t>
      </w:r>
      <w:proofErr w:type="spellStart"/>
      <w:r w:rsidRPr="007E2762">
        <w:rPr>
          <w:rFonts w:eastAsia="Times New Roman"/>
        </w:rPr>
        <w:t>Bolam</w:t>
      </w:r>
      <w:r w:rsidR="00983D0E">
        <w:rPr>
          <w:rFonts w:eastAsia="Times New Roman"/>
        </w:rPr>
        <w:t>’s</w:t>
      </w:r>
      <w:proofErr w:type="spellEnd"/>
      <w:r w:rsidRPr="007E2762">
        <w:rPr>
          <w:rFonts w:eastAsia="Times New Roman"/>
        </w:rPr>
        <w:t xml:space="preserve"> Test, this test is uncontroversial.</w:t>
      </w:r>
    </w:p>
    <w:p w:rsidR="004526D9" w:rsidRPr="004526D9" w:rsidRDefault="004526D9" w:rsidP="00E61BF9">
      <w:pPr>
        <w:shd w:val="clear" w:color="auto" w:fill="FFFFFF"/>
        <w:spacing w:after="0"/>
        <w:jc w:val="both"/>
        <w:rPr>
          <w:rFonts w:eastAsia="Times New Roman"/>
        </w:rPr>
      </w:pPr>
      <w:r w:rsidRPr="004526D9">
        <w:rPr>
          <w:rFonts w:eastAsia="Times New Roman"/>
        </w:rPr>
        <w:t>In the context of Indian law, medical negligence comes under 3 categories; Criminal negligence, civil negligence and negligence under Consumer Protection Act. Different provisions regarding the remedy in the form of punishment and compensation are there in 3 laws.</w:t>
      </w:r>
    </w:p>
    <w:p w:rsidR="008C5C39" w:rsidRDefault="008C5C39" w:rsidP="00E61BF9">
      <w:pPr>
        <w:shd w:val="clear" w:color="auto" w:fill="FFFFFF"/>
        <w:spacing w:after="0"/>
        <w:jc w:val="both"/>
        <w:rPr>
          <w:spacing w:val="5"/>
          <w:shd w:val="clear" w:color="auto" w:fill="FFFFFF"/>
        </w:rPr>
      </w:pPr>
      <w:r>
        <w:rPr>
          <w:spacing w:val="5"/>
          <w:shd w:val="clear" w:color="auto" w:fill="FFFFFF"/>
        </w:rPr>
        <w:t xml:space="preserve">There is a recent increase in number of medical negligence cases in India. This may be attributed due to rise in awareness. This study focuses on the number of alleged medical negligence cases </w:t>
      </w:r>
      <w:r w:rsidR="00E21BEB">
        <w:rPr>
          <w:spacing w:val="5"/>
          <w:shd w:val="clear" w:color="auto" w:fill="FFFFFF"/>
        </w:rPr>
        <w:t xml:space="preserve">that resulted in death of the patient and were brought to </w:t>
      </w:r>
      <w:r>
        <w:rPr>
          <w:spacing w:val="5"/>
          <w:shd w:val="clear" w:color="auto" w:fill="FFFFFF"/>
        </w:rPr>
        <w:t xml:space="preserve">Lady </w:t>
      </w:r>
      <w:proofErr w:type="spellStart"/>
      <w:r>
        <w:rPr>
          <w:spacing w:val="5"/>
          <w:shd w:val="clear" w:color="auto" w:fill="FFFFFF"/>
        </w:rPr>
        <w:t>Hardinge</w:t>
      </w:r>
      <w:proofErr w:type="spellEnd"/>
      <w:r>
        <w:rPr>
          <w:spacing w:val="5"/>
          <w:shd w:val="clear" w:color="auto" w:fill="FFFFFF"/>
        </w:rPr>
        <w:t xml:space="preserve"> Medical College, New Delhi during the period of 2013-17</w:t>
      </w:r>
      <w:r w:rsidR="00E21BEB">
        <w:rPr>
          <w:spacing w:val="5"/>
          <w:shd w:val="clear" w:color="auto" w:fill="FFFFFF"/>
        </w:rPr>
        <w:t xml:space="preserve"> for post-mortem examination</w:t>
      </w:r>
      <w:r>
        <w:rPr>
          <w:spacing w:val="5"/>
          <w:shd w:val="clear" w:color="auto" w:fill="FFFFFF"/>
        </w:rPr>
        <w:t xml:space="preserve">. </w:t>
      </w:r>
      <w:r w:rsidR="005919E6">
        <w:rPr>
          <w:spacing w:val="5"/>
          <w:shd w:val="clear" w:color="auto" w:fill="FFFFFF"/>
        </w:rPr>
        <w:t>This study also focuses on the Department vise all</w:t>
      </w:r>
      <w:r w:rsidR="002302D0">
        <w:rPr>
          <w:spacing w:val="5"/>
          <w:shd w:val="clear" w:color="auto" w:fill="FFFFFF"/>
        </w:rPr>
        <w:t>eged medical negligence cases.</w:t>
      </w:r>
    </w:p>
    <w:p w:rsidR="00B34BF2" w:rsidRDefault="00B34BF2" w:rsidP="008254E9">
      <w:pPr>
        <w:shd w:val="clear" w:color="auto" w:fill="FFFFFF"/>
        <w:spacing w:after="0" w:line="360" w:lineRule="auto"/>
        <w:jc w:val="both"/>
        <w:rPr>
          <w:spacing w:val="5"/>
          <w:shd w:val="clear" w:color="auto" w:fill="FFFFFF"/>
        </w:rPr>
      </w:pPr>
    </w:p>
    <w:p w:rsidR="00B34BF2" w:rsidRDefault="00B34BF2" w:rsidP="008254E9">
      <w:pPr>
        <w:shd w:val="clear" w:color="auto" w:fill="FFFFFF"/>
        <w:spacing w:after="0" w:line="360" w:lineRule="auto"/>
        <w:jc w:val="both"/>
        <w:rPr>
          <w:b/>
          <w:bCs/>
          <w:spacing w:val="5"/>
          <w:shd w:val="clear" w:color="auto" w:fill="FFFFFF"/>
        </w:rPr>
      </w:pPr>
      <w:r>
        <w:rPr>
          <w:b/>
          <w:bCs/>
          <w:spacing w:val="5"/>
          <w:shd w:val="clear" w:color="auto" w:fill="FFFFFF"/>
        </w:rPr>
        <w:t>Materials and Methods:</w:t>
      </w:r>
    </w:p>
    <w:p w:rsidR="00B34BF2" w:rsidRPr="00B34BF2" w:rsidRDefault="00B34BF2" w:rsidP="00E61BF9">
      <w:pPr>
        <w:shd w:val="clear" w:color="auto" w:fill="FFFFFF"/>
        <w:spacing w:after="0"/>
        <w:jc w:val="both"/>
        <w:rPr>
          <w:spacing w:val="5"/>
          <w:shd w:val="clear" w:color="auto" w:fill="FFFFFF"/>
        </w:rPr>
      </w:pPr>
      <w:r>
        <w:rPr>
          <w:spacing w:val="5"/>
          <w:shd w:val="clear" w:color="auto" w:fill="FFFFFF"/>
        </w:rPr>
        <w:t xml:space="preserve">This is a retrospective study of all the cases that were brought to the Department of Forensic Medicine and Toxicology, Lady </w:t>
      </w:r>
      <w:proofErr w:type="spellStart"/>
      <w:r>
        <w:rPr>
          <w:spacing w:val="5"/>
          <w:shd w:val="clear" w:color="auto" w:fill="FFFFFF"/>
        </w:rPr>
        <w:t>Hardinge</w:t>
      </w:r>
      <w:proofErr w:type="spellEnd"/>
      <w:r>
        <w:rPr>
          <w:spacing w:val="5"/>
          <w:shd w:val="clear" w:color="auto" w:fill="FFFFFF"/>
        </w:rPr>
        <w:t xml:space="preserve"> Medical College, New Delhi during the period of 2013-17 for post-mortem examination.</w:t>
      </w:r>
      <w:r w:rsidR="007C0866">
        <w:rPr>
          <w:spacing w:val="5"/>
          <w:shd w:val="clear" w:color="auto" w:fill="FFFFFF"/>
        </w:rPr>
        <w:t xml:space="preserve"> The case of Medical negligence was decided based on the history given by the Investigation Officer.</w:t>
      </w:r>
    </w:p>
    <w:p w:rsidR="002302D0" w:rsidRDefault="002302D0" w:rsidP="008254E9">
      <w:pPr>
        <w:shd w:val="clear" w:color="auto" w:fill="FFFFFF"/>
        <w:spacing w:after="0" w:line="360" w:lineRule="auto"/>
        <w:jc w:val="both"/>
        <w:rPr>
          <w:spacing w:val="5"/>
          <w:shd w:val="clear" w:color="auto" w:fill="FFFFFF"/>
        </w:rPr>
      </w:pPr>
    </w:p>
    <w:p w:rsidR="002302D0" w:rsidRDefault="002302D0" w:rsidP="002302D0">
      <w:pPr>
        <w:shd w:val="clear" w:color="auto" w:fill="FFFFFF"/>
        <w:spacing w:after="0" w:line="360" w:lineRule="auto"/>
        <w:jc w:val="both"/>
        <w:rPr>
          <w:b/>
          <w:bCs/>
          <w:spacing w:val="5"/>
          <w:shd w:val="clear" w:color="auto" w:fill="FFFFFF"/>
        </w:rPr>
      </w:pPr>
      <w:r w:rsidRPr="002302D0">
        <w:rPr>
          <w:b/>
          <w:bCs/>
          <w:spacing w:val="5"/>
          <w:shd w:val="clear" w:color="auto" w:fill="FFFFFF"/>
        </w:rPr>
        <w:t>Observation and Results:</w:t>
      </w:r>
    </w:p>
    <w:p w:rsidR="00916B6A" w:rsidRPr="00916B6A" w:rsidRDefault="00E25375" w:rsidP="00E61BF9">
      <w:pPr>
        <w:shd w:val="clear" w:color="auto" w:fill="FFFFFF"/>
        <w:spacing w:after="0"/>
        <w:jc w:val="both"/>
        <w:rPr>
          <w:spacing w:val="5"/>
          <w:shd w:val="clear" w:color="auto" w:fill="FFFFFF"/>
        </w:rPr>
      </w:pPr>
      <w:r>
        <w:rPr>
          <w:spacing w:val="5"/>
          <w:shd w:val="clear" w:color="auto" w:fill="FFFFFF"/>
        </w:rPr>
        <w:t xml:space="preserve">There is a general rise in percentage of cases of medical negligence deaths brought to us autopsy with year 2016 showing maximum as </w:t>
      </w:r>
      <w:r w:rsidR="002A651D">
        <w:rPr>
          <w:spacing w:val="5"/>
          <w:shd w:val="clear" w:color="auto" w:fill="FFFFFF"/>
        </w:rPr>
        <w:t>1.23</w:t>
      </w:r>
      <w:r>
        <w:rPr>
          <w:spacing w:val="5"/>
          <w:shd w:val="clear" w:color="auto" w:fill="FFFFFF"/>
        </w:rPr>
        <w:t>%.</w:t>
      </w:r>
    </w:p>
    <w:tbl>
      <w:tblPr>
        <w:tblStyle w:val="TableGrid"/>
        <w:tblW w:w="0" w:type="auto"/>
        <w:tblLook w:val="04A0" w:firstRow="1" w:lastRow="0" w:firstColumn="1" w:lastColumn="0" w:noHBand="0" w:noVBand="1"/>
      </w:tblPr>
      <w:tblGrid>
        <w:gridCol w:w="978"/>
        <w:gridCol w:w="7352"/>
        <w:gridCol w:w="1246"/>
      </w:tblGrid>
      <w:tr w:rsidR="00E25375" w:rsidTr="00E25375">
        <w:tc>
          <w:tcPr>
            <w:tcW w:w="978" w:type="dxa"/>
          </w:tcPr>
          <w:p w:rsidR="00E25375" w:rsidRPr="00DB29EE" w:rsidRDefault="00E25375" w:rsidP="006B53DB">
            <w:pPr>
              <w:rPr>
                <w:b/>
                <w:sz w:val="18"/>
                <w:szCs w:val="18"/>
              </w:rPr>
            </w:pPr>
            <w:r w:rsidRPr="00DB29EE">
              <w:rPr>
                <w:b/>
                <w:sz w:val="18"/>
                <w:szCs w:val="18"/>
              </w:rPr>
              <w:t>Year</w:t>
            </w:r>
          </w:p>
        </w:tc>
        <w:tc>
          <w:tcPr>
            <w:tcW w:w="7352" w:type="dxa"/>
          </w:tcPr>
          <w:p w:rsidR="00E25375" w:rsidRPr="00DB29EE" w:rsidRDefault="00E25375" w:rsidP="006B53DB">
            <w:pPr>
              <w:rPr>
                <w:b/>
                <w:sz w:val="18"/>
                <w:szCs w:val="18"/>
              </w:rPr>
            </w:pPr>
            <w:r w:rsidRPr="00DB29EE">
              <w:rPr>
                <w:b/>
                <w:sz w:val="18"/>
                <w:szCs w:val="18"/>
              </w:rPr>
              <w:t xml:space="preserve">Number of </w:t>
            </w:r>
            <w:r>
              <w:rPr>
                <w:b/>
                <w:sz w:val="18"/>
                <w:szCs w:val="18"/>
              </w:rPr>
              <w:t>Alleged Medical Negligence</w:t>
            </w:r>
            <w:r w:rsidRPr="00DB29EE">
              <w:rPr>
                <w:b/>
                <w:sz w:val="18"/>
                <w:szCs w:val="18"/>
              </w:rPr>
              <w:t xml:space="preserve"> Deaths cases brought for Autopsy</w:t>
            </w:r>
            <w:r>
              <w:rPr>
                <w:b/>
                <w:sz w:val="18"/>
                <w:szCs w:val="18"/>
              </w:rPr>
              <w:t xml:space="preserve"> (Total number of Autopsies in that particular year)</w:t>
            </w:r>
          </w:p>
        </w:tc>
        <w:tc>
          <w:tcPr>
            <w:tcW w:w="1246" w:type="dxa"/>
          </w:tcPr>
          <w:p w:rsidR="00E25375" w:rsidRPr="00DB29EE" w:rsidRDefault="00E25375" w:rsidP="006B53DB">
            <w:pPr>
              <w:rPr>
                <w:b/>
                <w:sz w:val="18"/>
                <w:szCs w:val="18"/>
              </w:rPr>
            </w:pPr>
            <w:r>
              <w:rPr>
                <w:b/>
                <w:sz w:val="18"/>
                <w:szCs w:val="18"/>
              </w:rPr>
              <w:t>Percentage</w:t>
            </w:r>
          </w:p>
        </w:tc>
      </w:tr>
      <w:tr w:rsidR="00E25375" w:rsidTr="00E25375">
        <w:tc>
          <w:tcPr>
            <w:tcW w:w="978" w:type="dxa"/>
          </w:tcPr>
          <w:p w:rsidR="00E25375" w:rsidRDefault="00E25375" w:rsidP="006B53DB">
            <w:pPr>
              <w:rPr>
                <w:sz w:val="18"/>
                <w:szCs w:val="18"/>
              </w:rPr>
            </w:pPr>
            <w:r>
              <w:rPr>
                <w:sz w:val="18"/>
                <w:szCs w:val="18"/>
              </w:rPr>
              <w:t>2013</w:t>
            </w:r>
          </w:p>
        </w:tc>
        <w:tc>
          <w:tcPr>
            <w:tcW w:w="7352" w:type="dxa"/>
          </w:tcPr>
          <w:p w:rsidR="00E25375" w:rsidRDefault="00E25375" w:rsidP="006B53DB">
            <w:pPr>
              <w:rPr>
                <w:sz w:val="18"/>
                <w:szCs w:val="18"/>
              </w:rPr>
            </w:pPr>
            <w:r>
              <w:rPr>
                <w:sz w:val="18"/>
                <w:szCs w:val="18"/>
              </w:rPr>
              <w:t>4 (630)</w:t>
            </w:r>
          </w:p>
        </w:tc>
        <w:tc>
          <w:tcPr>
            <w:tcW w:w="1246" w:type="dxa"/>
          </w:tcPr>
          <w:p w:rsidR="00E25375" w:rsidRDefault="00A40D95" w:rsidP="006B53DB">
            <w:pPr>
              <w:rPr>
                <w:sz w:val="18"/>
                <w:szCs w:val="18"/>
              </w:rPr>
            </w:pPr>
            <w:r>
              <w:rPr>
                <w:sz w:val="18"/>
                <w:szCs w:val="18"/>
              </w:rPr>
              <w:t>0.64</w:t>
            </w:r>
            <w:r w:rsidR="00E25375">
              <w:rPr>
                <w:sz w:val="18"/>
                <w:szCs w:val="18"/>
              </w:rPr>
              <w:t>%</w:t>
            </w:r>
          </w:p>
        </w:tc>
      </w:tr>
      <w:tr w:rsidR="00E25375" w:rsidTr="00E25375">
        <w:tc>
          <w:tcPr>
            <w:tcW w:w="978" w:type="dxa"/>
          </w:tcPr>
          <w:p w:rsidR="00E25375" w:rsidRDefault="00E25375" w:rsidP="006B53DB">
            <w:pPr>
              <w:rPr>
                <w:sz w:val="18"/>
                <w:szCs w:val="18"/>
              </w:rPr>
            </w:pPr>
            <w:r>
              <w:rPr>
                <w:sz w:val="18"/>
                <w:szCs w:val="18"/>
              </w:rPr>
              <w:t>2014</w:t>
            </w:r>
          </w:p>
        </w:tc>
        <w:tc>
          <w:tcPr>
            <w:tcW w:w="7352" w:type="dxa"/>
          </w:tcPr>
          <w:p w:rsidR="00E25375" w:rsidRDefault="00E25375" w:rsidP="006B53DB">
            <w:pPr>
              <w:rPr>
                <w:sz w:val="18"/>
                <w:szCs w:val="18"/>
              </w:rPr>
            </w:pPr>
            <w:r>
              <w:rPr>
                <w:sz w:val="18"/>
                <w:szCs w:val="18"/>
              </w:rPr>
              <w:t>6 (701)</w:t>
            </w:r>
          </w:p>
        </w:tc>
        <w:tc>
          <w:tcPr>
            <w:tcW w:w="1246" w:type="dxa"/>
          </w:tcPr>
          <w:p w:rsidR="00E25375" w:rsidRDefault="00A40D95" w:rsidP="006B53DB">
            <w:pPr>
              <w:rPr>
                <w:sz w:val="18"/>
                <w:szCs w:val="18"/>
              </w:rPr>
            </w:pPr>
            <w:r>
              <w:rPr>
                <w:sz w:val="18"/>
                <w:szCs w:val="18"/>
              </w:rPr>
              <w:t>0.86</w:t>
            </w:r>
            <w:r w:rsidR="00E25375">
              <w:rPr>
                <w:sz w:val="18"/>
                <w:szCs w:val="18"/>
              </w:rPr>
              <w:t>%</w:t>
            </w:r>
          </w:p>
        </w:tc>
      </w:tr>
      <w:tr w:rsidR="00E25375" w:rsidTr="00E25375">
        <w:tc>
          <w:tcPr>
            <w:tcW w:w="978" w:type="dxa"/>
          </w:tcPr>
          <w:p w:rsidR="00E25375" w:rsidRDefault="00E25375" w:rsidP="006B53DB">
            <w:pPr>
              <w:rPr>
                <w:sz w:val="18"/>
                <w:szCs w:val="18"/>
              </w:rPr>
            </w:pPr>
            <w:r>
              <w:rPr>
                <w:sz w:val="18"/>
                <w:szCs w:val="18"/>
              </w:rPr>
              <w:t>2015</w:t>
            </w:r>
          </w:p>
        </w:tc>
        <w:tc>
          <w:tcPr>
            <w:tcW w:w="7352" w:type="dxa"/>
          </w:tcPr>
          <w:p w:rsidR="00E25375" w:rsidRDefault="00E25375" w:rsidP="006B53DB">
            <w:pPr>
              <w:rPr>
                <w:sz w:val="18"/>
                <w:szCs w:val="18"/>
              </w:rPr>
            </w:pPr>
            <w:r>
              <w:rPr>
                <w:sz w:val="18"/>
                <w:szCs w:val="18"/>
              </w:rPr>
              <w:t>5 (737)</w:t>
            </w:r>
          </w:p>
        </w:tc>
        <w:tc>
          <w:tcPr>
            <w:tcW w:w="1246" w:type="dxa"/>
          </w:tcPr>
          <w:p w:rsidR="00E25375" w:rsidRDefault="00A40D95" w:rsidP="006B53DB">
            <w:pPr>
              <w:rPr>
                <w:sz w:val="18"/>
                <w:szCs w:val="18"/>
              </w:rPr>
            </w:pPr>
            <w:r>
              <w:rPr>
                <w:sz w:val="18"/>
                <w:szCs w:val="18"/>
              </w:rPr>
              <w:t>0.68</w:t>
            </w:r>
            <w:r w:rsidR="00E25375">
              <w:rPr>
                <w:sz w:val="18"/>
                <w:szCs w:val="18"/>
              </w:rPr>
              <w:t>%</w:t>
            </w:r>
          </w:p>
        </w:tc>
      </w:tr>
      <w:tr w:rsidR="00E25375" w:rsidTr="00E25375">
        <w:tc>
          <w:tcPr>
            <w:tcW w:w="978" w:type="dxa"/>
          </w:tcPr>
          <w:p w:rsidR="00E25375" w:rsidRDefault="00E25375" w:rsidP="006B53DB">
            <w:pPr>
              <w:rPr>
                <w:sz w:val="18"/>
                <w:szCs w:val="18"/>
              </w:rPr>
            </w:pPr>
            <w:r>
              <w:rPr>
                <w:sz w:val="18"/>
                <w:szCs w:val="18"/>
              </w:rPr>
              <w:t>2016</w:t>
            </w:r>
          </w:p>
        </w:tc>
        <w:tc>
          <w:tcPr>
            <w:tcW w:w="7352" w:type="dxa"/>
          </w:tcPr>
          <w:p w:rsidR="00E25375" w:rsidRDefault="00E25375" w:rsidP="006B53DB">
            <w:pPr>
              <w:rPr>
                <w:sz w:val="18"/>
                <w:szCs w:val="18"/>
              </w:rPr>
            </w:pPr>
            <w:r>
              <w:rPr>
                <w:sz w:val="18"/>
                <w:szCs w:val="18"/>
              </w:rPr>
              <w:t>10 (811)</w:t>
            </w:r>
          </w:p>
        </w:tc>
        <w:tc>
          <w:tcPr>
            <w:tcW w:w="1246" w:type="dxa"/>
          </w:tcPr>
          <w:p w:rsidR="00E25375" w:rsidRDefault="00A40D95" w:rsidP="006B53DB">
            <w:pPr>
              <w:rPr>
                <w:sz w:val="18"/>
                <w:szCs w:val="18"/>
              </w:rPr>
            </w:pPr>
            <w:r>
              <w:rPr>
                <w:sz w:val="18"/>
                <w:szCs w:val="18"/>
              </w:rPr>
              <w:t>1.23</w:t>
            </w:r>
            <w:r w:rsidR="00E25375">
              <w:rPr>
                <w:sz w:val="18"/>
                <w:szCs w:val="18"/>
              </w:rPr>
              <w:t>%</w:t>
            </w:r>
          </w:p>
        </w:tc>
      </w:tr>
      <w:tr w:rsidR="00E25375" w:rsidTr="00E25375">
        <w:tc>
          <w:tcPr>
            <w:tcW w:w="978" w:type="dxa"/>
          </w:tcPr>
          <w:p w:rsidR="00E25375" w:rsidRDefault="00E25375" w:rsidP="006B53DB">
            <w:pPr>
              <w:rPr>
                <w:sz w:val="18"/>
                <w:szCs w:val="18"/>
              </w:rPr>
            </w:pPr>
            <w:r>
              <w:rPr>
                <w:sz w:val="18"/>
                <w:szCs w:val="18"/>
              </w:rPr>
              <w:t>2017</w:t>
            </w:r>
          </w:p>
        </w:tc>
        <w:tc>
          <w:tcPr>
            <w:tcW w:w="7352" w:type="dxa"/>
          </w:tcPr>
          <w:p w:rsidR="00E25375" w:rsidRDefault="00E25375" w:rsidP="006B53DB">
            <w:pPr>
              <w:rPr>
                <w:sz w:val="18"/>
                <w:szCs w:val="18"/>
              </w:rPr>
            </w:pPr>
            <w:r>
              <w:rPr>
                <w:sz w:val="18"/>
                <w:szCs w:val="18"/>
              </w:rPr>
              <w:t>6 (623)</w:t>
            </w:r>
          </w:p>
        </w:tc>
        <w:tc>
          <w:tcPr>
            <w:tcW w:w="1246" w:type="dxa"/>
          </w:tcPr>
          <w:p w:rsidR="00E25375" w:rsidRDefault="00A40D95" w:rsidP="006B53DB">
            <w:pPr>
              <w:rPr>
                <w:sz w:val="18"/>
                <w:szCs w:val="18"/>
              </w:rPr>
            </w:pPr>
            <w:r>
              <w:rPr>
                <w:sz w:val="18"/>
                <w:szCs w:val="18"/>
              </w:rPr>
              <w:t>0.96</w:t>
            </w:r>
            <w:r w:rsidR="00E25375">
              <w:rPr>
                <w:sz w:val="18"/>
                <w:szCs w:val="18"/>
              </w:rPr>
              <w:t>%</w:t>
            </w:r>
          </w:p>
        </w:tc>
      </w:tr>
    </w:tbl>
    <w:p w:rsidR="002302D0" w:rsidRDefault="002302D0" w:rsidP="002302D0">
      <w:pPr>
        <w:rPr>
          <w:sz w:val="18"/>
          <w:szCs w:val="18"/>
        </w:rPr>
      </w:pPr>
      <w:r>
        <w:rPr>
          <w:sz w:val="18"/>
          <w:szCs w:val="18"/>
        </w:rPr>
        <w:t xml:space="preserve">Table 1. Number of </w:t>
      </w:r>
      <w:r w:rsidRPr="000E7161">
        <w:rPr>
          <w:sz w:val="18"/>
          <w:szCs w:val="18"/>
        </w:rPr>
        <w:t>Alleged Medical Negligence</w:t>
      </w:r>
      <w:r>
        <w:rPr>
          <w:sz w:val="18"/>
          <w:szCs w:val="18"/>
        </w:rPr>
        <w:t xml:space="preserve"> deaths cases brought for Autopsy</w:t>
      </w:r>
    </w:p>
    <w:p w:rsidR="002302D0" w:rsidRDefault="002302D0" w:rsidP="002302D0">
      <w:pPr>
        <w:rPr>
          <w:sz w:val="18"/>
          <w:szCs w:val="18"/>
        </w:rPr>
      </w:pPr>
      <w:r>
        <w:rPr>
          <w:noProof/>
          <w:sz w:val="18"/>
          <w:szCs w:val="18"/>
          <w:lang w:val="en-IN" w:eastAsia="en-IN"/>
        </w:rPr>
        <w:lastRenderedPageBreak/>
        <w:drawing>
          <wp:inline distT="0" distB="0" distL="0" distR="0">
            <wp:extent cx="5710541" cy="2081719"/>
            <wp:effectExtent l="19050" t="0" r="23509"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302D0" w:rsidRDefault="002302D0" w:rsidP="002302D0">
      <w:pPr>
        <w:rPr>
          <w:sz w:val="18"/>
          <w:szCs w:val="18"/>
        </w:rPr>
      </w:pPr>
      <w:r>
        <w:rPr>
          <w:sz w:val="18"/>
          <w:szCs w:val="18"/>
        </w:rPr>
        <w:t xml:space="preserve">Figure 1. Number of </w:t>
      </w:r>
      <w:r w:rsidRPr="002E1D09">
        <w:rPr>
          <w:bCs/>
          <w:sz w:val="18"/>
          <w:szCs w:val="18"/>
        </w:rPr>
        <w:t>Alleged Medical Negligence</w:t>
      </w:r>
      <w:r>
        <w:rPr>
          <w:sz w:val="18"/>
          <w:szCs w:val="18"/>
        </w:rPr>
        <w:t xml:space="preserve"> Deaths cases brought for Autopsy.</w:t>
      </w:r>
    </w:p>
    <w:p w:rsidR="00916B6A" w:rsidRPr="00916B6A" w:rsidRDefault="00916B6A" w:rsidP="004806C2">
      <w:pPr>
        <w:jc w:val="both"/>
      </w:pPr>
      <w:r>
        <w:t xml:space="preserve">Maximum numbers of alleged medical negligence </w:t>
      </w:r>
      <w:r w:rsidR="00E21BEB">
        <w:t xml:space="preserve">death </w:t>
      </w:r>
      <w:r>
        <w:t>cases were observed in the age group of 0-10 years</w:t>
      </w:r>
      <w:r w:rsidR="004806C2">
        <w:t xml:space="preserve"> i.e. 42%</w:t>
      </w:r>
      <w:r>
        <w:t>, followed by 21-30 years</w:t>
      </w:r>
      <w:r w:rsidR="004806C2">
        <w:t>, 23%</w:t>
      </w:r>
      <w:r>
        <w:t>.</w:t>
      </w:r>
    </w:p>
    <w:tbl>
      <w:tblPr>
        <w:tblStyle w:val="TableGrid"/>
        <w:tblW w:w="0" w:type="auto"/>
        <w:tblLook w:val="04A0" w:firstRow="1" w:lastRow="0" w:firstColumn="1" w:lastColumn="0" w:noHBand="0" w:noVBand="1"/>
      </w:tblPr>
      <w:tblGrid>
        <w:gridCol w:w="3815"/>
        <w:gridCol w:w="5761"/>
      </w:tblGrid>
      <w:tr w:rsidR="002302D0" w:rsidTr="006B53DB">
        <w:tc>
          <w:tcPr>
            <w:tcW w:w="3936" w:type="dxa"/>
          </w:tcPr>
          <w:p w:rsidR="002302D0" w:rsidRDefault="002302D0" w:rsidP="006B53DB">
            <w:pPr>
              <w:rPr>
                <w:sz w:val="18"/>
                <w:szCs w:val="18"/>
              </w:rPr>
            </w:pPr>
            <w:r>
              <w:rPr>
                <w:sz w:val="18"/>
                <w:szCs w:val="18"/>
              </w:rPr>
              <w:t>Age Group</w:t>
            </w:r>
          </w:p>
        </w:tc>
        <w:tc>
          <w:tcPr>
            <w:tcW w:w="5953" w:type="dxa"/>
          </w:tcPr>
          <w:p w:rsidR="002302D0" w:rsidRDefault="002302D0" w:rsidP="006B53DB">
            <w:pPr>
              <w:rPr>
                <w:sz w:val="18"/>
                <w:szCs w:val="18"/>
              </w:rPr>
            </w:pPr>
            <w:r>
              <w:rPr>
                <w:sz w:val="18"/>
                <w:szCs w:val="18"/>
              </w:rPr>
              <w:t>Number of Cases</w:t>
            </w:r>
          </w:p>
        </w:tc>
      </w:tr>
      <w:tr w:rsidR="002302D0" w:rsidTr="006B53DB">
        <w:tc>
          <w:tcPr>
            <w:tcW w:w="3936" w:type="dxa"/>
          </w:tcPr>
          <w:p w:rsidR="002302D0" w:rsidRDefault="002302D0" w:rsidP="006B53DB">
            <w:pPr>
              <w:rPr>
                <w:sz w:val="18"/>
                <w:szCs w:val="18"/>
              </w:rPr>
            </w:pPr>
            <w:r>
              <w:rPr>
                <w:sz w:val="18"/>
                <w:szCs w:val="18"/>
              </w:rPr>
              <w:t>0-10</w:t>
            </w:r>
          </w:p>
        </w:tc>
        <w:tc>
          <w:tcPr>
            <w:tcW w:w="5953" w:type="dxa"/>
          </w:tcPr>
          <w:p w:rsidR="002302D0" w:rsidRDefault="002302D0" w:rsidP="006B53DB">
            <w:pPr>
              <w:rPr>
                <w:sz w:val="18"/>
                <w:szCs w:val="18"/>
              </w:rPr>
            </w:pPr>
            <w:r>
              <w:rPr>
                <w:sz w:val="18"/>
                <w:szCs w:val="18"/>
              </w:rPr>
              <w:t>13</w:t>
            </w:r>
          </w:p>
        </w:tc>
      </w:tr>
      <w:tr w:rsidR="002302D0" w:rsidTr="006B53DB">
        <w:tc>
          <w:tcPr>
            <w:tcW w:w="3936" w:type="dxa"/>
          </w:tcPr>
          <w:p w:rsidR="002302D0" w:rsidRDefault="002302D0" w:rsidP="006B53DB">
            <w:pPr>
              <w:rPr>
                <w:sz w:val="18"/>
                <w:szCs w:val="18"/>
              </w:rPr>
            </w:pPr>
            <w:r>
              <w:rPr>
                <w:sz w:val="18"/>
                <w:szCs w:val="18"/>
              </w:rPr>
              <w:t>11-20</w:t>
            </w:r>
          </w:p>
        </w:tc>
        <w:tc>
          <w:tcPr>
            <w:tcW w:w="5953" w:type="dxa"/>
          </w:tcPr>
          <w:p w:rsidR="002302D0" w:rsidRDefault="002302D0" w:rsidP="006B53DB">
            <w:pPr>
              <w:rPr>
                <w:sz w:val="18"/>
                <w:szCs w:val="18"/>
              </w:rPr>
            </w:pPr>
            <w:r>
              <w:rPr>
                <w:sz w:val="18"/>
                <w:szCs w:val="18"/>
              </w:rPr>
              <w:t>1</w:t>
            </w:r>
          </w:p>
        </w:tc>
      </w:tr>
      <w:tr w:rsidR="002302D0" w:rsidTr="006B53DB">
        <w:tc>
          <w:tcPr>
            <w:tcW w:w="3936" w:type="dxa"/>
          </w:tcPr>
          <w:p w:rsidR="002302D0" w:rsidRDefault="002302D0" w:rsidP="006B53DB">
            <w:pPr>
              <w:rPr>
                <w:sz w:val="18"/>
                <w:szCs w:val="18"/>
              </w:rPr>
            </w:pPr>
            <w:r>
              <w:rPr>
                <w:sz w:val="18"/>
                <w:szCs w:val="18"/>
              </w:rPr>
              <w:t>21-30</w:t>
            </w:r>
          </w:p>
        </w:tc>
        <w:tc>
          <w:tcPr>
            <w:tcW w:w="5953" w:type="dxa"/>
          </w:tcPr>
          <w:p w:rsidR="002302D0" w:rsidRDefault="002302D0" w:rsidP="006B53DB">
            <w:pPr>
              <w:rPr>
                <w:sz w:val="18"/>
                <w:szCs w:val="18"/>
              </w:rPr>
            </w:pPr>
            <w:r>
              <w:rPr>
                <w:sz w:val="18"/>
                <w:szCs w:val="18"/>
              </w:rPr>
              <w:t>7</w:t>
            </w:r>
          </w:p>
        </w:tc>
      </w:tr>
      <w:tr w:rsidR="002302D0" w:rsidTr="006B53DB">
        <w:tc>
          <w:tcPr>
            <w:tcW w:w="3936" w:type="dxa"/>
          </w:tcPr>
          <w:p w:rsidR="002302D0" w:rsidRDefault="002302D0" w:rsidP="006B53DB">
            <w:pPr>
              <w:rPr>
                <w:sz w:val="18"/>
                <w:szCs w:val="18"/>
              </w:rPr>
            </w:pPr>
            <w:r>
              <w:rPr>
                <w:sz w:val="18"/>
                <w:szCs w:val="18"/>
              </w:rPr>
              <w:t>31-40</w:t>
            </w:r>
          </w:p>
        </w:tc>
        <w:tc>
          <w:tcPr>
            <w:tcW w:w="5953" w:type="dxa"/>
          </w:tcPr>
          <w:p w:rsidR="002302D0" w:rsidRDefault="002302D0" w:rsidP="006B53DB">
            <w:pPr>
              <w:rPr>
                <w:sz w:val="18"/>
                <w:szCs w:val="18"/>
              </w:rPr>
            </w:pPr>
            <w:r>
              <w:rPr>
                <w:sz w:val="18"/>
                <w:szCs w:val="18"/>
              </w:rPr>
              <w:t>5</w:t>
            </w:r>
          </w:p>
        </w:tc>
      </w:tr>
      <w:tr w:rsidR="002302D0" w:rsidTr="006B53DB">
        <w:tc>
          <w:tcPr>
            <w:tcW w:w="3936" w:type="dxa"/>
          </w:tcPr>
          <w:p w:rsidR="002302D0" w:rsidRDefault="002302D0" w:rsidP="006B53DB">
            <w:pPr>
              <w:rPr>
                <w:sz w:val="18"/>
                <w:szCs w:val="18"/>
              </w:rPr>
            </w:pPr>
            <w:r>
              <w:rPr>
                <w:sz w:val="18"/>
                <w:szCs w:val="18"/>
              </w:rPr>
              <w:t>41-50</w:t>
            </w:r>
          </w:p>
        </w:tc>
        <w:tc>
          <w:tcPr>
            <w:tcW w:w="5953" w:type="dxa"/>
          </w:tcPr>
          <w:p w:rsidR="002302D0" w:rsidRDefault="002302D0" w:rsidP="006B53DB">
            <w:pPr>
              <w:rPr>
                <w:sz w:val="18"/>
                <w:szCs w:val="18"/>
              </w:rPr>
            </w:pPr>
            <w:r>
              <w:rPr>
                <w:sz w:val="18"/>
                <w:szCs w:val="18"/>
              </w:rPr>
              <w:t>2</w:t>
            </w:r>
          </w:p>
        </w:tc>
      </w:tr>
      <w:tr w:rsidR="002302D0" w:rsidTr="006B53DB">
        <w:tc>
          <w:tcPr>
            <w:tcW w:w="3936" w:type="dxa"/>
          </w:tcPr>
          <w:p w:rsidR="002302D0" w:rsidRDefault="002302D0" w:rsidP="006B53DB">
            <w:pPr>
              <w:rPr>
                <w:sz w:val="18"/>
                <w:szCs w:val="18"/>
              </w:rPr>
            </w:pPr>
            <w:r>
              <w:rPr>
                <w:sz w:val="18"/>
                <w:szCs w:val="18"/>
              </w:rPr>
              <w:t>51-60</w:t>
            </w:r>
          </w:p>
        </w:tc>
        <w:tc>
          <w:tcPr>
            <w:tcW w:w="5953" w:type="dxa"/>
          </w:tcPr>
          <w:p w:rsidR="002302D0" w:rsidRDefault="002302D0" w:rsidP="006B53DB">
            <w:pPr>
              <w:rPr>
                <w:sz w:val="18"/>
                <w:szCs w:val="18"/>
              </w:rPr>
            </w:pPr>
            <w:r>
              <w:rPr>
                <w:sz w:val="18"/>
                <w:szCs w:val="18"/>
              </w:rPr>
              <w:t>3</w:t>
            </w:r>
          </w:p>
        </w:tc>
      </w:tr>
    </w:tbl>
    <w:p w:rsidR="002302D0" w:rsidRDefault="002302D0" w:rsidP="002302D0">
      <w:pPr>
        <w:rPr>
          <w:sz w:val="18"/>
          <w:szCs w:val="18"/>
        </w:rPr>
      </w:pPr>
      <w:r>
        <w:rPr>
          <w:sz w:val="18"/>
          <w:szCs w:val="18"/>
        </w:rPr>
        <w:t>Table 2. Age wise distribution of cases.</w:t>
      </w:r>
    </w:p>
    <w:p w:rsidR="002302D0" w:rsidRDefault="002302D0" w:rsidP="002302D0">
      <w:pPr>
        <w:rPr>
          <w:sz w:val="18"/>
          <w:szCs w:val="18"/>
        </w:rPr>
      </w:pPr>
      <w:r>
        <w:rPr>
          <w:noProof/>
          <w:sz w:val="18"/>
          <w:szCs w:val="18"/>
          <w:lang w:val="en-IN" w:eastAsia="en-IN"/>
        </w:rPr>
        <w:drawing>
          <wp:inline distT="0" distB="0" distL="0" distR="0">
            <wp:extent cx="3800475" cy="215265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02D0" w:rsidRDefault="002302D0" w:rsidP="002302D0">
      <w:pPr>
        <w:tabs>
          <w:tab w:val="left" w:pos="1960"/>
        </w:tabs>
        <w:rPr>
          <w:sz w:val="18"/>
          <w:szCs w:val="18"/>
        </w:rPr>
      </w:pPr>
      <w:r>
        <w:rPr>
          <w:sz w:val="18"/>
          <w:szCs w:val="18"/>
        </w:rPr>
        <w:t>Figure 2. . Age wise distribution of cases.</w:t>
      </w:r>
    </w:p>
    <w:p w:rsidR="002302D0" w:rsidRDefault="00916B6A" w:rsidP="004806C2">
      <w:pPr>
        <w:tabs>
          <w:tab w:val="left" w:pos="1960"/>
        </w:tabs>
        <w:jc w:val="both"/>
        <w:rPr>
          <w:sz w:val="18"/>
          <w:szCs w:val="18"/>
        </w:rPr>
      </w:pPr>
      <w:r>
        <w:t>There were more female deaths with alleged history of medical negligence</w:t>
      </w:r>
      <w:r w:rsidR="004806C2">
        <w:t xml:space="preserve"> accounting for 55% of total medical negligence deaths.</w:t>
      </w:r>
    </w:p>
    <w:tbl>
      <w:tblPr>
        <w:tblStyle w:val="TableGrid"/>
        <w:tblW w:w="0" w:type="auto"/>
        <w:tblLook w:val="04A0" w:firstRow="1" w:lastRow="0" w:firstColumn="1" w:lastColumn="0" w:noHBand="0" w:noVBand="1"/>
      </w:tblPr>
      <w:tblGrid>
        <w:gridCol w:w="5043"/>
        <w:gridCol w:w="4533"/>
      </w:tblGrid>
      <w:tr w:rsidR="002302D0" w:rsidTr="006B53DB">
        <w:tc>
          <w:tcPr>
            <w:tcW w:w="5211" w:type="dxa"/>
          </w:tcPr>
          <w:p w:rsidR="002302D0" w:rsidRDefault="002302D0" w:rsidP="006B53DB">
            <w:pPr>
              <w:tabs>
                <w:tab w:val="left" w:pos="1960"/>
              </w:tabs>
              <w:rPr>
                <w:sz w:val="18"/>
                <w:szCs w:val="18"/>
              </w:rPr>
            </w:pPr>
            <w:r>
              <w:rPr>
                <w:sz w:val="18"/>
                <w:szCs w:val="18"/>
              </w:rPr>
              <w:t>Sex</w:t>
            </w:r>
          </w:p>
        </w:tc>
        <w:tc>
          <w:tcPr>
            <w:tcW w:w="4678" w:type="dxa"/>
          </w:tcPr>
          <w:p w:rsidR="002302D0" w:rsidRDefault="002302D0" w:rsidP="006B53DB">
            <w:pPr>
              <w:tabs>
                <w:tab w:val="left" w:pos="1960"/>
              </w:tabs>
              <w:rPr>
                <w:sz w:val="18"/>
                <w:szCs w:val="18"/>
              </w:rPr>
            </w:pPr>
            <w:r>
              <w:rPr>
                <w:sz w:val="18"/>
                <w:szCs w:val="18"/>
              </w:rPr>
              <w:t>Number of Cases</w:t>
            </w:r>
          </w:p>
        </w:tc>
      </w:tr>
      <w:tr w:rsidR="002302D0" w:rsidTr="006B53DB">
        <w:tc>
          <w:tcPr>
            <w:tcW w:w="5211" w:type="dxa"/>
          </w:tcPr>
          <w:p w:rsidR="002302D0" w:rsidRDefault="002302D0" w:rsidP="006B53DB">
            <w:pPr>
              <w:tabs>
                <w:tab w:val="left" w:pos="1960"/>
              </w:tabs>
              <w:rPr>
                <w:sz w:val="18"/>
                <w:szCs w:val="18"/>
              </w:rPr>
            </w:pPr>
            <w:r>
              <w:rPr>
                <w:sz w:val="18"/>
                <w:szCs w:val="18"/>
              </w:rPr>
              <w:t xml:space="preserve">Male </w:t>
            </w:r>
          </w:p>
        </w:tc>
        <w:tc>
          <w:tcPr>
            <w:tcW w:w="4678" w:type="dxa"/>
          </w:tcPr>
          <w:p w:rsidR="002302D0" w:rsidRDefault="002302D0" w:rsidP="006B53DB">
            <w:pPr>
              <w:tabs>
                <w:tab w:val="left" w:pos="1960"/>
              </w:tabs>
              <w:rPr>
                <w:sz w:val="18"/>
                <w:szCs w:val="18"/>
              </w:rPr>
            </w:pPr>
            <w:r>
              <w:rPr>
                <w:sz w:val="18"/>
                <w:szCs w:val="18"/>
              </w:rPr>
              <w:t>14</w:t>
            </w:r>
          </w:p>
        </w:tc>
      </w:tr>
      <w:tr w:rsidR="002302D0" w:rsidTr="006B53DB">
        <w:tc>
          <w:tcPr>
            <w:tcW w:w="5211" w:type="dxa"/>
          </w:tcPr>
          <w:p w:rsidR="002302D0" w:rsidRDefault="002302D0" w:rsidP="006B53DB">
            <w:pPr>
              <w:tabs>
                <w:tab w:val="left" w:pos="1960"/>
              </w:tabs>
              <w:rPr>
                <w:sz w:val="18"/>
                <w:szCs w:val="18"/>
              </w:rPr>
            </w:pPr>
            <w:r>
              <w:rPr>
                <w:sz w:val="18"/>
                <w:szCs w:val="18"/>
              </w:rPr>
              <w:t>Female</w:t>
            </w:r>
          </w:p>
        </w:tc>
        <w:tc>
          <w:tcPr>
            <w:tcW w:w="4678" w:type="dxa"/>
          </w:tcPr>
          <w:p w:rsidR="002302D0" w:rsidRDefault="002302D0" w:rsidP="006B53DB">
            <w:pPr>
              <w:tabs>
                <w:tab w:val="left" w:pos="1960"/>
              </w:tabs>
              <w:rPr>
                <w:sz w:val="18"/>
                <w:szCs w:val="18"/>
              </w:rPr>
            </w:pPr>
            <w:r>
              <w:rPr>
                <w:sz w:val="18"/>
                <w:szCs w:val="18"/>
              </w:rPr>
              <w:t>17</w:t>
            </w:r>
          </w:p>
        </w:tc>
      </w:tr>
    </w:tbl>
    <w:p w:rsidR="002302D0" w:rsidRDefault="002302D0" w:rsidP="002302D0">
      <w:pPr>
        <w:tabs>
          <w:tab w:val="left" w:pos="1960"/>
        </w:tabs>
        <w:rPr>
          <w:sz w:val="18"/>
          <w:szCs w:val="18"/>
        </w:rPr>
      </w:pPr>
      <w:r>
        <w:rPr>
          <w:sz w:val="18"/>
          <w:szCs w:val="18"/>
        </w:rPr>
        <w:t>Table 3. Sex wise distribution of Cases.</w:t>
      </w:r>
    </w:p>
    <w:p w:rsidR="002302D0" w:rsidRDefault="002302D0" w:rsidP="002302D0">
      <w:pPr>
        <w:tabs>
          <w:tab w:val="left" w:pos="1960"/>
        </w:tabs>
        <w:rPr>
          <w:sz w:val="18"/>
          <w:szCs w:val="18"/>
        </w:rPr>
      </w:pPr>
    </w:p>
    <w:p w:rsidR="002302D0" w:rsidRDefault="002302D0" w:rsidP="002302D0">
      <w:pPr>
        <w:tabs>
          <w:tab w:val="left" w:pos="1960"/>
        </w:tabs>
        <w:rPr>
          <w:sz w:val="18"/>
          <w:szCs w:val="18"/>
        </w:rPr>
      </w:pPr>
      <w:r>
        <w:rPr>
          <w:noProof/>
          <w:sz w:val="18"/>
          <w:szCs w:val="18"/>
          <w:lang w:val="en-IN" w:eastAsia="en-IN"/>
        </w:rPr>
        <w:lastRenderedPageBreak/>
        <w:drawing>
          <wp:inline distT="0" distB="0" distL="0" distR="0">
            <wp:extent cx="3752850" cy="169545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06C2" w:rsidRDefault="002302D0" w:rsidP="002302D0">
      <w:pPr>
        <w:tabs>
          <w:tab w:val="left" w:pos="1960"/>
        </w:tabs>
        <w:jc w:val="both"/>
        <w:rPr>
          <w:sz w:val="18"/>
          <w:szCs w:val="18"/>
        </w:rPr>
      </w:pPr>
      <w:r>
        <w:rPr>
          <w:sz w:val="18"/>
          <w:szCs w:val="18"/>
        </w:rPr>
        <w:t>Figure 3. Sex wise distribution of Cases.</w:t>
      </w:r>
    </w:p>
    <w:p w:rsidR="00916B6A" w:rsidRDefault="00916B6A" w:rsidP="002302D0">
      <w:pPr>
        <w:tabs>
          <w:tab w:val="left" w:pos="1960"/>
        </w:tabs>
        <w:jc w:val="both"/>
        <w:rPr>
          <w:sz w:val="18"/>
          <w:szCs w:val="18"/>
        </w:rPr>
      </w:pPr>
      <w:r>
        <w:t xml:space="preserve">Maximum numbers of alleged medical negligence </w:t>
      </w:r>
      <w:r w:rsidR="00E21BEB">
        <w:t xml:space="preserve">death </w:t>
      </w:r>
      <w:r>
        <w:t>cases were observed in Medicine and Pediatrics departments,</w:t>
      </w:r>
      <w:r w:rsidR="004806C2">
        <w:t xml:space="preserve"> accounting for 23% each of total deaths due to medical negligence,</w:t>
      </w:r>
      <w:r>
        <w:t xml:space="preserve"> followed by department of Obstetrics and Gynecology.</w:t>
      </w:r>
    </w:p>
    <w:tbl>
      <w:tblPr>
        <w:tblStyle w:val="TableGrid"/>
        <w:tblW w:w="0" w:type="auto"/>
        <w:tblLook w:val="04A0" w:firstRow="1" w:lastRow="0" w:firstColumn="1" w:lastColumn="0" w:noHBand="0" w:noVBand="1"/>
      </w:tblPr>
      <w:tblGrid>
        <w:gridCol w:w="4876"/>
        <w:gridCol w:w="4700"/>
      </w:tblGrid>
      <w:tr w:rsidR="002302D0" w:rsidTr="006B53DB">
        <w:tc>
          <w:tcPr>
            <w:tcW w:w="6588" w:type="dxa"/>
          </w:tcPr>
          <w:p w:rsidR="002302D0" w:rsidRDefault="002302D0" w:rsidP="006B53DB">
            <w:pPr>
              <w:tabs>
                <w:tab w:val="left" w:pos="2760"/>
              </w:tabs>
              <w:rPr>
                <w:sz w:val="18"/>
                <w:szCs w:val="18"/>
              </w:rPr>
            </w:pPr>
            <w:r>
              <w:rPr>
                <w:sz w:val="18"/>
                <w:szCs w:val="18"/>
              </w:rPr>
              <w:t>Department</w:t>
            </w:r>
          </w:p>
        </w:tc>
        <w:tc>
          <w:tcPr>
            <w:tcW w:w="6588" w:type="dxa"/>
          </w:tcPr>
          <w:p w:rsidR="002302D0" w:rsidRDefault="002302D0" w:rsidP="006B53DB">
            <w:pPr>
              <w:tabs>
                <w:tab w:val="left" w:pos="2760"/>
              </w:tabs>
              <w:rPr>
                <w:sz w:val="18"/>
                <w:szCs w:val="18"/>
              </w:rPr>
            </w:pPr>
            <w:r>
              <w:rPr>
                <w:sz w:val="18"/>
                <w:szCs w:val="18"/>
              </w:rPr>
              <w:t>Number of Cases</w:t>
            </w:r>
          </w:p>
        </w:tc>
      </w:tr>
      <w:tr w:rsidR="002302D0" w:rsidTr="006B53DB">
        <w:tc>
          <w:tcPr>
            <w:tcW w:w="6588" w:type="dxa"/>
          </w:tcPr>
          <w:p w:rsidR="002302D0" w:rsidRDefault="002302D0" w:rsidP="006B53DB">
            <w:pPr>
              <w:tabs>
                <w:tab w:val="left" w:pos="2760"/>
              </w:tabs>
              <w:rPr>
                <w:sz w:val="18"/>
                <w:szCs w:val="18"/>
              </w:rPr>
            </w:pPr>
            <w:r>
              <w:rPr>
                <w:sz w:val="18"/>
                <w:szCs w:val="18"/>
              </w:rPr>
              <w:t>Casualty</w:t>
            </w:r>
          </w:p>
        </w:tc>
        <w:tc>
          <w:tcPr>
            <w:tcW w:w="6588" w:type="dxa"/>
          </w:tcPr>
          <w:p w:rsidR="002302D0" w:rsidRDefault="002302D0" w:rsidP="006B53DB">
            <w:pPr>
              <w:tabs>
                <w:tab w:val="left" w:pos="2760"/>
              </w:tabs>
              <w:rPr>
                <w:sz w:val="18"/>
                <w:szCs w:val="18"/>
              </w:rPr>
            </w:pPr>
            <w:r>
              <w:rPr>
                <w:sz w:val="18"/>
                <w:szCs w:val="18"/>
              </w:rPr>
              <w:t>1</w:t>
            </w:r>
          </w:p>
        </w:tc>
      </w:tr>
      <w:tr w:rsidR="002302D0" w:rsidTr="006B53DB">
        <w:tc>
          <w:tcPr>
            <w:tcW w:w="6588" w:type="dxa"/>
          </w:tcPr>
          <w:p w:rsidR="002302D0" w:rsidRDefault="002302D0" w:rsidP="006B53DB">
            <w:pPr>
              <w:tabs>
                <w:tab w:val="left" w:pos="2760"/>
              </w:tabs>
              <w:rPr>
                <w:sz w:val="18"/>
                <w:szCs w:val="18"/>
              </w:rPr>
            </w:pPr>
            <w:r>
              <w:rPr>
                <w:sz w:val="18"/>
                <w:szCs w:val="18"/>
              </w:rPr>
              <w:t>Pediatrics</w:t>
            </w:r>
          </w:p>
        </w:tc>
        <w:tc>
          <w:tcPr>
            <w:tcW w:w="6588" w:type="dxa"/>
          </w:tcPr>
          <w:p w:rsidR="002302D0" w:rsidRDefault="002302D0" w:rsidP="006B53DB">
            <w:pPr>
              <w:tabs>
                <w:tab w:val="left" w:pos="2760"/>
              </w:tabs>
              <w:rPr>
                <w:sz w:val="18"/>
                <w:szCs w:val="18"/>
              </w:rPr>
            </w:pPr>
            <w:r>
              <w:rPr>
                <w:sz w:val="18"/>
                <w:szCs w:val="18"/>
              </w:rPr>
              <w:t>7</w:t>
            </w:r>
          </w:p>
        </w:tc>
      </w:tr>
      <w:tr w:rsidR="002302D0" w:rsidTr="006B53DB">
        <w:tc>
          <w:tcPr>
            <w:tcW w:w="6588" w:type="dxa"/>
          </w:tcPr>
          <w:p w:rsidR="002302D0" w:rsidRDefault="002302D0" w:rsidP="006B53DB">
            <w:pPr>
              <w:tabs>
                <w:tab w:val="left" w:pos="2760"/>
              </w:tabs>
              <w:rPr>
                <w:sz w:val="18"/>
                <w:szCs w:val="18"/>
              </w:rPr>
            </w:pPr>
            <w:r>
              <w:rPr>
                <w:sz w:val="18"/>
                <w:szCs w:val="18"/>
              </w:rPr>
              <w:t>OBGY</w:t>
            </w:r>
          </w:p>
        </w:tc>
        <w:tc>
          <w:tcPr>
            <w:tcW w:w="6588" w:type="dxa"/>
          </w:tcPr>
          <w:p w:rsidR="002302D0" w:rsidRDefault="002302D0" w:rsidP="006B53DB">
            <w:pPr>
              <w:tabs>
                <w:tab w:val="left" w:pos="2760"/>
              </w:tabs>
              <w:rPr>
                <w:sz w:val="18"/>
                <w:szCs w:val="18"/>
              </w:rPr>
            </w:pPr>
            <w:r>
              <w:rPr>
                <w:sz w:val="18"/>
                <w:szCs w:val="18"/>
              </w:rPr>
              <w:t>6</w:t>
            </w:r>
          </w:p>
        </w:tc>
      </w:tr>
      <w:tr w:rsidR="002302D0" w:rsidTr="006B53DB">
        <w:tc>
          <w:tcPr>
            <w:tcW w:w="6588" w:type="dxa"/>
          </w:tcPr>
          <w:p w:rsidR="002302D0" w:rsidRDefault="002302D0" w:rsidP="006B53DB">
            <w:pPr>
              <w:tabs>
                <w:tab w:val="left" w:pos="2760"/>
              </w:tabs>
              <w:rPr>
                <w:sz w:val="18"/>
                <w:szCs w:val="18"/>
              </w:rPr>
            </w:pPr>
            <w:r>
              <w:rPr>
                <w:sz w:val="18"/>
                <w:szCs w:val="18"/>
              </w:rPr>
              <w:t>Medicine</w:t>
            </w:r>
          </w:p>
        </w:tc>
        <w:tc>
          <w:tcPr>
            <w:tcW w:w="6588" w:type="dxa"/>
          </w:tcPr>
          <w:p w:rsidR="002302D0" w:rsidRDefault="002302D0" w:rsidP="006B53DB">
            <w:pPr>
              <w:tabs>
                <w:tab w:val="left" w:pos="2760"/>
              </w:tabs>
              <w:rPr>
                <w:sz w:val="18"/>
                <w:szCs w:val="18"/>
              </w:rPr>
            </w:pPr>
            <w:r>
              <w:rPr>
                <w:sz w:val="18"/>
                <w:szCs w:val="18"/>
              </w:rPr>
              <w:t>7</w:t>
            </w:r>
          </w:p>
        </w:tc>
      </w:tr>
      <w:tr w:rsidR="002302D0" w:rsidTr="006B53DB">
        <w:tc>
          <w:tcPr>
            <w:tcW w:w="6588" w:type="dxa"/>
          </w:tcPr>
          <w:p w:rsidR="002302D0" w:rsidRDefault="002302D0" w:rsidP="006B53DB">
            <w:pPr>
              <w:tabs>
                <w:tab w:val="left" w:pos="2760"/>
              </w:tabs>
              <w:rPr>
                <w:sz w:val="18"/>
                <w:szCs w:val="18"/>
              </w:rPr>
            </w:pPr>
            <w:r>
              <w:rPr>
                <w:sz w:val="18"/>
                <w:szCs w:val="18"/>
              </w:rPr>
              <w:t>Surgery</w:t>
            </w:r>
          </w:p>
        </w:tc>
        <w:tc>
          <w:tcPr>
            <w:tcW w:w="6588" w:type="dxa"/>
          </w:tcPr>
          <w:p w:rsidR="002302D0" w:rsidRDefault="002302D0" w:rsidP="006B53DB">
            <w:pPr>
              <w:tabs>
                <w:tab w:val="left" w:pos="2760"/>
              </w:tabs>
              <w:rPr>
                <w:sz w:val="18"/>
                <w:szCs w:val="18"/>
              </w:rPr>
            </w:pPr>
            <w:r>
              <w:rPr>
                <w:sz w:val="18"/>
                <w:szCs w:val="18"/>
              </w:rPr>
              <w:t>3</w:t>
            </w:r>
          </w:p>
        </w:tc>
      </w:tr>
      <w:tr w:rsidR="002302D0" w:rsidTr="006B53DB">
        <w:tc>
          <w:tcPr>
            <w:tcW w:w="6588" w:type="dxa"/>
          </w:tcPr>
          <w:p w:rsidR="002302D0" w:rsidRDefault="002302D0" w:rsidP="006B53DB">
            <w:pPr>
              <w:tabs>
                <w:tab w:val="left" w:pos="2760"/>
              </w:tabs>
              <w:rPr>
                <w:sz w:val="18"/>
                <w:szCs w:val="18"/>
              </w:rPr>
            </w:pPr>
            <w:r>
              <w:rPr>
                <w:sz w:val="18"/>
                <w:szCs w:val="18"/>
              </w:rPr>
              <w:t>Ophthalmology</w:t>
            </w:r>
          </w:p>
        </w:tc>
        <w:tc>
          <w:tcPr>
            <w:tcW w:w="6588" w:type="dxa"/>
          </w:tcPr>
          <w:p w:rsidR="002302D0" w:rsidRDefault="002302D0" w:rsidP="006B53DB">
            <w:pPr>
              <w:tabs>
                <w:tab w:val="left" w:pos="2760"/>
              </w:tabs>
              <w:rPr>
                <w:sz w:val="18"/>
                <w:szCs w:val="18"/>
              </w:rPr>
            </w:pPr>
            <w:r>
              <w:rPr>
                <w:sz w:val="18"/>
                <w:szCs w:val="18"/>
              </w:rPr>
              <w:t>1</w:t>
            </w:r>
          </w:p>
        </w:tc>
      </w:tr>
      <w:tr w:rsidR="002302D0" w:rsidTr="006B53DB">
        <w:tc>
          <w:tcPr>
            <w:tcW w:w="6588" w:type="dxa"/>
          </w:tcPr>
          <w:p w:rsidR="002302D0" w:rsidRDefault="002302D0" w:rsidP="006B53DB">
            <w:pPr>
              <w:tabs>
                <w:tab w:val="left" w:pos="2760"/>
              </w:tabs>
              <w:rPr>
                <w:sz w:val="18"/>
                <w:szCs w:val="18"/>
              </w:rPr>
            </w:pPr>
            <w:r>
              <w:rPr>
                <w:sz w:val="18"/>
                <w:szCs w:val="18"/>
              </w:rPr>
              <w:t>Anesthesia</w:t>
            </w:r>
          </w:p>
        </w:tc>
        <w:tc>
          <w:tcPr>
            <w:tcW w:w="6588" w:type="dxa"/>
          </w:tcPr>
          <w:p w:rsidR="002302D0" w:rsidRDefault="002302D0" w:rsidP="006B53DB">
            <w:pPr>
              <w:tabs>
                <w:tab w:val="left" w:pos="2760"/>
              </w:tabs>
              <w:rPr>
                <w:sz w:val="18"/>
                <w:szCs w:val="18"/>
              </w:rPr>
            </w:pPr>
            <w:r>
              <w:rPr>
                <w:sz w:val="18"/>
                <w:szCs w:val="18"/>
              </w:rPr>
              <w:t>1</w:t>
            </w:r>
          </w:p>
        </w:tc>
      </w:tr>
      <w:tr w:rsidR="002302D0" w:rsidTr="006B53DB">
        <w:tc>
          <w:tcPr>
            <w:tcW w:w="6588" w:type="dxa"/>
          </w:tcPr>
          <w:p w:rsidR="002302D0" w:rsidRDefault="002302D0" w:rsidP="006B53DB">
            <w:pPr>
              <w:tabs>
                <w:tab w:val="left" w:pos="2760"/>
              </w:tabs>
              <w:rPr>
                <w:sz w:val="18"/>
                <w:szCs w:val="18"/>
              </w:rPr>
            </w:pPr>
            <w:r>
              <w:rPr>
                <w:sz w:val="18"/>
                <w:szCs w:val="18"/>
              </w:rPr>
              <w:t>Private OPD</w:t>
            </w:r>
          </w:p>
        </w:tc>
        <w:tc>
          <w:tcPr>
            <w:tcW w:w="6588" w:type="dxa"/>
          </w:tcPr>
          <w:p w:rsidR="002302D0" w:rsidRDefault="002302D0" w:rsidP="006B53DB">
            <w:pPr>
              <w:tabs>
                <w:tab w:val="left" w:pos="2760"/>
              </w:tabs>
              <w:rPr>
                <w:sz w:val="18"/>
                <w:szCs w:val="18"/>
              </w:rPr>
            </w:pPr>
            <w:r>
              <w:rPr>
                <w:sz w:val="18"/>
                <w:szCs w:val="18"/>
              </w:rPr>
              <w:t>5</w:t>
            </w:r>
          </w:p>
        </w:tc>
      </w:tr>
    </w:tbl>
    <w:p w:rsidR="002302D0" w:rsidRDefault="002302D0" w:rsidP="002302D0">
      <w:pPr>
        <w:tabs>
          <w:tab w:val="left" w:pos="1960"/>
        </w:tabs>
        <w:rPr>
          <w:sz w:val="18"/>
          <w:szCs w:val="18"/>
        </w:rPr>
      </w:pPr>
      <w:r>
        <w:rPr>
          <w:sz w:val="18"/>
          <w:szCs w:val="18"/>
        </w:rPr>
        <w:t>Table 4.  Department vise distribution of Cases.</w:t>
      </w:r>
    </w:p>
    <w:p w:rsidR="002302D0" w:rsidRDefault="002302D0" w:rsidP="002302D0">
      <w:pPr>
        <w:tabs>
          <w:tab w:val="left" w:pos="2760"/>
        </w:tabs>
        <w:rPr>
          <w:sz w:val="18"/>
          <w:szCs w:val="18"/>
        </w:rPr>
      </w:pPr>
      <w:r>
        <w:rPr>
          <w:noProof/>
          <w:sz w:val="18"/>
          <w:szCs w:val="18"/>
          <w:lang w:val="en-IN" w:eastAsia="en-IN"/>
        </w:rPr>
        <w:drawing>
          <wp:inline distT="0" distB="0" distL="0" distR="0">
            <wp:extent cx="4076700" cy="2352675"/>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02D0" w:rsidRDefault="002302D0" w:rsidP="002302D0">
      <w:pPr>
        <w:tabs>
          <w:tab w:val="left" w:pos="1960"/>
        </w:tabs>
        <w:rPr>
          <w:sz w:val="18"/>
          <w:szCs w:val="18"/>
        </w:rPr>
      </w:pPr>
      <w:r>
        <w:rPr>
          <w:sz w:val="18"/>
          <w:szCs w:val="18"/>
        </w:rPr>
        <w:t>Figure4.  Department vise distribution of Cases.</w:t>
      </w:r>
    </w:p>
    <w:p w:rsidR="00916B6A" w:rsidRDefault="00916B6A" w:rsidP="004806C2">
      <w:pPr>
        <w:tabs>
          <w:tab w:val="left" w:pos="1960"/>
        </w:tabs>
        <w:jc w:val="both"/>
      </w:pPr>
      <w:r>
        <w:t>Though viscera was preserved for chemical analys</w:t>
      </w:r>
      <w:r w:rsidR="00E21BEB">
        <w:t>is in majority of cases but in 23%</w:t>
      </w:r>
      <w:r>
        <w:t xml:space="preserve"> cases </w:t>
      </w:r>
      <w:r w:rsidR="004806C2">
        <w:t>no viscera was preserved. Out of the samples preserved</w:t>
      </w:r>
      <w:r w:rsidR="00E335F1">
        <w:t>,</w:t>
      </w:r>
      <w:r w:rsidR="004806C2">
        <w:t xml:space="preserve"> reports of only 19% cases were submitted for subsequent opinion.</w:t>
      </w:r>
    </w:p>
    <w:p w:rsidR="009F71E9" w:rsidRDefault="009F71E9" w:rsidP="004806C2">
      <w:pPr>
        <w:tabs>
          <w:tab w:val="left" w:pos="1960"/>
        </w:tabs>
        <w:jc w:val="both"/>
        <w:rPr>
          <w:sz w:val="18"/>
          <w:szCs w:val="18"/>
        </w:rPr>
      </w:pPr>
    </w:p>
    <w:tbl>
      <w:tblPr>
        <w:tblStyle w:val="TableGrid"/>
        <w:tblW w:w="0" w:type="auto"/>
        <w:tblLook w:val="04A0" w:firstRow="1" w:lastRow="0" w:firstColumn="1" w:lastColumn="0" w:noHBand="0" w:noVBand="1"/>
      </w:tblPr>
      <w:tblGrid>
        <w:gridCol w:w="4807"/>
        <w:gridCol w:w="4769"/>
      </w:tblGrid>
      <w:tr w:rsidR="002302D0" w:rsidTr="006B53DB">
        <w:tc>
          <w:tcPr>
            <w:tcW w:w="6588" w:type="dxa"/>
          </w:tcPr>
          <w:p w:rsidR="002302D0" w:rsidRDefault="002302D0" w:rsidP="006B53DB">
            <w:pPr>
              <w:tabs>
                <w:tab w:val="left" w:pos="2760"/>
              </w:tabs>
              <w:rPr>
                <w:sz w:val="18"/>
                <w:szCs w:val="18"/>
              </w:rPr>
            </w:pPr>
            <w:r>
              <w:rPr>
                <w:sz w:val="18"/>
                <w:szCs w:val="18"/>
              </w:rPr>
              <w:lastRenderedPageBreak/>
              <w:t>Viscera for Chemical Analysis</w:t>
            </w:r>
          </w:p>
        </w:tc>
        <w:tc>
          <w:tcPr>
            <w:tcW w:w="6588" w:type="dxa"/>
          </w:tcPr>
          <w:p w:rsidR="002302D0" w:rsidRDefault="002302D0" w:rsidP="006B53DB">
            <w:pPr>
              <w:tabs>
                <w:tab w:val="left" w:pos="2760"/>
              </w:tabs>
              <w:rPr>
                <w:sz w:val="18"/>
                <w:szCs w:val="18"/>
              </w:rPr>
            </w:pPr>
            <w:r>
              <w:rPr>
                <w:sz w:val="18"/>
                <w:szCs w:val="18"/>
              </w:rPr>
              <w:t>Number of cases</w:t>
            </w:r>
          </w:p>
        </w:tc>
      </w:tr>
      <w:tr w:rsidR="002302D0" w:rsidTr="006B53DB">
        <w:tc>
          <w:tcPr>
            <w:tcW w:w="6588" w:type="dxa"/>
          </w:tcPr>
          <w:p w:rsidR="002302D0" w:rsidRDefault="002302D0" w:rsidP="006B53DB">
            <w:pPr>
              <w:tabs>
                <w:tab w:val="left" w:pos="2760"/>
              </w:tabs>
              <w:rPr>
                <w:sz w:val="18"/>
                <w:szCs w:val="18"/>
              </w:rPr>
            </w:pPr>
            <w:r>
              <w:rPr>
                <w:sz w:val="18"/>
                <w:szCs w:val="18"/>
              </w:rPr>
              <w:t>Not preserved</w:t>
            </w:r>
          </w:p>
        </w:tc>
        <w:tc>
          <w:tcPr>
            <w:tcW w:w="6588" w:type="dxa"/>
          </w:tcPr>
          <w:p w:rsidR="002302D0" w:rsidRDefault="002302D0" w:rsidP="006B53DB">
            <w:pPr>
              <w:tabs>
                <w:tab w:val="left" w:pos="2760"/>
              </w:tabs>
              <w:rPr>
                <w:sz w:val="18"/>
                <w:szCs w:val="18"/>
              </w:rPr>
            </w:pPr>
            <w:r>
              <w:rPr>
                <w:sz w:val="18"/>
                <w:szCs w:val="18"/>
              </w:rPr>
              <w:t>7</w:t>
            </w:r>
          </w:p>
        </w:tc>
      </w:tr>
      <w:tr w:rsidR="002302D0" w:rsidTr="006B53DB">
        <w:tc>
          <w:tcPr>
            <w:tcW w:w="6588" w:type="dxa"/>
          </w:tcPr>
          <w:p w:rsidR="002302D0" w:rsidRDefault="002302D0" w:rsidP="006B53DB">
            <w:pPr>
              <w:tabs>
                <w:tab w:val="left" w:pos="2760"/>
              </w:tabs>
              <w:rPr>
                <w:sz w:val="18"/>
                <w:szCs w:val="18"/>
              </w:rPr>
            </w:pPr>
            <w:r>
              <w:rPr>
                <w:sz w:val="18"/>
                <w:szCs w:val="18"/>
              </w:rPr>
              <w:t>Preserved but result pending</w:t>
            </w:r>
          </w:p>
        </w:tc>
        <w:tc>
          <w:tcPr>
            <w:tcW w:w="6588" w:type="dxa"/>
          </w:tcPr>
          <w:p w:rsidR="002302D0" w:rsidRDefault="002302D0" w:rsidP="006B53DB">
            <w:pPr>
              <w:tabs>
                <w:tab w:val="left" w:pos="2760"/>
              </w:tabs>
              <w:rPr>
                <w:sz w:val="18"/>
                <w:szCs w:val="18"/>
              </w:rPr>
            </w:pPr>
            <w:r>
              <w:rPr>
                <w:sz w:val="18"/>
                <w:szCs w:val="18"/>
              </w:rPr>
              <w:t>18</w:t>
            </w:r>
          </w:p>
        </w:tc>
      </w:tr>
      <w:tr w:rsidR="002302D0" w:rsidTr="006B53DB">
        <w:tc>
          <w:tcPr>
            <w:tcW w:w="6588" w:type="dxa"/>
          </w:tcPr>
          <w:p w:rsidR="002302D0" w:rsidRDefault="002302D0" w:rsidP="006B53DB">
            <w:pPr>
              <w:tabs>
                <w:tab w:val="left" w:pos="2760"/>
              </w:tabs>
              <w:rPr>
                <w:sz w:val="18"/>
                <w:szCs w:val="18"/>
              </w:rPr>
            </w:pPr>
            <w:r>
              <w:rPr>
                <w:sz w:val="18"/>
                <w:szCs w:val="18"/>
              </w:rPr>
              <w:t>Preserved and report received</w:t>
            </w:r>
          </w:p>
        </w:tc>
        <w:tc>
          <w:tcPr>
            <w:tcW w:w="6588" w:type="dxa"/>
          </w:tcPr>
          <w:p w:rsidR="002302D0" w:rsidRDefault="002302D0" w:rsidP="006B53DB">
            <w:pPr>
              <w:tabs>
                <w:tab w:val="left" w:pos="2760"/>
              </w:tabs>
              <w:rPr>
                <w:sz w:val="18"/>
                <w:szCs w:val="18"/>
              </w:rPr>
            </w:pPr>
            <w:r>
              <w:rPr>
                <w:sz w:val="18"/>
                <w:szCs w:val="18"/>
              </w:rPr>
              <w:t>6</w:t>
            </w:r>
          </w:p>
        </w:tc>
      </w:tr>
    </w:tbl>
    <w:p w:rsidR="002302D0" w:rsidRDefault="002302D0" w:rsidP="002302D0">
      <w:pPr>
        <w:tabs>
          <w:tab w:val="left" w:pos="1960"/>
        </w:tabs>
        <w:rPr>
          <w:sz w:val="18"/>
          <w:szCs w:val="18"/>
        </w:rPr>
      </w:pPr>
      <w:r>
        <w:rPr>
          <w:sz w:val="18"/>
          <w:szCs w:val="18"/>
        </w:rPr>
        <w:t>Table 5. Preservation of Viscera for Chemical Analysis vise Distribution of Cases.</w:t>
      </w:r>
    </w:p>
    <w:p w:rsidR="002302D0" w:rsidRDefault="002302D0" w:rsidP="002302D0">
      <w:pPr>
        <w:tabs>
          <w:tab w:val="left" w:pos="2760"/>
        </w:tabs>
        <w:rPr>
          <w:sz w:val="18"/>
          <w:szCs w:val="18"/>
        </w:rPr>
      </w:pPr>
      <w:r>
        <w:rPr>
          <w:noProof/>
          <w:sz w:val="18"/>
          <w:szCs w:val="18"/>
          <w:lang w:val="en-IN" w:eastAsia="en-IN"/>
        </w:rPr>
        <w:drawing>
          <wp:inline distT="0" distB="0" distL="0" distR="0">
            <wp:extent cx="3467100" cy="2066925"/>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02D0" w:rsidRDefault="002302D0" w:rsidP="002302D0">
      <w:pPr>
        <w:tabs>
          <w:tab w:val="left" w:pos="1960"/>
        </w:tabs>
        <w:rPr>
          <w:sz w:val="18"/>
          <w:szCs w:val="18"/>
        </w:rPr>
      </w:pPr>
      <w:r>
        <w:rPr>
          <w:sz w:val="18"/>
          <w:szCs w:val="18"/>
        </w:rPr>
        <w:t>Figure 5. Preservation of Viscera for Chemical Analysis vise Distribution of Cases.</w:t>
      </w:r>
    </w:p>
    <w:p w:rsidR="004806C2" w:rsidRDefault="004806C2" w:rsidP="004806C2">
      <w:pPr>
        <w:tabs>
          <w:tab w:val="left" w:pos="1960"/>
        </w:tabs>
        <w:jc w:val="both"/>
        <w:rPr>
          <w:sz w:val="18"/>
          <w:szCs w:val="18"/>
        </w:rPr>
      </w:pPr>
      <w:r>
        <w:t xml:space="preserve">Though viscera was preserved for </w:t>
      </w:r>
      <w:r w:rsidR="00E21BEB" w:rsidRPr="00E21BEB">
        <w:t>Histopathology</w:t>
      </w:r>
      <w:r w:rsidR="00E21BEB">
        <w:t xml:space="preserve"> in majority of cases but in 26%</w:t>
      </w:r>
      <w:r>
        <w:t xml:space="preserve"> cases no viscera was preserved. Out of the samples preserved reports of only </w:t>
      </w:r>
      <w:r w:rsidR="00E21BEB">
        <w:t>19</w:t>
      </w:r>
      <w:r>
        <w:t>% cases were submitted for subsequent opinion.</w:t>
      </w:r>
    </w:p>
    <w:tbl>
      <w:tblPr>
        <w:tblStyle w:val="TableGrid"/>
        <w:tblW w:w="0" w:type="auto"/>
        <w:tblLook w:val="04A0" w:firstRow="1" w:lastRow="0" w:firstColumn="1" w:lastColumn="0" w:noHBand="0" w:noVBand="1"/>
      </w:tblPr>
      <w:tblGrid>
        <w:gridCol w:w="4880"/>
        <w:gridCol w:w="4696"/>
      </w:tblGrid>
      <w:tr w:rsidR="002302D0" w:rsidTr="006B53DB">
        <w:tc>
          <w:tcPr>
            <w:tcW w:w="6588" w:type="dxa"/>
          </w:tcPr>
          <w:p w:rsidR="002302D0" w:rsidRDefault="002302D0" w:rsidP="006B53DB">
            <w:pPr>
              <w:tabs>
                <w:tab w:val="left" w:pos="2760"/>
              </w:tabs>
              <w:rPr>
                <w:sz w:val="18"/>
                <w:szCs w:val="18"/>
              </w:rPr>
            </w:pPr>
            <w:r>
              <w:rPr>
                <w:sz w:val="18"/>
                <w:szCs w:val="18"/>
              </w:rPr>
              <w:t>Preservation of Viscera for Histopathology.</w:t>
            </w:r>
          </w:p>
        </w:tc>
        <w:tc>
          <w:tcPr>
            <w:tcW w:w="6588" w:type="dxa"/>
          </w:tcPr>
          <w:p w:rsidR="002302D0" w:rsidRDefault="002302D0" w:rsidP="006B53DB">
            <w:pPr>
              <w:tabs>
                <w:tab w:val="left" w:pos="2760"/>
              </w:tabs>
              <w:rPr>
                <w:sz w:val="18"/>
                <w:szCs w:val="18"/>
              </w:rPr>
            </w:pPr>
            <w:r>
              <w:rPr>
                <w:sz w:val="18"/>
                <w:szCs w:val="18"/>
              </w:rPr>
              <w:t>Number of Cases</w:t>
            </w:r>
          </w:p>
        </w:tc>
      </w:tr>
      <w:tr w:rsidR="002302D0" w:rsidTr="006B53DB">
        <w:tc>
          <w:tcPr>
            <w:tcW w:w="6588" w:type="dxa"/>
          </w:tcPr>
          <w:p w:rsidR="002302D0" w:rsidRDefault="002302D0" w:rsidP="006B53DB">
            <w:pPr>
              <w:tabs>
                <w:tab w:val="left" w:pos="2760"/>
              </w:tabs>
              <w:rPr>
                <w:sz w:val="18"/>
                <w:szCs w:val="18"/>
              </w:rPr>
            </w:pPr>
            <w:r>
              <w:rPr>
                <w:sz w:val="18"/>
                <w:szCs w:val="18"/>
              </w:rPr>
              <w:t>Not preserved</w:t>
            </w:r>
          </w:p>
        </w:tc>
        <w:tc>
          <w:tcPr>
            <w:tcW w:w="6588" w:type="dxa"/>
          </w:tcPr>
          <w:p w:rsidR="002302D0" w:rsidRDefault="002302D0" w:rsidP="006B53DB">
            <w:pPr>
              <w:tabs>
                <w:tab w:val="left" w:pos="2760"/>
              </w:tabs>
              <w:rPr>
                <w:sz w:val="18"/>
                <w:szCs w:val="18"/>
              </w:rPr>
            </w:pPr>
            <w:r>
              <w:rPr>
                <w:sz w:val="18"/>
                <w:szCs w:val="18"/>
              </w:rPr>
              <w:t>8</w:t>
            </w:r>
          </w:p>
        </w:tc>
      </w:tr>
      <w:tr w:rsidR="002302D0" w:rsidTr="006B53DB">
        <w:tc>
          <w:tcPr>
            <w:tcW w:w="6588" w:type="dxa"/>
          </w:tcPr>
          <w:p w:rsidR="002302D0" w:rsidRDefault="002302D0" w:rsidP="006B53DB">
            <w:pPr>
              <w:tabs>
                <w:tab w:val="left" w:pos="2760"/>
              </w:tabs>
              <w:rPr>
                <w:sz w:val="18"/>
                <w:szCs w:val="18"/>
              </w:rPr>
            </w:pPr>
            <w:r>
              <w:rPr>
                <w:sz w:val="18"/>
                <w:szCs w:val="18"/>
              </w:rPr>
              <w:t>Preserved but result pending</w:t>
            </w:r>
          </w:p>
        </w:tc>
        <w:tc>
          <w:tcPr>
            <w:tcW w:w="6588" w:type="dxa"/>
          </w:tcPr>
          <w:p w:rsidR="002302D0" w:rsidRDefault="002302D0" w:rsidP="006B53DB">
            <w:pPr>
              <w:tabs>
                <w:tab w:val="left" w:pos="2760"/>
              </w:tabs>
              <w:rPr>
                <w:sz w:val="18"/>
                <w:szCs w:val="18"/>
              </w:rPr>
            </w:pPr>
            <w:r>
              <w:rPr>
                <w:sz w:val="18"/>
                <w:szCs w:val="18"/>
              </w:rPr>
              <w:t>17</w:t>
            </w:r>
          </w:p>
        </w:tc>
      </w:tr>
      <w:tr w:rsidR="002302D0" w:rsidTr="006B53DB">
        <w:tc>
          <w:tcPr>
            <w:tcW w:w="6588" w:type="dxa"/>
          </w:tcPr>
          <w:p w:rsidR="002302D0" w:rsidRDefault="002302D0" w:rsidP="006B53DB">
            <w:pPr>
              <w:tabs>
                <w:tab w:val="left" w:pos="2760"/>
              </w:tabs>
              <w:rPr>
                <w:sz w:val="18"/>
                <w:szCs w:val="18"/>
              </w:rPr>
            </w:pPr>
            <w:r>
              <w:rPr>
                <w:sz w:val="18"/>
                <w:szCs w:val="18"/>
              </w:rPr>
              <w:t>Preserved and report received</w:t>
            </w:r>
          </w:p>
        </w:tc>
        <w:tc>
          <w:tcPr>
            <w:tcW w:w="6588" w:type="dxa"/>
          </w:tcPr>
          <w:p w:rsidR="002302D0" w:rsidRDefault="002302D0" w:rsidP="006B53DB">
            <w:pPr>
              <w:tabs>
                <w:tab w:val="left" w:pos="2760"/>
              </w:tabs>
              <w:rPr>
                <w:sz w:val="18"/>
                <w:szCs w:val="18"/>
              </w:rPr>
            </w:pPr>
            <w:r>
              <w:rPr>
                <w:sz w:val="18"/>
                <w:szCs w:val="18"/>
              </w:rPr>
              <w:t>6</w:t>
            </w:r>
          </w:p>
        </w:tc>
      </w:tr>
    </w:tbl>
    <w:p w:rsidR="002302D0" w:rsidRDefault="002302D0" w:rsidP="002302D0">
      <w:pPr>
        <w:tabs>
          <w:tab w:val="left" w:pos="1960"/>
        </w:tabs>
        <w:rPr>
          <w:sz w:val="18"/>
          <w:szCs w:val="18"/>
        </w:rPr>
      </w:pPr>
      <w:r>
        <w:rPr>
          <w:sz w:val="18"/>
          <w:szCs w:val="18"/>
        </w:rPr>
        <w:t>Table 6. Preservation of Viscera for Histopathology vise Distribution of Cases.</w:t>
      </w:r>
    </w:p>
    <w:p w:rsidR="002302D0" w:rsidRDefault="002302D0" w:rsidP="002302D0">
      <w:pPr>
        <w:tabs>
          <w:tab w:val="left" w:pos="2760"/>
        </w:tabs>
        <w:rPr>
          <w:sz w:val="18"/>
          <w:szCs w:val="18"/>
        </w:rPr>
      </w:pPr>
      <w:r>
        <w:rPr>
          <w:noProof/>
          <w:sz w:val="18"/>
          <w:szCs w:val="18"/>
          <w:lang w:val="en-IN" w:eastAsia="en-IN"/>
        </w:rPr>
        <w:drawing>
          <wp:inline distT="0" distB="0" distL="0" distR="0">
            <wp:extent cx="3933825" cy="2409825"/>
            <wp:effectExtent l="1905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02D0" w:rsidRDefault="002302D0" w:rsidP="002302D0">
      <w:pPr>
        <w:tabs>
          <w:tab w:val="left" w:pos="1960"/>
        </w:tabs>
        <w:rPr>
          <w:sz w:val="18"/>
          <w:szCs w:val="18"/>
        </w:rPr>
      </w:pPr>
      <w:r>
        <w:rPr>
          <w:sz w:val="18"/>
          <w:szCs w:val="18"/>
        </w:rPr>
        <w:t>Figure 6. Preservation of Viscera for Histopathology vise Distribution of Cases.</w:t>
      </w:r>
    </w:p>
    <w:p w:rsidR="009F71E9" w:rsidRDefault="009F71E9" w:rsidP="002302D0">
      <w:pPr>
        <w:tabs>
          <w:tab w:val="left" w:pos="1960"/>
        </w:tabs>
      </w:pPr>
    </w:p>
    <w:p w:rsidR="002302D0" w:rsidRPr="00E21BEB" w:rsidRDefault="00E21BEB" w:rsidP="002302D0">
      <w:pPr>
        <w:tabs>
          <w:tab w:val="left" w:pos="1960"/>
        </w:tabs>
      </w:pPr>
      <w:r>
        <w:lastRenderedPageBreak/>
        <w:t>In 52% cases final cause of death was given.</w:t>
      </w:r>
    </w:p>
    <w:tbl>
      <w:tblPr>
        <w:tblStyle w:val="TableGrid"/>
        <w:tblW w:w="0" w:type="auto"/>
        <w:tblLook w:val="04A0" w:firstRow="1" w:lastRow="0" w:firstColumn="1" w:lastColumn="0" w:noHBand="0" w:noVBand="1"/>
      </w:tblPr>
      <w:tblGrid>
        <w:gridCol w:w="4781"/>
        <w:gridCol w:w="4795"/>
      </w:tblGrid>
      <w:tr w:rsidR="002302D0" w:rsidTr="002302D0">
        <w:tc>
          <w:tcPr>
            <w:tcW w:w="4781" w:type="dxa"/>
          </w:tcPr>
          <w:p w:rsidR="002302D0" w:rsidRDefault="002302D0" w:rsidP="006B53DB">
            <w:pPr>
              <w:tabs>
                <w:tab w:val="left" w:pos="2760"/>
              </w:tabs>
              <w:rPr>
                <w:sz w:val="18"/>
                <w:szCs w:val="18"/>
              </w:rPr>
            </w:pPr>
            <w:r>
              <w:rPr>
                <w:sz w:val="18"/>
                <w:szCs w:val="18"/>
              </w:rPr>
              <w:t>Cause of Death (Report Given or not)</w:t>
            </w:r>
          </w:p>
        </w:tc>
        <w:tc>
          <w:tcPr>
            <w:tcW w:w="4795" w:type="dxa"/>
          </w:tcPr>
          <w:p w:rsidR="002302D0" w:rsidRDefault="002302D0" w:rsidP="006B53DB">
            <w:pPr>
              <w:tabs>
                <w:tab w:val="left" w:pos="2760"/>
              </w:tabs>
              <w:rPr>
                <w:sz w:val="18"/>
                <w:szCs w:val="18"/>
              </w:rPr>
            </w:pPr>
            <w:r>
              <w:rPr>
                <w:sz w:val="18"/>
                <w:szCs w:val="18"/>
              </w:rPr>
              <w:t>Number of Cases</w:t>
            </w:r>
          </w:p>
        </w:tc>
      </w:tr>
      <w:tr w:rsidR="002302D0" w:rsidTr="002302D0">
        <w:tc>
          <w:tcPr>
            <w:tcW w:w="4781" w:type="dxa"/>
          </w:tcPr>
          <w:p w:rsidR="002302D0" w:rsidRDefault="002302D0" w:rsidP="006B53DB">
            <w:pPr>
              <w:tabs>
                <w:tab w:val="left" w:pos="2760"/>
              </w:tabs>
              <w:rPr>
                <w:sz w:val="18"/>
                <w:szCs w:val="18"/>
              </w:rPr>
            </w:pPr>
            <w:r>
              <w:rPr>
                <w:sz w:val="18"/>
                <w:szCs w:val="18"/>
              </w:rPr>
              <w:t>Yes</w:t>
            </w:r>
          </w:p>
        </w:tc>
        <w:tc>
          <w:tcPr>
            <w:tcW w:w="4795" w:type="dxa"/>
          </w:tcPr>
          <w:p w:rsidR="002302D0" w:rsidRDefault="002302D0" w:rsidP="006B53DB">
            <w:pPr>
              <w:tabs>
                <w:tab w:val="left" w:pos="2760"/>
              </w:tabs>
              <w:rPr>
                <w:sz w:val="18"/>
                <w:szCs w:val="18"/>
              </w:rPr>
            </w:pPr>
            <w:r>
              <w:rPr>
                <w:sz w:val="18"/>
                <w:szCs w:val="18"/>
              </w:rPr>
              <w:t>16</w:t>
            </w:r>
          </w:p>
        </w:tc>
      </w:tr>
      <w:tr w:rsidR="002302D0" w:rsidTr="002302D0">
        <w:tc>
          <w:tcPr>
            <w:tcW w:w="4781" w:type="dxa"/>
          </w:tcPr>
          <w:p w:rsidR="002302D0" w:rsidRDefault="002302D0" w:rsidP="006B53DB">
            <w:pPr>
              <w:tabs>
                <w:tab w:val="left" w:pos="2760"/>
              </w:tabs>
              <w:rPr>
                <w:sz w:val="18"/>
                <w:szCs w:val="18"/>
              </w:rPr>
            </w:pPr>
            <w:r>
              <w:rPr>
                <w:sz w:val="18"/>
                <w:szCs w:val="18"/>
              </w:rPr>
              <w:t>No</w:t>
            </w:r>
          </w:p>
        </w:tc>
        <w:tc>
          <w:tcPr>
            <w:tcW w:w="4795" w:type="dxa"/>
          </w:tcPr>
          <w:p w:rsidR="002302D0" w:rsidRDefault="002302D0" w:rsidP="006B53DB">
            <w:pPr>
              <w:tabs>
                <w:tab w:val="left" w:pos="2760"/>
              </w:tabs>
              <w:rPr>
                <w:sz w:val="18"/>
                <w:szCs w:val="18"/>
              </w:rPr>
            </w:pPr>
            <w:r>
              <w:rPr>
                <w:sz w:val="18"/>
                <w:szCs w:val="18"/>
              </w:rPr>
              <w:t>15</w:t>
            </w:r>
          </w:p>
        </w:tc>
      </w:tr>
    </w:tbl>
    <w:p w:rsidR="002302D0" w:rsidRDefault="002302D0" w:rsidP="002302D0">
      <w:pPr>
        <w:tabs>
          <w:tab w:val="left" w:pos="1960"/>
        </w:tabs>
        <w:rPr>
          <w:sz w:val="18"/>
          <w:szCs w:val="18"/>
        </w:rPr>
      </w:pPr>
      <w:r>
        <w:rPr>
          <w:sz w:val="18"/>
          <w:szCs w:val="18"/>
        </w:rPr>
        <w:t>Table 7. Cause of Death (Report Given or not) vise Distribution of Cases.</w:t>
      </w:r>
    </w:p>
    <w:p w:rsidR="002302D0" w:rsidRDefault="002302D0" w:rsidP="002302D0">
      <w:pPr>
        <w:tabs>
          <w:tab w:val="left" w:pos="2760"/>
        </w:tabs>
        <w:rPr>
          <w:sz w:val="18"/>
          <w:szCs w:val="18"/>
        </w:rPr>
      </w:pPr>
      <w:r>
        <w:rPr>
          <w:noProof/>
          <w:sz w:val="18"/>
          <w:szCs w:val="18"/>
          <w:lang w:val="en-IN" w:eastAsia="en-IN"/>
        </w:rPr>
        <w:drawing>
          <wp:inline distT="0" distB="0" distL="0" distR="0">
            <wp:extent cx="4114800" cy="2114550"/>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16B6A" w:rsidRDefault="002302D0" w:rsidP="002302D0">
      <w:pPr>
        <w:tabs>
          <w:tab w:val="left" w:pos="1960"/>
        </w:tabs>
        <w:rPr>
          <w:sz w:val="18"/>
          <w:szCs w:val="18"/>
        </w:rPr>
      </w:pPr>
      <w:r>
        <w:rPr>
          <w:sz w:val="18"/>
          <w:szCs w:val="18"/>
        </w:rPr>
        <w:t>Figure 7. Cause of Death (Report Given or not) vise Distribution of Cases.</w:t>
      </w:r>
    </w:p>
    <w:p w:rsidR="002302D0" w:rsidRPr="00E21BEB" w:rsidRDefault="00E21BEB" w:rsidP="002302D0">
      <w:pPr>
        <w:tabs>
          <w:tab w:val="left" w:pos="1960"/>
        </w:tabs>
      </w:pPr>
      <w:r>
        <w:t>Out of the total cases of death allegedly due to medical negligence, 83% cases were primarily treated in Government Hospitals or Institutions.</w:t>
      </w:r>
    </w:p>
    <w:tbl>
      <w:tblPr>
        <w:tblStyle w:val="TableGrid"/>
        <w:tblW w:w="0" w:type="auto"/>
        <w:tblLook w:val="04A0" w:firstRow="1" w:lastRow="0" w:firstColumn="1" w:lastColumn="0" w:noHBand="0" w:noVBand="1"/>
      </w:tblPr>
      <w:tblGrid>
        <w:gridCol w:w="4847"/>
        <w:gridCol w:w="4729"/>
      </w:tblGrid>
      <w:tr w:rsidR="002302D0" w:rsidTr="006B53DB">
        <w:tc>
          <w:tcPr>
            <w:tcW w:w="6588" w:type="dxa"/>
          </w:tcPr>
          <w:p w:rsidR="002302D0" w:rsidRDefault="002302D0" w:rsidP="006B53DB">
            <w:pPr>
              <w:tabs>
                <w:tab w:val="left" w:pos="1960"/>
              </w:tabs>
              <w:rPr>
                <w:sz w:val="18"/>
                <w:szCs w:val="18"/>
              </w:rPr>
            </w:pPr>
            <w:r>
              <w:rPr>
                <w:sz w:val="18"/>
                <w:szCs w:val="18"/>
              </w:rPr>
              <w:t>Treatment in Hospital (Private or Government)</w:t>
            </w:r>
          </w:p>
        </w:tc>
        <w:tc>
          <w:tcPr>
            <w:tcW w:w="6588" w:type="dxa"/>
          </w:tcPr>
          <w:p w:rsidR="002302D0" w:rsidRDefault="002302D0" w:rsidP="006B53DB">
            <w:pPr>
              <w:tabs>
                <w:tab w:val="left" w:pos="1960"/>
              </w:tabs>
              <w:rPr>
                <w:sz w:val="18"/>
                <w:szCs w:val="18"/>
              </w:rPr>
            </w:pPr>
            <w:r>
              <w:rPr>
                <w:sz w:val="18"/>
                <w:szCs w:val="18"/>
              </w:rPr>
              <w:t>Number of Cases</w:t>
            </w:r>
          </w:p>
        </w:tc>
      </w:tr>
      <w:tr w:rsidR="002302D0" w:rsidTr="006B53DB">
        <w:tc>
          <w:tcPr>
            <w:tcW w:w="6588" w:type="dxa"/>
          </w:tcPr>
          <w:p w:rsidR="002302D0" w:rsidRDefault="002302D0" w:rsidP="006B53DB">
            <w:pPr>
              <w:tabs>
                <w:tab w:val="left" w:pos="1960"/>
              </w:tabs>
              <w:rPr>
                <w:sz w:val="18"/>
                <w:szCs w:val="18"/>
              </w:rPr>
            </w:pPr>
            <w:r>
              <w:rPr>
                <w:sz w:val="18"/>
                <w:szCs w:val="18"/>
              </w:rPr>
              <w:t>Government</w:t>
            </w:r>
          </w:p>
        </w:tc>
        <w:tc>
          <w:tcPr>
            <w:tcW w:w="6588" w:type="dxa"/>
          </w:tcPr>
          <w:p w:rsidR="002302D0" w:rsidRDefault="002302D0" w:rsidP="006B53DB">
            <w:pPr>
              <w:tabs>
                <w:tab w:val="left" w:pos="1960"/>
              </w:tabs>
              <w:rPr>
                <w:sz w:val="18"/>
                <w:szCs w:val="18"/>
              </w:rPr>
            </w:pPr>
            <w:r>
              <w:rPr>
                <w:sz w:val="18"/>
                <w:szCs w:val="18"/>
              </w:rPr>
              <w:t>5</w:t>
            </w:r>
          </w:p>
        </w:tc>
      </w:tr>
      <w:tr w:rsidR="002302D0" w:rsidTr="006B53DB">
        <w:tc>
          <w:tcPr>
            <w:tcW w:w="6588" w:type="dxa"/>
          </w:tcPr>
          <w:p w:rsidR="002302D0" w:rsidRDefault="002302D0" w:rsidP="006B53DB">
            <w:pPr>
              <w:tabs>
                <w:tab w:val="left" w:pos="1960"/>
              </w:tabs>
              <w:rPr>
                <w:sz w:val="18"/>
                <w:szCs w:val="18"/>
              </w:rPr>
            </w:pPr>
            <w:r>
              <w:rPr>
                <w:sz w:val="18"/>
                <w:szCs w:val="18"/>
              </w:rPr>
              <w:t>Private</w:t>
            </w:r>
          </w:p>
        </w:tc>
        <w:tc>
          <w:tcPr>
            <w:tcW w:w="6588" w:type="dxa"/>
          </w:tcPr>
          <w:p w:rsidR="002302D0" w:rsidRDefault="002302D0" w:rsidP="006B53DB">
            <w:pPr>
              <w:tabs>
                <w:tab w:val="left" w:pos="1960"/>
              </w:tabs>
              <w:rPr>
                <w:sz w:val="18"/>
                <w:szCs w:val="18"/>
              </w:rPr>
            </w:pPr>
            <w:r>
              <w:rPr>
                <w:sz w:val="18"/>
                <w:szCs w:val="18"/>
              </w:rPr>
              <w:t>26</w:t>
            </w:r>
          </w:p>
        </w:tc>
      </w:tr>
    </w:tbl>
    <w:p w:rsidR="002302D0" w:rsidRDefault="002302D0" w:rsidP="002302D0">
      <w:pPr>
        <w:tabs>
          <w:tab w:val="left" w:pos="1960"/>
        </w:tabs>
        <w:rPr>
          <w:sz w:val="18"/>
          <w:szCs w:val="18"/>
        </w:rPr>
      </w:pPr>
      <w:r>
        <w:rPr>
          <w:sz w:val="18"/>
          <w:szCs w:val="18"/>
        </w:rPr>
        <w:t>Table 8. Treatment in Hospital (Private or Government) vise Distribution of Cases.</w:t>
      </w:r>
    </w:p>
    <w:p w:rsidR="002302D0" w:rsidRDefault="002302D0" w:rsidP="002302D0">
      <w:pPr>
        <w:tabs>
          <w:tab w:val="left" w:pos="1960"/>
        </w:tabs>
        <w:rPr>
          <w:sz w:val="18"/>
          <w:szCs w:val="18"/>
        </w:rPr>
      </w:pPr>
    </w:p>
    <w:p w:rsidR="002302D0" w:rsidRDefault="002302D0" w:rsidP="002302D0">
      <w:pPr>
        <w:tabs>
          <w:tab w:val="left" w:pos="1960"/>
        </w:tabs>
        <w:rPr>
          <w:sz w:val="18"/>
          <w:szCs w:val="18"/>
        </w:rPr>
      </w:pPr>
      <w:r>
        <w:rPr>
          <w:noProof/>
          <w:sz w:val="18"/>
          <w:szCs w:val="18"/>
          <w:lang w:val="en-IN" w:eastAsia="en-IN"/>
        </w:rPr>
        <w:drawing>
          <wp:inline distT="0" distB="0" distL="0" distR="0">
            <wp:extent cx="3981450" cy="22002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02D0" w:rsidRDefault="002302D0" w:rsidP="002302D0">
      <w:pPr>
        <w:tabs>
          <w:tab w:val="left" w:pos="1960"/>
        </w:tabs>
        <w:rPr>
          <w:sz w:val="18"/>
          <w:szCs w:val="18"/>
        </w:rPr>
      </w:pPr>
      <w:r>
        <w:rPr>
          <w:sz w:val="18"/>
          <w:szCs w:val="18"/>
        </w:rPr>
        <w:t>Figure 8. Treatment in Hospital (Private or Government) vise Distribution of Cases.</w:t>
      </w:r>
    </w:p>
    <w:p w:rsidR="00DE5A0F" w:rsidRDefault="00DE5A0F" w:rsidP="002302D0">
      <w:pPr>
        <w:tabs>
          <w:tab w:val="left" w:pos="1960"/>
        </w:tabs>
      </w:pPr>
    </w:p>
    <w:p w:rsidR="00DE5A0F" w:rsidRDefault="00DE5A0F" w:rsidP="002302D0">
      <w:pPr>
        <w:tabs>
          <w:tab w:val="left" w:pos="1960"/>
        </w:tabs>
      </w:pPr>
    </w:p>
    <w:p w:rsidR="002302D0" w:rsidRPr="00067C47" w:rsidRDefault="00067C47" w:rsidP="002302D0">
      <w:pPr>
        <w:tabs>
          <w:tab w:val="left" w:pos="1960"/>
        </w:tabs>
      </w:pPr>
      <w:r>
        <w:lastRenderedPageBreak/>
        <w:t>Out of the total cases, 52% cases died within 24 hours of admission.</w:t>
      </w:r>
    </w:p>
    <w:tbl>
      <w:tblPr>
        <w:tblStyle w:val="TableGrid"/>
        <w:tblW w:w="0" w:type="auto"/>
        <w:tblLook w:val="04A0" w:firstRow="1" w:lastRow="0" w:firstColumn="1" w:lastColumn="0" w:noHBand="0" w:noVBand="1"/>
      </w:tblPr>
      <w:tblGrid>
        <w:gridCol w:w="4812"/>
        <w:gridCol w:w="4764"/>
      </w:tblGrid>
      <w:tr w:rsidR="002302D0" w:rsidTr="006B53DB">
        <w:tc>
          <w:tcPr>
            <w:tcW w:w="6588" w:type="dxa"/>
          </w:tcPr>
          <w:p w:rsidR="002302D0" w:rsidRDefault="002302D0" w:rsidP="006B53DB">
            <w:pPr>
              <w:rPr>
                <w:sz w:val="18"/>
                <w:szCs w:val="18"/>
              </w:rPr>
            </w:pPr>
            <w:r>
              <w:rPr>
                <w:sz w:val="18"/>
                <w:szCs w:val="18"/>
              </w:rPr>
              <w:t>Duration of Treatment</w:t>
            </w:r>
          </w:p>
        </w:tc>
        <w:tc>
          <w:tcPr>
            <w:tcW w:w="6588" w:type="dxa"/>
          </w:tcPr>
          <w:p w:rsidR="002302D0" w:rsidRDefault="002302D0" w:rsidP="006B53DB">
            <w:pPr>
              <w:rPr>
                <w:sz w:val="18"/>
                <w:szCs w:val="18"/>
              </w:rPr>
            </w:pPr>
            <w:r>
              <w:rPr>
                <w:sz w:val="18"/>
                <w:szCs w:val="18"/>
              </w:rPr>
              <w:t>Number of cases</w:t>
            </w:r>
          </w:p>
        </w:tc>
      </w:tr>
      <w:tr w:rsidR="002302D0" w:rsidTr="006B53DB">
        <w:tc>
          <w:tcPr>
            <w:tcW w:w="6588" w:type="dxa"/>
          </w:tcPr>
          <w:p w:rsidR="002302D0" w:rsidRDefault="002302D0" w:rsidP="006B53DB">
            <w:pPr>
              <w:rPr>
                <w:sz w:val="18"/>
                <w:szCs w:val="18"/>
              </w:rPr>
            </w:pPr>
            <w:r>
              <w:rPr>
                <w:sz w:val="18"/>
                <w:szCs w:val="18"/>
              </w:rPr>
              <w:t>Brought Dead</w:t>
            </w:r>
          </w:p>
        </w:tc>
        <w:tc>
          <w:tcPr>
            <w:tcW w:w="6588" w:type="dxa"/>
          </w:tcPr>
          <w:p w:rsidR="002302D0" w:rsidRDefault="002302D0" w:rsidP="006B53DB">
            <w:pPr>
              <w:rPr>
                <w:sz w:val="18"/>
                <w:szCs w:val="18"/>
              </w:rPr>
            </w:pPr>
            <w:r>
              <w:rPr>
                <w:sz w:val="18"/>
                <w:szCs w:val="18"/>
              </w:rPr>
              <w:t>1</w:t>
            </w:r>
          </w:p>
        </w:tc>
      </w:tr>
      <w:tr w:rsidR="002302D0" w:rsidTr="006B53DB">
        <w:tc>
          <w:tcPr>
            <w:tcW w:w="6588" w:type="dxa"/>
          </w:tcPr>
          <w:p w:rsidR="002302D0" w:rsidRDefault="002302D0" w:rsidP="006B53DB">
            <w:pPr>
              <w:rPr>
                <w:sz w:val="18"/>
                <w:szCs w:val="18"/>
              </w:rPr>
            </w:pPr>
            <w:r>
              <w:rPr>
                <w:sz w:val="18"/>
                <w:szCs w:val="18"/>
              </w:rPr>
              <w:t>0-24 hrs</w:t>
            </w:r>
          </w:p>
        </w:tc>
        <w:tc>
          <w:tcPr>
            <w:tcW w:w="6588" w:type="dxa"/>
          </w:tcPr>
          <w:p w:rsidR="002302D0" w:rsidRDefault="002302D0" w:rsidP="006B53DB">
            <w:pPr>
              <w:rPr>
                <w:sz w:val="18"/>
                <w:szCs w:val="18"/>
              </w:rPr>
            </w:pPr>
            <w:r>
              <w:rPr>
                <w:sz w:val="18"/>
                <w:szCs w:val="18"/>
              </w:rPr>
              <w:t>13</w:t>
            </w:r>
          </w:p>
        </w:tc>
      </w:tr>
      <w:tr w:rsidR="002302D0" w:rsidTr="006B53DB">
        <w:tc>
          <w:tcPr>
            <w:tcW w:w="6588" w:type="dxa"/>
          </w:tcPr>
          <w:p w:rsidR="002302D0" w:rsidRDefault="002302D0" w:rsidP="006B53DB">
            <w:pPr>
              <w:rPr>
                <w:sz w:val="18"/>
                <w:szCs w:val="18"/>
              </w:rPr>
            </w:pPr>
            <w:r>
              <w:rPr>
                <w:sz w:val="18"/>
                <w:szCs w:val="18"/>
              </w:rPr>
              <w:t>24-72 hrs</w:t>
            </w:r>
          </w:p>
        </w:tc>
        <w:tc>
          <w:tcPr>
            <w:tcW w:w="6588" w:type="dxa"/>
          </w:tcPr>
          <w:p w:rsidR="002302D0" w:rsidRDefault="002302D0" w:rsidP="006B53DB">
            <w:pPr>
              <w:rPr>
                <w:sz w:val="18"/>
                <w:szCs w:val="18"/>
              </w:rPr>
            </w:pPr>
            <w:r>
              <w:rPr>
                <w:sz w:val="18"/>
                <w:szCs w:val="18"/>
              </w:rPr>
              <w:t>8</w:t>
            </w:r>
          </w:p>
        </w:tc>
      </w:tr>
      <w:tr w:rsidR="002302D0" w:rsidTr="006B53DB">
        <w:tc>
          <w:tcPr>
            <w:tcW w:w="6588" w:type="dxa"/>
          </w:tcPr>
          <w:p w:rsidR="002302D0" w:rsidRDefault="002302D0" w:rsidP="006B53DB">
            <w:pPr>
              <w:rPr>
                <w:sz w:val="18"/>
                <w:szCs w:val="18"/>
              </w:rPr>
            </w:pPr>
            <w:r>
              <w:rPr>
                <w:sz w:val="18"/>
                <w:szCs w:val="18"/>
              </w:rPr>
              <w:t>3- 7 Days</w:t>
            </w:r>
          </w:p>
        </w:tc>
        <w:tc>
          <w:tcPr>
            <w:tcW w:w="6588" w:type="dxa"/>
          </w:tcPr>
          <w:p w:rsidR="002302D0" w:rsidRDefault="002302D0" w:rsidP="006B53DB">
            <w:pPr>
              <w:rPr>
                <w:sz w:val="18"/>
                <w:szCs w:val="18"/>
              </w:rPr>
            </w:pPr>
            <w:r>
              <w:rPr>
                <w:sz w:val="18"/>
                <w:szCs w:val="18"/>
              </w:rPr>
              <w:t>3</w:t>
            </w:r>
          </w:p>
        </w:tc>
      </w:tr>
      <w:tr w:rsidR="002302D0" w:rsidTr="006B53DB">
        <w:tc>
          <w:tcPr>
            <w:tcW w:w="6588" w:type="dxa"/>
          </w:tcPr>
          <w:p w:rsidR="002302D0" w:rsidRPr="00B24E4A" w:rsidRDefault="002302D0" w:rsidP="006B53DB">
            <w:pPr>
              <w:rPr>
                <w:sz w:val="18"/>
                <w:szCs w:val="18"/>
              </w:rPr>
            </w:pPr>
            <w:r>
              <w:rPr>
                <w:sz w:val="18"/>
                <w:szCs w:val="18"/>
              </w:rPr>
              <w:t>&gt;7 Days</w:t>
            </w:r>
          </w:p>
        </w:tc>
        <w:tc>
          <w:tcPr>
            <w:tcW w:w="6588" w:type="dxa"/>
          </w:tcPr>
          <w:p w:rsidR="002302D0" w:rsidRDefault="002302D0" w:rsidP="006B53DB">
            <w:pPr>
              <w:rPr>
                <w:sz w:val="18"/>
                <w:szCs w:val="18"/>
              </w:rPr>
            </w:pPr>
            <w:r>
              <w:rPr>
                <w:sz w:val="18"/>
                <w:szCs w:val="18"/>
              </w:rPr>
              <w:t>6</w:t>
            </w:r>
          </w:p>
        </w:tc>
      </w:tr>
    </w:tbl>
    <w:p w:rsidR="002302D0" w:rsidRPr="00715DCC" w:rsidRDefault="002302D0" w:rsidP="002302D0">
      <w:pPr>
        <w:tabs>
          <w:tab w:val="left" w:pos="1960"/>
        </w:tabs>
        <w:rPr>
          <w:sz w:val="18"/>
          <w:szCs w:val="18"/>
        </w:rPr>
      </w:pPr>
      <w:r>
        <w:rPr>
          <w:sz w:val="18"/>
          <w:szCs w:val="18"/>
        </w:rPr>
        <w:t>Table9. Duration of Treatment vise Distribution of Cases.</w:t>
      </w:r>
    </w:p>
    <w:p w:rsidR="002302D0" w:rsidRDefault="002302D0" w:rsidP="002302D0">
      <w:pPr>
        <w:rPr>
          <w:sz w:val="18"/>
          <w:szCs w:val="18"/>
        </w:rPr>
      </w:pPr>
    </w:p>
    <w:p w:rsidR="002302D0" w:rsidRDefault="002302D0" w:rsidP="002302D0">
      <w:pPr>
        <w:rPr>
          <w:sz w:val="18"/>
          <w:szCs w:val="18"/>
        </w:rPr>
      </w:pPr>
      <w:r>
        <w:rPr>
          <w:noProof/>
          <w:sz w:val="18"/>
          <w:szCs w:val="18"/>
          <w:lang w:val="en-IN" w:eastAsia="en-IN"/>
        </w:rPr>
        <w:drawing>
          <wp:inline distT="0" distB="0" distL="0" distR="0">
            <wp:extent cx="3867150" cy="22098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02D0" w:rsidRPr="00715DCC" w:rsidRDefault="002302D0" w:rsidP="002302D0">
      <w:pPr>
        <w:tabs>
          <w:tab w:val="left" w:pos="1960"/>
        </w:tabs>
        <w:rPr>
          <w:sz w:val="18"/>
          <w:szCs w:val="18"/>
        </w:rPr>
      </w:pPr>
      <w:r>
        <w:rPr>
          <w:sz w:val="18"/>
          <w:szCs w:val="18"/>
        </w:rPr>
        <w:t>Figure 9. Duration of Treatment vise Distribution of Cases.</w:t>
      </w:r>
    </w:p>
    <w:p w:rsidR="002302D0" w:rsidRDefault="002302D0" w:rsidP="002302D0">
      <w:pPr>
        <w:rPr>
          <w:sz w:val="18"/>
          <w:szCs w:val="18"/>
        </w:rPr>
      </w:pPr>
    </w:p>
    <w:p w:rsidR="00916B6A" w:rsidRPr="00916B6A" w:rsidRDefault="00916B6A" w:rsidP="002302D0">
      <w:pPr>
        <w:rPr>
          <w:b/>
          <w:bCs/>
        </w:rPr>
      </w:pPr>
      <w:r w:rsidRPr="00916B6A">
        <w:rPr>
          <w:b/>
          <w:bCs/>
        </w:rPr>
        <w:t>Discussion:</w:t>
      </w:r>
    </w:p>
    <w:p w:rsidR="00B90F1D" w:rsidRPr="00B90F1D" w:rsidRDefault="00A97AD0" w:rsidP="00DA5134">
      <w:pPr>
        <w:jc w:val="both"/>
        <w:rPr>
          <w:spacing w:val="5"/>
          <w:shd w:val="clear" w:color="auto" w:fill="FFFFFF"/>
          <w:vertAlign w:val="superscript"/>
        </w:rPr>
      </w:pPr>
      <w:r w:rsidRPr="00B90F1D">
        <w:t>India records approximately 5.2 million cases a year, ranging from incorrect prescription, wrong dose, wrong patient, wrong surgery, and wrong time to wrong drug.</w:t>
      </w:r>
      <w:r w:rsidR="00083916">
        <w:rPr>
          <w:vertAlign w:val="superscript"/>
        </w:rPr>
        <w:t>4</w:t>
      </w:r>
      <w:r w:rsidR="00B90F1D" w:rsidRPr="00B90F1D">
        <w:rPr>
          <w:color w:val="000000" w:themeColor="text1"/>
          <w:shd w:val="clear" w:color="auto" w:fill="FFFFFF"/>
        </w:rPr>
        <w:t xml:space="preserve">Of these, the biggest sources are mishaps from medications, hospital-acquired infections and blood </w:t>
      </w:r>
      <w:r w:rsidR="00DA5134">
        <w:rPr>
          <w:color w:val="000000" w:themeColor="text1"/>
          <w:shd w:val="clear" w:color="auto" w:fill="FFFFFF"/>
        </w:rPr>
        <w:t xml:space="preserve">clots that develop in legs from being immobilized </w:t>
      </w:r>
      <w:r w:rsidR="00B90F1D" w:rsidRPr="00B90F1D">
        <w:rPr>
          <w:color w:val="000000" w:themeColor="text1"/>
          <w:shd w:val="clear" w:color="auto" w:fill="FFFFFF"/>
        </w:rPr>
        <w:t>in</w:t>
      </w:r>
      <w:r w:rsidR="00DA5134">
        <w:rPr>
          <w:color w:val="000000" w:themeColor="text1"/>
          <w:shd w:val="clear" w:color="auto" w:fill="FFFFFF"/>
        </w:rPr>
        <w:t xml:space="preserve"> </w:t>
      </w:r>
      <w:r w:rsidR="00B90F1D" w:rsidRPr="00B90F1D">
        <w:rPr>
          <w:color w:val="000000" w:themeColor="text1"/>
          <w:shd w:val="clear" w:color="auto" w:fill="FFFFFF"/>
        </w:rPr>
        <w:t>the</w:t>
      </w:r>
      <w:r w:rsidR="00DA5134">
        <w:rPr>
          <w:color w:val="000000" w:themeColor="text1"/>
          <w:shd w:val="clear" w:color="auto" w:fill="FFFFFF"/>
        </w:rPr>
        <w:t xml:space="preserve"> </w:t>
      </w:r>
      <w:r w:rsidR="00B90F1D" w:rsidRPr="00B90F1D">
        <w:rPr>
          <w:color w:val="000000" w:themeColor="text1"/>
          <w:shd w:val="clear" w:color="auto" w:fill="FFFFFF"/>
        </w:rPr>
        <w:t>hospital.</w:t>
      </w:r>
      <w:r w:rsidR="00083916">
        <w:rPr>
          <w:color w:val="000000" w:themeColor="text1"/>
          <w:shd w:val="clear" w:color="auto" w:fill="FFFFFF"/>
          <w:vertAlign w:val="superscript"/>
        </w:rPr>
        <w:t>5</w:t>
      </w:r>
      <w:r w:rsidR="00DA5134">
        <w:rPr>
          <w:color w:val="000000" w:themeColor="text1"/>
          <w:shd w:val="clear" w:color="auto" w:fill="FFFFFF"/>
          <w:vertAlign w:val="superscript"/>
        </w:rPr>
        <w:t xml:space="preserve"> </w:t>
      </w:r>
      <w:r w:rsidR="00B90F1D" w:rsidRPr="00B90F1D">
        <w:rPr>
          <w:color w:val="000000"/>
          <w:shd w:val="clear" w:color="auto" w:fill="FFFFFF"/>
        </w:rPr>
        <w:t>Around 52 lakh medical injuries are recorded every year in India and 98,000 people in the country lose their lives in a year because of medical negligence.</w:t>
      </w:r>
      <w:r w:rsidR="00083916">
        <w:rPr>
          <w:color w:val="000000"/>
          <w:shd w:val="clear" w:color="auto" w:fill="FFFFFF"/>
          <w:vertAlign w:val="superscript"/>
        </w:rPr>
        <w:t>6</w:t>
      </w:r>
    </w:p>
    <w:p w:rsidR="00B34BF2" w:rsidRPr="00916B6A" w:rsidRDefault="00B34BF2" w:rsidP="00DA5134">
      <w:pPr>
        <w:shd w:val="clear" w:color="auto" w:fill="FFFFFF"/>
        <w:spacing w:after="0"/>
        <w:jc w:val="both"/>
        <w:rPr>
          <w:spacing w:val="5"/>
          <w:shd w:val="clear" w:color="auto" w:fill="FFFFFF"/>
        </w:rPr>
      </w:pPr>
      <w:r>
        <w:rPr>
          <w:spacing w:val="5"/>
          <w:shd w:val="clear" w:color="auto" w:fill="FFFFFF"/>
        </w:rPr>
        <w:t xml:space="preserve">There is a general rise in percentage of cases of medical negligence deaths brought to us autopsy </w:t>
      </w:r>
      <w:r w:rsidR="00BE1ED0">
        <w:rPr>
          <w:spacing w:val="5"/>
          <w:shd w:val="clear" w:color="auto" w:fill="FFFFFF"/>
        </w:rPr>
        <w:t>but almost every year they constitute less than 1% of total cases brought for autopsy.</w:t>
      </w:r>
    </w:p>
    <w:p w:rsidR="00067C47" w:rsidRPr="00916B6A" w:rsidRDefault="00067C47" w:rsidP="00DA5134">
      <w:pPr>
        <w:jc w:val="both"/>
      </w:pPr>
      <w:r>
        <w:t>Maximum numbers of alleged medical negligence death cases were observed in the age group of 0-10 years i.</w:t>
      </w:r>
      <w:r w:rsidR="00983D0E">
        <w:t>e. 42%, followed by 21-30 years being</w:t>
      </w:r>
      <w:r>
        <w:t xml:space="preserve"> 23%</w:t>
      </w:r>
      <w:r w:rsidR="00983D0E">
        <w:t xml:space="preserve"> of total cases.</w:t>
      </w:r>
      <w:r w:rsidR="003F6AFC">
        <w:t xml:space="preserve"> This fact is attributed to the fact that majority of the deaths with alleged history of medical negligence were observed in </w:t>
      </w:r>
      <w:r w:rsidR="00DB7670">
        <w:t>Pediatrics department.</w:t>
      </w:r>
    </w:p>
    <w:p w:rsidR="00067C47" w:rsidRDefault="00067C47" w:rsidP="00DA5134">
      <w:pPr>
        <w:tabs>
          <w:tab w:val="left" w:pos="1960"/>
        </w:tabs>
        <w:jc w:val="both"/>
        <w:rPr>
          <w:sz w:val="18"/>
          <w:szCs w:val="18"/>
        </w:rPr>
      </w:pPr>
      <w:r>
        <w:t xml:space="preserve">Maximum numbers of alleged medical negligence death cases were observed in Medicine and Pediatrics departments, accounting for 23% each of total deaths due to medical negligence, </w:t>
      </w:r>
      <w:r>
        <w:lastRenderedPageBreak/>
        <w:t>followed by department of Obstetrics and Gynecology.</w:t>
      </w:r>
      <w:r w:rsidR="00DB7670">
        <w:t xml:space="preserve"> It is interesting to note that 16% cases were allegedly OPD patient death.</w:t>
      </w:r>
    </w:p>
    <w:p w:rsidR="00BE1ED0" w:rsidRDefault="00BE1ED0" w:rsidP="00DA5134">
      <w:pPr>
        <w:tabs>
          <w:tab w:val="left" w:pos="1960"/>
        </w:tabs>
        <w:jc w:val="both"/>
      </w:pPr>
      <w:r>
        <w:t>Even after alleged medical negligence, many a times there are some lapses at the time of performing the post-mortem examination. In our study, t</w:t>
      </w:r>
      <w:r w:rsidR="00067C47">
        <w:t xml:space="preserve">hough </w:t>
      </w:r>
      <w:r>
        <w:t>viscera were</w:t>
      </w:r>
      <w:r w:rsidR="00067C47">
        <w:t xml:space="preserve"> preserved for chemical analysis in majority of cases but in 23% cases no viscera was preserved. </w:t>
      </w:r>
      <w:r>
        <w:t xml:space="preserve">Almost similar trend was observed in samples kept for histopathology. </w:t>
      </w:r>
    </w:p>
    <w:p w:rsidR="00067C47" w:rsidRDefault="00067C47" w:rsidP="00DA5134">
      <w:pPr>
        <w:tabs>
          <w:tab w:val="left" w:pos="1960"/>
        </w:tabs>
        <w:jc w:val="both"/>
        <w:rPr>
          <w:sz w:val="18"/>
          <w:szCs w:val="18"/>
        </w:rPr>
      </w:pPr>
      <w:r>
        <w:t>Out of the samples preserved</w:t>
      </w:r>
      <w:r w:rsidR="00983D0E">
        <w:t>,</w:t>
      </w:r>
      <w:r>
        <w:t xml:space="preserve"> reports of only 19% cases were s</w:t>
      </w:r>
      <w:r w:rsidR="00BE1ED0">
        <w:t>u</w:t>
      </w:r>
      <w:r w:rsidR="00983D0E">
        <w:t xml:space="preserve">bmitted for subsequent opinion which </w:t>
      </w:r>
      <w:r w:rsidR="00BE1ED0">
        <w:t>indicat</w:t>
      </w:r>
      <w:r w:rsidR="00983D0E">
        <w:t>es</w:t>
      </w:r>
      <w:r w:rsidR="00BE1ED0">
        <w:t xml:space="preserve"> either the charge-sheet was not filed or case got delayed</w:t>
      </w:r>
      <w:r w:rsidR="00983D0E">
        <w:t>/</w:t>
      </w:r>
      <w:r w:rsidR="00BE1ED0">
        <w:t xml:space="preserve"> withdrawn. This may be due to the fact that many a times, decision to file a case against the attending doctor</w:t>
      </w:r>
      <w:r w:rsidR="00983D0E">
        <w:t xml:space="preserve"> is taken in heat of the momentresulting due to sudden demise of the near and dear ones.</w:t>
      </w:r>
    </w:p>
    <w:p w:rsidR="00067C47" w:rsidRPr="00E21BEB" w:rsidRDefault="00067C47" w:rsidP="00DA5134">
      <w:pPr>
        <w:tabs>
          <w:tab w:val="left" w:pos="1960"/>
        </w:tabs>
        <w:jc w:val="both"/>
      </w:pPr>
      <w:r>
        <w:t>Out of the total cases of death allegedly due to medical negligence, 83% cases were primarily treated in Government Hospitals or Institutions.</w:t>
      </w:r>
      <w:r w:rsidR="00DB7670">
        <w:t xml:space="preserve"> Private hospitals contributed only 3% of total deaths.</w:t>
      </w:r>
      <w:r w:rsidR="00721E59">
        <w:t xml:space="preserve"> This fact</w:t>
      </w:r>
      <w:r w:rsidR="00983D0E">
        <w:t xml:space="preserve"> is</w:t>
      </w:r>
      <w:r w:rsidR="00721E59">
        <w:t xml:space="preserve"> in contrast to the common perception and may be a shift in pattern. This also points towards the fact that </w:t>
      </w:r>
      <w:r w:rsidR="00983D0E">
        <w:t xml:space="preserve">economically </w:t>
      </w:r>
      <w:r w:rsidR="00721E59">
        <w:t xml:space="preserve">lower strata of the society are too becoming aware of possible contribution of </w:t>
      </w:r>
      <w:r w:rsidR="00983D0E">
        <w:t>doctor’s</w:t>
      </w:r>
      <w:r w:rsidR="00721E59">
        <w:t xml:space="preserve"> negligence in</w:t>
      </w:r>
      <w:r w:rsidR="00983D0E">
        <w:t xml:space="preserve"> the</w:t>
      </w:r>
      <w:r w:rsidR="00721E59">
        <w:t xml:space="preserve"> death of the patient.</w:t>
      </w:r>
    </w:p>
    <w:p w:rsidR="00067C47" w:rsidRPr="00067C47" w:rsidRDefault="00721E59" w:rsidP="00DA5134">
      <w:pPr>
        <w:tabs>
          <w:tab w:val="left" w:pos="1960"/>
        </w:tabs>
        <w:jc w:val="both"/>
      </w:pPr>
      <w:r>
        <w:t>Most of the times the patient is brought in serious conditions, sometimes the condition being irrecoverable. To save a patient from such a condition becomes a daunting task for the treating doctor, leading to the perception to the patient’s relatives that there was negligence on the part of the doctor. This fact can be inferred from this study as o</w:t>
      </w:r>
      <w:r w:rsidR="00067C47">
        <w:t>ut of the total cases, 52% cases di</w:t>
      </w:r>
      <w:r w:rsidR="00DB7670">
        <w:t>ed within 24 hours of admission, whereas 32% patients survived for a period of 24-72 hours. Only 16% deaths were observed in patients surviving initial 72 hours.</w:t>
      </w:r>
    </w:p>
    <w:p w:rsidR="00DB7670" w:rsidRDefault="00DB7670" w:rsidP="002302D0">
      <w:pPr>
        <w:rPr>
          <w:b/>
          <w:bCs/>
        </w:rPr>
      </w:pPr>
    </w:p>
    <w:p w:rsidR="00DB7670" w:rsidRDefault="00DB7670" w:rsidP="002302D0">
      <w:pPr>
        <w:rPr>
          <w:b/>
          <w:bCs/>
        </w:rPr>
      </w:pPr>
      <w:r>
        <w:rPr>
          <w:b/>
          <w:bCs/>
        </w:rPr>
        <w:t>Conclusion:</w:t>
      </w:r>
    </w:p>
    <w:p w:rsidR="000665C1" w:rsidRPr="000665C1" w:rsidRDefault="000665C1" w:rsidP="000665C1">
      <w:pPr>
        <w:jc w:val="both"/>
      </w:pPr>
      <w:r>
        <w:t>Recent trend of rise in number of medical negligence cases not only indicates towards rise in awareness among the general population but also lack of due care by the treating doctors. With increase in number of litigations in medical practice it has become essential for the practicing health professionals to follow the established guidelines, thereby reducing such mis-happenings.</w:t>
      </w:r>
    </w:p>
    <w:p w:rsidR="00DB7670" w:rsidRDefault="00DB7670" w:rsidP="002302D0"/>
    <w:p w:rsidR="00934181" w:rsidRDefault="00934181" w:rsidP="002302D0">
      <w:pPr>
        <w:rPr>
          <w:b/>
          <w:bCs/>
        </w:rPr>
      </w:pPr>
    </w:p>
    <w:p w:rsidR="00DB7670" w:rsidRDefault="00DB7670" w:rsidP="002302D0">
      <w:pPr>
        <w:rPr>
          <w:b/>
          <w:bCs/>
        </w:rPr>
      </w:pPr>
      <w:r>
        <w:rPr>
          <w:b/>
          <w:bCs/>
        </w:rPr>
        <w:t>References:</w:t>
      </w:r>
    </w:p>
    <w:p w:rsidR="00DB7670" w:rsidRDefault="00A97AD0" w:rsidP="00A97AD0">
      <w:pPr>
        <w:pStyle w:val="ListParagraph"/>
        <w:numPr>
          <w:ilvl w:val="0"/>
          <w:numId w:val="4"/>
        </w:numPr>
      </w:pPr>
      <w:r>
        <w:t xml:space="preserve">Indian Medical Association vs. V.P. </w:t>
      </w:r>
      <w:proofErr w:type="spellStart"/>
      <w:r>
        <w:t>Shantha</w:t>
      </w:r>
      <w:proofErr w:type="spellEnd"/>
      <w:r>
        <w:t xml:space="preserve"> and Ors. (1995) 6 SCC 651.</w:t>
      </w:r>
    </w:p>
    <w:p w:rsidR="00F51619" w:rsidRDefault="00F51619" w:rsidP="00A97AD0">
      <w:pPr>
        <w:pStyle w:val="ListParagraph"/>
        <w:numPr>
          <w:ilvl w:val="0"/>
          <w:numId w:val="4"/>
        </w:numPr>
      </w:pPr>
      <w:r>
        <w:t>Laurie GT, Civil Litigation following injury and death from trauma: The health care professional in jeopardy. In: Mason JK, Purdue BN. The Pathology of Trauma.3'd ed. 'London: Arnold, 2000:488-. 503.</w:t>
      </w:r>
    </w:p>
    <w:p w:rsidR="00A97AD0" w:rsidRPr="00A97AD0" w:rsidRDefault="00F50B88" w:rsidP="00A97AD0">
      <w:pPr>
        <w:pStyle w:val="ListParagraph"/>
        <w:numPr>
          <w:ilvl w:val="0"/>
          <w:numId w:val="4"/>
        </w:numPr>
      </w:pPr>
      <w:proofErr w:type="spellStart"/>
      <w:r>
        <w:rPr>
          <w:rFonts w:eastAsia="Times New Roman" w:cs="Times New Roman"/>
          <w:szCs w:val="24"/>
        </w:rPr>
        <w:lastRenderedPageBreak/>
        <w:t>Samanta</w:t>
      </w:r>
      <w:proofErr w:type="spellEnd"/>
      <w:r>
        <w:rPr>
          <w:rFonts w:eastAsia="Times New Roman" w:cs="Times New Roman"/>
          <w:szCs w:val="24"/>
        </w:rPr>
        <w:t>, A., &amp;</w:t>
      </w:r>
      <w:r w:rsidR="00DA5134">
        <w:rPr>
          <w:rFonts w:eastAsia="Times New Roman" w:cs="Times New Roman"/>
          <w:szCs w:val="24"/>
        </w:rPr>
        <w:t xml:space="preserve"> </w:t>
      </w:r>
      <w:proofErr w:type="spellStart"/>
      <w:r>
        <w:rPr>
          <w:rFonts w:eastAsia="Times New Roman" w:cs="Times New Roman"/>
          <w:szCs w:val="24"/>
        </w:rPr>
        <w:t>Samanta</w:t>
      </w:r>
      <w:proofErr w:type="spellEnd"/>
      <w:r>
        <w:rPr>
          <w:rFonts w:eastAsia="Times New Roman" w:cs="Times New Roman"/>
          <w:szCs w:val="24"/>
        </w:rPr>
        <w:t xml:space="preserve"> J. (2003). Legal standard</w:t>
      </w:r>
      <w:r w:rsidR="00DA5134">
        <w:rPr>
          <w:rFonts w:eastAsia="Times New Roman" w:cs="Times New Roman"/>
          <w:szCs w:val="24"/>
        </w:rPr>
        <w:t xml:space="preserve"> </w:t>
      </w:r>
      <w:r>
        <w:rPr>
          <w:rFonts w:eastAsia="Times New Roman" w:cs="Times New Roman"/>
          <w:szCs w:val="24"/>
        </w:rPr>
        <w:t xml:space="preserve">of care: a shift from the traditional </w:t>
      </w:r>
      <w:proofErr w:type="spellStart"/>
      <w:r>
        <w:rPr>
          <w:rFonts w:eastAsia="Times New Roman" w:cs="Times New Roman"/>
          <w:szCs w:val="24"/>
        </w:rPr>
        <w:t>Bolam</w:t>
      </w:r>
      <w:proofErr w:type="spellEnd"/>
      <w:r>
        <w:rPr>
          <w:rFonts w:eastAsia="Times New Roman" w:cs="Times New Roman"/>
          <w:szCs w:val="24"/>
        </w:rPr>
        <w:t xml:space="preserve"> test. Clinical Medicine, 3(5), 443-446. doi:10.7861/clinmedicine.3-5-443.</w:t>
      </w:r>
    </w:p>
    <w:p w:rsidR="00A97AD0" w:rsidRDefault="00A97AD0" w:rsidP="00A97AD0">
      <w:pPr>
        <w:pStyle w:val="ListParagraph"/>
        <w:numPr>
          <w:ilvl w:val="0"/>
          <w:numId w:val="4"/>
        </w:numPr>
      </w:pPr>
      <w:proofErr w:type="spellStart"/>
      <w:r>
        <w:t>Damayanti</w:t>
      </w:r>
      <w:proofErr w:type="spellEnd"/>
      <w:r w:rsidR="00DA5134">
        <w:t xml:space="preserve"> </w:t>
      </w:r>
      <w:proofErr w:type="spellStart"/>
      <w:r>
        <w:t>Datta</w:t>
      </w:r>
      <w:proofErr w:type="spellEnd"/>
      <w:r>
        <w:t>. Doctors in the dock: Will fuzzy laws and frivolous cases change the way medicine is practiced in India? India Today, October 9, 2014, Available at: http://indiatoday.intoday.in/story/litigation-doctors-medicine-lawnational-accreditation-board-for-hospitals/1/394983.html</w:t>
      </w:r>
    </w:p>
    <w:p w:rsidR="00A97AD0" w:rsidRDefault="00B90F1D" w:rsidP="00A97AD0">
      <w:pPr>
        <w:pStyle w:val="ListParagraph"/>
        <w:numPr>
          <w:ilvl w:val="0"/>
          <w:numId w:val="4"/>
        </w:numPr>
      </w:pPr>
      <w:r w:rsidRPr="00B90F1D">
        <w:t>https://timesofindia.indiatimes.com/india/India-records-5-2-million-medical-injuries-a-year/articleshow/22832260.cms</w:t>
      </w:r>
      <w:r>
        <w:t>.</w:t>
      </w:r>
    </w:p>
    <w:p w:rsidR="00B90F1D" w:rsidRDefault="00B90F1D" w:rsidP="00A97AD0">
      <w:pPr>
        <w:pStyle w:val="ListParagraph"/>
        <w:numPr>
          <w:ilvl w:val="0"/>
          <w:numId w:val="4"/>
        </w:numPr>
      </w:pPr>
      <w:r w:rsidRPr="00B90F1D">
        <w:t>https://www.indiamedicaltimes.com/2016/05/25/98000-people-lose-their-lives-because-of-medical-negligence</w:t>
      </w:r>
      <w:r>
        <w:t>.</w:t>
      </w:r>
    </w:p>
    <w:sectPr w:rsidR="00B90F1D" w:rsidSect="00CF6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34E17"/>
    <w:multiLevelType w:val="multilevel"/>
    <w:tmpl w:val="AF58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03DE0"/>
    <w:multiLevelType w:val="hybridMultilevel"/>
    <w:tmpl w:val="AA4EFE0C"/>
    <w:lvl w:ilvl="0" w:tplc="4A449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883F85"/>
    <w:multiLevelType w:val="multilevel"/>
    <w:tmpl w:val="415C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BB458F"/>
    <w:multiLevelType w:val="hybridMultilevel"/>
    <w:tmpl w:val="9B3CB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020"/>
    <w:rsid w:val="00002113"/>
    <w:rsid w:val="00034C5E"/>
    <w:rsid w:val="000665C1"/>
    <w:rsid w:val="00067C47"/>
    <w:rsid w:val="00083916"/>
    <w:rsid w:val="00152AF5"/>
    <w:rsid w:val="002302D0"/>
    <w:rsid w:val="00240728"/>
    <w:rsid w:val="002A651D"/>
    <w:rsid w:val="002B5623"/>
    <w:rsid w:val="002E1D09"/>
    <w:rsid w:val="003654CD"/>
    <w:rsid w:val="003F58BC"/>
    <w:rsid w:val="003F6AFC"/>
    <w:rsid w:val="004526D9"/>
    <w:rsid w:val="004806C2"/>
    <w:rsid w:val="005640EE"/>
    <w:rsid w:val="005919E6"/>
    <w:rsid w:val="005A4217"/>
    <w:rsid w:val="005D25BF"/>
    <w:rsid w:val="00721E59"/>
    <w:rsid w:val="007B70BD"/>
    <w:rsid w:val="007C0866"/>
    <w:rsid w:val="007E2762"/>
    <w:rsid w:val="008254E9"/>
    <w:rsid w:val="008728A1"/>
    <w:rsid w:val="008C5C39"/>
    <w:rsid w:val="008D1046"/>
    <w:rsid w:val="009137A8"/>
    <w:rsid w:val="00916B6A"/>
    <w:rsid w:val="00934181"/>
    <w:rsid w:val="00964C92"/>
    <w:rsid w:val="00983D0E"/>
    <w:rsid w:val="009F71E9"/>
    <w:rsid w:val="00A0171A"/>
    <w:rsid w:val="00A12069"/>
    <w:rsid w:val="00A40D95"/>
    <w:rsid w:val="00A97AD0"/>
    <w:rsid w:val="00B34BF2"/>
    <w:rsid w:val="00B90F1D"/>
    <w:rsid w:val="00BE1ED0"/>
    <w:rsid w:val="00C157A0"/>
    <w:rsid w:val="00C52020"/>
    <w:rsid w:val="00C76827"/>
    <w:rsid w:val="00CB4785"/>
    <w:rsid w:val="00CF6CC1"/>
    <w:rsid w:val="00D8652A"/>
    <w:rsid w:val="00DA41F3"/>
    <w:rsid w:val="00DA4AA6"/>
    <w:rsid w:val="00DA5134"/>
    <w:rsid w:val="00DB7670"/>
    <w:rsid w:val="00DE5A0F"/>
    <w:rsid w:val="00E21BEB"/>
    <w:rsid w:val="00E25375"/>
    <w:rsid w:val="00E335F1"/>
    <w:rsid w:val="00E61BF9"/>
    <w:rsid w:val="00F37F34"/>
    <w:rsid w:val="00F50B88"/>
    <w:rsid w:val="00F5161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D985A-1460-4455-9C51-B0D508EC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C1"/>
  </w:style>
  <w:style w:type="paragraph" w:styleId="Heading4">
    <w:name w:val="heading 4"/>
    <w:basedOn w:val="Normal"/>
    <w:link w:val="Heading4Char"/>
    <w:uiPriority w:val="9"/>
    <w:qFormat/>
    <w:rsid w:val="004526D9"/>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762"/>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7E2762"/>
    <w:rPr>
      <w:color w:val="0000FF"/>
      <w:u w:val="single"/>
    </w:rPr>
  </w:style>
  <w:style w:type="character" w:styleId="Emphasis">
    <w:name w:val="Emphasis"/>
    <w:basedOn w:val="DefaultParagraphFont"/>
    <w:uiPriority w:val="20"/>
    <w:qFormat/>
    <w:rsid w:val="007E2762"/>
    <w:rPr>
      <w:i/>
      <w:iCs/>
    </w:rPr>
  </w:style>
  <w:style w:type="character" w:styleId="Strong">
    <w:name w:val="Strong"/>
    <w:basedOn w:val="DefaultParagraphFont"/>
    <w:uiPriority w:val="22"/>
    <w:qFormat/>
    <w:rsid w:val="007E2762"/>
    <w:rPr>
      <w:b/>
      <w:bCs/>
    </w:rPr>
  </w:style>
  <w:style w:type="character" w:customStyle="1" w:styleId="Heading4Char">
    <w:name w:val="Heading 4 Char"/>
    <w:basedOn w:val="DefaultParagraphFont"/>
    <w:link w:val="Heading4"/>
    <w:uiPriority w:val="9"/>
    <w:rsid w:val="004526D9"/>
    <w:rPr>
      <w:rFonts w:ascii="Times New Roman" w:eastAsia="Times New Roman" w:hAnsi="Times New Roman" w:cs="Times New Roman"/>
      <w:b/>
      <w:bCs/>
      <w:sz w:val="24"/>
      <w:szCs w:val="24"/>
    </w:rPr>
  </w:style>
  <w:style w:type="paragraph" w:styleId="ListParagraph">
    <w:name w:val="List Paragraph"/>
    <w:basedOn w:val="Normal"/>
    <w:uiPriority w:val="34"/>
    <w:qFormat/>
    <w:rsid w:val="005A4217"/>
    <w:pPr>
      <w:ind w:left="720"/>
      <w:contextualSpacing/>
    </w:pPr>
    <w:rPr>
      <w:rFonts w:cs="Mangal"/>
      <w:szCs w:val="21"/>
      <w:lang w:bidi="hi-IN"/>
    </w:rPr>
  </w:style>
  <w:style w:type="table" w:styleId="TableGrid">
    <w:name w:val="Table Grid"/>
    <w:basedOn w:val="TableNormal"/>
    <w:uiPriority w:val="59"/>
    <w:rsid w:val="002302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3049">
      <w:bodyDiv w:val="1"/>
      <w:marLeft w:val="0"/>
      <w:marRight w:val="0"/>
      <w:marTop w:val="0"/>
      <w:marBottom w:val="0"/>
      <w:divBdr>
        <w:top w:val="none" w:sz="0" w:space="0" w:color="auto"/>
        <w:left w:val="none" w:sz="0" w:space="0" w:color="auto"/>
        <w:bottom w:val="none" w:sz="0" w:space="0" w:color="auto"/>
        <w:right w:val="none" w:sz="0" w:space="0" w:color="auto"/>
      </w:divBdr>
    </w:div>
    <w:div w:id="303967640">
      <w:bodyDiv w:val="1"/>
      <w:marLeft w:val="0"/>
      <w:marRight w:val="0"/>
      <w:marTop w:val="0"/>
      <w:marBottom w:val="0"/>
      <w:divBdr>
        <w:top w:val="none" w:sz="0" w:space="0" w:color="auto"/>
        <w:left w:val="none" w:sz="0" w:space="0" w:color="auto"/>
        <w:bottom w:val="none" w:sz="0" w:space="0" w:color="auto"/>
        <w:right w:val="none" w:sz="0" w:space="0" w:color="auto"/>
      </w:divBdr>
      <w:divsChild>
        <w:div w:id="1548833314">
          <w:marLeft w:val="0"/>
          <w:marRight w:val="0"/>
          <w:marTop w:val="0"/>
          <w:marBottom w:val="0"/>
          <w:divBdr>
            <w:top w:val="none" w:sz="0" w:space="0" w:color="auto"/>
            <w:left w:val="none" w:sz="0" w:space="0" w:color="auto"/>
            <w:bottom w:val="none" w:sz="0" w:space="0" w:color="auto"/>
            <w:right w:val="none" w:sz="0" w:space="0" w:color="auto"/>
          </w:divBdr>
        </w:div>
      </w:divsChild>
    </w:div>
    <w:div w:id="419104679">
      <w:bodyDiv w:val="1"/>
      <w:marLeft w:val="0"/>
      <w:marRight w:val="0"/>
      <w:marTop w:val="0"/>
      <w:marBottom w:val="0"/>
      <w:divBdr>
        <w:top w:val="none" w:sz="0" w:space="0" w:color="auto"/>
        <w:left w:val="none" w:sz="0" w:space="0" w:color="auto"/>
        <w:bottom w:val="none" w:sz="0" w:space="0" w:color="auto"/>
        <w:right w:val="none" w:sz="0" w:space="0" w:color="auto"/>
      </w:divBdr>
      <w:divsChild>
        <w:div w:id="966157570">
          <w:marLeft w:val="0"/>
          <w:marRight w:val="0"/>
          <w:marTop w:val="0"/>
          <w:marBottom w:val="0"/>
          <w:divBdr>
            <w:top w:val="none" w:sz="0" w:space="0" w:color="auto"/>
            <w:left w:val="none" w:sz="0" w:space="0" w:color="auto"/>
            <w:bottom w:val="none" w:sz="0" w:space="0" w:color="auto"/>
            <w:right w:val="none" w:sz="0" w:space="0" w:color="auto"/>
          </w:divBdr>
        </w:div>
      </w:divsChild>
    </w:div>
    <w:div w:id="515581845">
      <w:bodyDiv w:val="1"/>
      <w:marLeft w:val="0"/>
      <w:marRight w:val="0"/>
      <w:marTop w:val="0"/>
      <w:marBottom w:val="0"/>
      <w:divBdr>
        <w:top w:val="none" w:sz="0" w:space="0" w:color="auto"/>
        <w:left w:val="none" w:sz="0" w:space="0" w:color="auto"/>
        <w:bottom w:val="none" w:sz="0" w:space="0" w:color="auto"/>
        <w:right w:val="none" w:sz="0" w:space="0" w:color="auto"/>
      </w:divBdr>
      <w:divsChild>
        <w:div w:id="66616516">
          <w:marLeft w:val="0"/>
          <w:marRight w:val="0"/>
          <w:marTop w:val="0"/>
          <w:marBottom w:val="0"/>
          <w:divBdr>
            <w:top w:val="none" w:sz="0" w:space="0" w:color="auto"/>
            <w:left w:val="none" w:sz="0" w:space="0" w:color="auto"/>
            <w:bottom w:val="none" w:sz="0" w:space="0" w:color="auto"/>
            <w:right w:val="none" w:sz="0" w:space="0" w:color="auto"/>
          </w:divBdr>
        </w:div>
      </w:divsChild>
    </w:div>
    <w:div w:id="1036471485">
      <w:bodyDiv w:val="1"/>
      <w:marLeft w:val="0"/>
      <w:marRight w:val="0"/>
      <w:marTop w:val="0"/>
      <w:marBottom w:val="0"/>
      <w:divBdr>
        <w:top w:val="none" w:sz="0" w:space="0" w:color="auto"/>
        <w:left w:val="none" w:sz="0" w:space="0" w:color="auto"/>
        <w:bottom w:val="none" w:sz="0" w:space="0" w:color="auto"/>
        <w:right w:val="none" w:sz="0" w:space="0" w:color="auto"/>
      </w:divBdr>
      <w:divsChild>
        <w:div w:id="959917905">
          <w:marLeft w:val="0"/>
          <w:marRight w:val="0"/>
          <w:marTop w:val="0"/>
          <w:marBottom w:val="0"/>
          <w:divBdr>
            <w:top w:val="none" w:sz="0" w:space="0" w:color="auto"/>
            <w:left w:val="none" w:sz="0" w:space="0" w:color="auto"/>
            <w:bottom w:val="none" w:sz="0" w:space="0" w:color="auto"/>
            <w:right w:val="none" w:sz="0" w:space="0" w:color="auto"/>
          </w:divBdr>
        </w:div>
      </w:divsChild>
    </w:div>
    <w:div w:id="1432437159">
      <w:bodyDiv w:val="1"/>
      <w:marLeft w:val="0"/>
      <w:marRight w:val="0"/>
      <w:marTop w:val="0"/>
      <w:marBottom w:val="0"/>
      <w:divBdr>
        <w:top w:val="none" w:sz="0" w:space="0" w:color="auto"/>
        <w:left w:val="none" w:sz="0" w:space="0" w:color="auto"/>
        <w:bottom w:val="none" w:sz="0" w:space="0" w:color="auto"/>
        <w:right w:val="none" w:sz="0" w:space="0" w:color="auto"/>
      </w:divBdr>
    </w:div>
    <w:div w:id="1883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Total no. of cases</c:v>
                </c:pt>
              </c:strCache>
            </c:strRef>
          </c:tx>
          <c:invertIfNegative val="0"/>
          <c:dLbls>
            <c:numFmt formatCode="General" sourceLinked="0"/>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2013</c:v>
                </c:pt>
                <c:pt idx="1">
                  <c:v>2014</c:v>
                </c:pt>
                <c:pt idx="2">
                  <c:v>2015</c:v>
                </c:pt>
                <c:pt idx="3">
                  <c:v>2016</c:v>
                </c:pt>
                <c:pt idx="4">
                  <c:v>2017</c:v>
                </c:pt>
              </c:numCache>
            </c:numRef>
          </c:cat>
          <c:val>
            <c:numRef>
              <c:f>Sheet1!$B$2:$B$6</c:f>
              <c:numCache>
                <c:formatCode>General</c:formatCode>
                <c:ptCount val="5"/>
                <c:pt idx="0">
                  <c:v>630</c:v>
                </c:pt>
                <c:pt idx="1">
                  <c:v>701</c:v>
                </c:pt>
                <c:pt idx="2">
                  <c:v>737</c:v>
                </c:pt>
                <c:pt idx="3">
                  <c:v>811</c:v>
                </c:pt>
                <c:pt idx="4">
                  <c:v>623</c:v>
                </c:pt>
              </c:numCache>
            </c:numRef>
          </c:val>
          <c:extLst xmlns:c16r2="http://schemas.microsoft.com/office/drawing/2015/06/chart">
            <c:ext xmlns:c16="http://schemas.microsoft.com/office/drawing/2014/chart" uri="{C3380CC4-5D6E-409C-BE32-E72D297353CC}">
              <c16:uniqueId val="{00000000-BD79-46B7-8D28-2AFB10EB3AD7}"/>
            </c:ext>
          </c:extLst>
        </c:ser>
        <c:ser>
          <c:idx val="1"/>
          <c:order val="1"/>
          <c:tx>
            <c:strRef>
              <c:f>Sheet1!$C$1</c:f>
              <c:strCache>
                <c:ptCount val="1"/>
                <c:pt idx="0">
                  <c:v>No. of Med Negligence Cases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2013</c:v>
                </c:pt>
                <c:pt idx="1">
                  <c:v>2014</c:v>
                </c:pt>
                <c:pt idx="2">
                  <c:v>2015</c:v>
                </c:pt>
                <c:pt idx="3">
                  <c:v>2016</c:v>
                </c:pt>
                <c:pt idx="4">
                  <c:v>2017</c:v>
                </c:pt>
              </c:numCache>
            </c:numRef>
          </c:cat>
          <c:val>
            <c:numRef>
              <c:f>Sheet1!$C$2:$C$6</c:f>
              <c:numCache>
                <c:formatCode>General</c:formatCode>
                <c:ptCount val="5"/>
                <c:pt idx="0">
                  <c:v>4</c:v>
                </c:pt>
                <c:pt idx="1">
                  <c:v>6</c:v>
                </c:pt>
                <c:pt idx="2">
                  <c:v>5</c:v>
                </c:pt>
                <c:pt idx="3">
                  <c:v>10</c:v>
                </c:pt>
                <c:pt idx="4">
                  <c:v>6</c:v>
                </c:pt>
              </c:numCache>
            </c:numRef>
          </c:val>
          <c:extLst xmlns:c16r2="http://schemas.microsoft.com/office/drawing/2015/06/chart">
            <c:ext xmlns:c16="http://schemas.microsoft.com/office/drawing/2014/chart" uri="{C3380CC4-5D6E-409C-BE32-E72D297353CC}">
              <c16:uniqueId val="{00000001-BD79-46B7-8D28-2AFB10EB3AD7}"/>
            </c:ext>
          </c:extLst>
        </c:ser>
        <c:dLbls>
          <c:showLegendKey val="0"/>
          <c:showVal val="1"/>
          <c:showCatName val="0"/>
          <c:showSerName val="0"/>
          <c:showPercent val="0"/>
          <c:showBubbleSize val="0"/>
        </c:dLbls>
        <c:gapWidth val="75"/>
        <c:overlap val="100"/>
        <c:axId val="269189328"/>
        <c:axId val="269190112"/>
      </c:barChart>
      <c:catAx>
        <c:axId val="269189328"/>
        <c:scaling>
          <c:orientation val="minMax"/>
        </c:scaling>
        <c:delete val="0"/>
        <c:axPos val="b"/>
        <c:numFmt formatCode="General" sourceLinked="1"/>
        <c:majorTickMark val="none"/>
        <c:minorTickMark val="none"/>
        <c:tickLblPos val="nextTo"/>
        <c:crossAx val="269190112"/>
        <c:crosses val="autoZero"/>
        <c:auto val="1"/>
        <c:lblAlgn val="ctr"/>
        <c:lblOffset val="100"/>
        <c:noMultiLvlLbl val="0"/>
      </c:catAx>
      <c:valAx>
        <c:axId val="269190112"/>
        <c:scaling>
          <c:orientation val="minMax"/>
        </c:scaling>
        <c:delete val="0"/>
        <c:axPos val="l"/>
        <c:numFmt formatCode="General" sourceLinked="1"/>
        <c:majorTickMark val="none"/>
        <c:minorTickMark val="none"/>
        <c:tickLblPos val="nextTo"/>
        <c:crossAx val="26918932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Sheet1!$A$2:$A$7</c:f>
              <c:strCache>
                <c:ptCount val="6"/>
                <c:pt idx="0">
                  <c:v>0-10</c:v>
                </c:pt>
                <c:pt idx="1">
                  <c:v>11 20</c:v>
                </c:pt>
                <c:pt idx="2">
                  <c:v>21-30</c:v>
                </c:pt>
                <c:pt idx="3">
                  <c:v>31-40</c:v>
                </c:pt>
                <c:pt idx="4">
                  <c:v>41-50</c:v>
                </c:pt>
                <c:pt idx="5">
                  <c:v>51-60</c:v>
                </c:pt>
              </c:strCache>
            </c:strRef>
          </c:cat>
          <c:val>
            <c:numRef>
              <c:f>Sheet1!$B$2:$B$7</c:f>
              <c:numCache>
                <c:formatCode>General</c:formatCode>
                <c:ptCount val="6"/>
                <c:pt idx="0">
                  <c:v>13</c:v>
                </c:pt>
                <c:pt idx="1">
                  <c:v>1</c:v>
                </c:pt>
                <c:pt idx="2">
                  <c:v>7</c:v>
                </c:pt>
                <c:pt idx="3">
                  <c:v>5</c:v>
                </c:pt>
                <c:pt idx="4">
                  <c:v>2</c:v>
                </c:pt>
                <c:pt idx="5">
                  <c:v>3</c:v>
                </c:pt>
              </c:numCache>
            </c:numRef>
          </c:val>
          <c:extLst xmlns:c16r2="http://schemas.microsoft.com/office/drawing/2015/06/chart">
            <c:ext xmlns:c16="http://schemas.microsoft.com/office/drawing/2014/chart" uri="{C3380CC4-5D6E-409C-BE32-E72D297353CC}">
              <c16:uniqueId val="{00000000-7C6F-46AF-8599-ADE6ADB7F9C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Sheet1!$A$2:$A$3</c:f>
              <c:strCache>
                <c:ptCount val="2"/>
                <c:pt idx="0">
                  <c:v>Males</c:v>
                </c:pt>
                <c:pt idx="1">
                  <c:v>Females</c:v>
                </c:pt>
              </c:strCache>
            </c:strRef>
          </c:cat>
          <c:val>
            <c:numRef>
              <c:f>Sheet1!$B$2:$B$3</c:f>
              <c:numCache>
                <c:formatCode>General</c:formatCode>
                <c:ptCount val="2"/>
                <c:pt idx="0">
                  <c:v>14</c:v>
                </c:pt>
                <c:pt idx="1">
                  <c:v>17</c:v>
                </c:pt>
              </c:numCache>
            </c:numRef>
          </c:val>
          <c:extLst xmlns:c16r2="http://schemas.microsoft.com/office/drawing/2015/06/chart">
            <c:ext xmlns:c16="http://schemas.microsoft.com/office/drawing/2014/chart" uri="{C3380CC4-5D6E-409C-BE32-E72D297353CC}">
              <c16:uniqueId val="{00000000-7306-4B8C-9F7F-520B05DBFA9F}"/>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Sheet1!$A$2:$A$9</c:f>
              <c:strCache>
                <c:ptCount val="8"/>
                <c:pt idx="0">
                  <c:v>Casualty</c:v>
                </c:pt>
                <c:pt idx="1">
                  <c:v>Pediatrics</c:v>
                </c:pt>
                <c:pt idx="2">
                  <c:v>OBGY</c:v>
                </c:pt>
                <c:pt idx="3">
                  <c:v>Medicine</c:v>
                </c:pt>
                <c:pt idx="4">
                  <c:v>Surgery</c:v>
                </c:pt>
                <c:pt idx="5">
                  <c:v>Ophthalmology</c:v>
                </c:pt>
                <c:pt idx="6">
                  <c:v>Anesthesia</c:v>
                </c:pt>
                <c:pt idx="7">
                  <c:v>Private OPD</c:v>
                </c:pt>
              </c:strCache>
            </c:strRef>
          </c:cat>
          <c:val>
            <c:numRef>
              <c:f>Sheet1!$B$2:$B$9</c:f>
              <c:numCache>
                <c:formatCode>General</c:formatCode>
                <c:ptCount val="8"/>
                <c:pt idx="0">
                  <c:v>1</c:v>
                </c:pt>
                <c:pt idx="1">
                  <c:v>7</c:v>
                </c:pt>
                <c:pt idx="2">
                  <c:v>6</c:v>
                </c:pt>
                <c:pt idx="3">
                  <c:v>7</c:v>
                </c:pt>
                <c:pt idx="4">
                  <c:v>3</c:v>
                </c:pt>
                <c:pt idx="5">
                  <c:v>1</c:v>
                </c:pt>
                <c:pt idx="6">
                  <c:v>1</c:v>
                </c:pt>
                <c:pt idx="7">
                  <c:v>5</c:v>
                </c:pt>
              </c:numCache>
            </c:numRef>
          </c:val>
          <c:extLst xmlns:c16r2="http://schemas.microsoft.com/office/drawing/2015/06/chart">
            <c:ext xmlns:c16="http://schemas.microsoft.com/office/drawing/2014/chart" uri="{C3380CC4-5D6E-409C-BE32-E72D297353CC}">
              <c16:uniqueId val="{00000000-DC37-4CB4-BBE4-F2E931A8E28D}"/>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Sheet1!$A$2:$A$4</c:f>
              <c:strCache>
                <c:ptCount val="3"/>
                <c:pt idx="0">
                  <c:v>Not preserved</c:v>
                </c:pt>
                <c:pt idx="1">
                  <c:v>Preserved but result pending</c:v>
                </c:pt>
                <c:pt idx="2">
                  <c:v>Preserved and report received</c:v>
                </c:pt>
              </c:strCache>
            </c:strRef>
          </c:cat>
          <c:val>
            <c:numRef>
              <c:f>Sheet1!$B$2:$B$4</c:f>
              <c:numCache>
                <c:formatCode>General</c:formatCode>
                <c:ptCount val="3"/>
                <c:pt idx="0">
                  <c:v>7</c:v>
                </c:pt>
                <c:pt idx="1">
                  <c:v>18</c:v>
                </c:pt>
                <c:pt idx="2">
                  <c:v>6</c:v>
                </c:pt>
              </c:numCache>
            </c:numRef>
          </c:val>
          <c:extLst xmlns:c16r2="http://schemas.microsoft.com/office/drawing/2015/06/chart">
            <c:ext xmlns:c16="http://schemas.microsoft.com/office/drawing/2014/chart" uri="{C3380CC4-5D6E-409C-BE32-E72D297353CC}">
              <c16:uniqueId val="{00000000-A811-4E4C-B4A6-56F9C85B42C2}"/>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Sheet1!$A$2:$A$4</c:f>
              <c:strCache>
                <c:ptCount val="3"/>
                <c:pt idx="0">
                  <c:v>Not preserved</c:v>
                </c:pt>
                <c:pt idx="1">
                  <c:v>Preserved but result pending</c:v>
                </c:pt>
                <c:pt idx="2">
                  <c:v>Preserved and report received</c:v>
                </c:pt>
              </c:strCache>
            </c:strRef>
          </c:cat>
          <c:val>
            <c:numRef>
              <c:f>Sheet1!$B$2:$B$4</c:f>
              <c:numCache>
                <c:formatCode>General</c:formatCode>
                <c:ptCount val="3"/>
                <c:pt idx="0">
                  <c:v>8</c:v>
                </c:pt>
                <c:pt idx="1">
                  <c:v>17</c:v>
                </c:pt>
                <c:pt idx="2">
                  <c:v>6</c:v>
                </c:pt>
              </c:numCache>
            </c:numRef>
          </c:val>
          <c:extLst xmlns:c16r2="http://schemas.microsoft.com/office/drawing/2015/06/chart">
            <c:ext xmlns:c16="http://schemas.microsoft.com/office/drawing/2014/chart" uri="{C3380CC4-5D6E-409C-BE32-E72D297353CC}">
              <c16:uniqueId val="{00000000-C938-48E9-BCBC-B32E6351ECEA}"/>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16</c:v>
                </c:pt>
                <c:pt idx="1">
                  <c:v>15</c:v>
                </c:pt>
              </c:numCache>
            </c:numRef>
          </c:val>
          <c:extLst xmlns:c16r2="http://schemas.microsoft.com/office/drawing/2015/06/chart">
            <c:ext xmlns:c16="http://schemas.microsoft.com/office/drawing/2014/chart" uri="{C3380CC4-5D6E-409C-BE32-E72D297353CC}">
              <c16:uniqueId val="{00000000-05D8-4537-94E3-E0F7E7E336C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Sheet1!$A$2:$A$3</c:f>
              <c:strCache>
                <c:ptCount val="2"/>
                <c:pt idx="0">
                  <c:v>Government</c:v>
                </c:pt>
                <c:pt idx="1">
                  <c:v>Private</c:v>
                </c:pt>
              </c:strCache>
            </c:strRef>
          </c:cat>
          <c:val>
            <c:numRef>
              <c:f>Sheet1!$B$2:$B$3</c:f>
              <c:numCache>
                <c:formatCode>General</c:formatCode>
                <c:ptCount val="2"/>
                <c:pt idx="0">
                  <c:v>5</c:v>
                </c:pt>
                <c:pt idx="1">
                  <c:v>1</c:v>
                </c:pt>
              </c:numCache>
            </c:numRef>
          </c:val>
          <c:extLst xmlns:c16r2="http://schemas.microsoft.com/office/drawing/2015/06/chart">
            <c:ext xmlns:c16="http://schemas.microsoft.com/office/drawing/2014/chart" uri="{C3380CC4-5D6E-409C-BE32-E72D297353CC}">
              <c16:uniqueId val="{00000000-C36A-4BAD-A084-C40B9B2585A7}"/>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Sheet1!$A$2:$A$6</c:f>
              <c:strCache>
                <c:ptCount val="5"/>
                <c:pt idx="0">
                  <c:v>Brought Dead</c:v>
                </c:pt>
                <c:pt idx="1">
                  <c:v>0-24 hrs</c:v>
                </c:pt>
                <c:pt idx="2">
                  <c:v>24-72 hrs</c:v>
                </c:pt>
                <c:pt idx="3">
                  <c:v>3- 7 Days</c:v>
                </c:pt>
                <c:pt idx="4">
                  <c:v>&gt;7 Days</c:v>
                </c:pt>
              </c:strCache>
            </c:strRef>
          </c:cat>
          <c:val>
            <c:numRef>
              <c:f>Sheet1!$B$2:$B$6</c:f>
              <c:numCache>
                <c:formatCode>General</c:formatCode>
                <c:ptCount val="5"/>
                <c:pt idx="0">
                  <c:v>1</c:v>
                </c:pt>
                <c:pt idx="1">
                  <c:v>13</c:v>
                </c:pt>
                <c:pt idx="2">
                  <c:v>8</c:v>
                </c:pt>
                <c:pt idx="3">
                  <c:v>3</c:v>
                </c:pt>
              </c:numCache>
            </c:numRef>
          </c:val>
          <c:extLst xmlns:c16r2="http://schemas.microsoft.com/office/drawing/2015/06/chart">
            <c:ext xmlns:c16="http://schemas.microsoft.com/office/drawing/2014/chart" uri="{C3380CC4-5D6E-409C-BE32-E72D297353CC}">
              <c16:uniqueId val="{00000000-B132-4920-BA3F-6AC8A20D7DE7}"/>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B95DC-4C0A-4D85-81FD-E478033FC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Reviewer</cp:lastModifiedBy>
  <cp:revision>2</cp:revision>
  <dcterms:created xsi:type="dcterms:W3CDTF">2019-11-21T13:27:00Z</dcterms:created>
  <dcterms:modified xsi:type="dcterms:W3CDTF">2019-11-21T13:27:00Z</dcterms:modified>
</cp:coreProperties>
</file>