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9DEE36" w14:textId="25729BB0" w:rsidR="00937546" w:rsidRPr="001D7F75" w:rsidRDefault="00492C5D" w:rsidP="00937546">
      <w:pPr>
        <w:rPr>
          <w:rFonts w:ascii="Times New Roman" w:hAnsi="Times New Roman" w:cs="Times New Roman"/>
          <w:b/>
          <w:bCs/>
          <w:sz w:val="24"/>
          <w:szCs w:val="24"/>
        </w:rPr>
      </w:pPr>
      <w:bookmarkStart w:id="0" w:name="_GoBack"/>
      <w:bookmarkEnd w:id="0"/>
      <w:r w:rsidRPr="00E91A88">
        <w:rPr>
          <w:rFonts w:ascii="Times New Roman" w:hAnsi="Times New Roman" w:cs="Times New Roman"/>
          <w:sz w:val="24"/>
          <w:szCs w:val="24"/>
        </w:rPr>
        <w:t xml:space="preserve"> </w:t>
      </w:r>
      <w:r w:rsidR="00937546" w:rsidRPr="001D7F75">
        <w:rPr>
          <w:rFonts w:ascii="Times New Roman" w:hAnsi="Times New Roman" w:cs="Times New Roman"/>
          <w:b/>
          <w:bCs/>
          <w:sz w:val="24"/>
          <w:szCs w:val="24"/>
        </w:rPr>
        <w:t>Title Page</w:t>
      </w:r>
    </w:p>
    <w:p w14:paraId="0FC85F24" w14:textId="77777777" w:rsidR="00937546" w:rsidRPr="001D7F75" w:rsidRDefault="00937546" w:rsidP="00937546">
      <w:pPr>
        <w:rPr>
          <w:rFonts w:ascii="Times New Roman" w:hAnsi="Times New Roman" w:cs="Times New Roman"/>
          <w:sz w:val="24"/>
          <w:szCs w:val="24"/>
        </w:rPr>
      </w:pPr>
      <w:r w:rsidRPr="001D7F75">
        <w:rPr>
          <w:rFonts w:ascii="Times New Roman" w:hAnsi="Times New Roman" w:cs="Times New Roman"/>
          <w:b/>
          <w:bCs/>
          <w:sz w:val="24"/>
          <w:szCs w:val="24"/>
        </w:rPr>
        <w:t>Type of article</w:t>
      </w:r>
      <w:r w:rsidRPr="001D7F75">
        <w:rPr>
          <w:rFonts w:ascii="Times New Roman" w:hAnsi="Times New Roman" w:cs="Times New Roman"/>
          <w:sz w:val="24"/>
          <w:szCs w:val="24"/>
        </w:rPr>
        <w:t>: Original Research Article</w:t>
      </w:r>
    </w:p>
    <w:p w14:paraId="14F6B389" w14:textId="3F84C71A" w:rsidR="00937546" w:rsidRPr="00E82266" w:rsidRDefault="00937546" w:rsidP="00937546">
      <w:pPr>
        <w:spacing w:line="360" w:lineRule="auto"/>
        <w:jc w:val="both"/>
        <w:rPr>
          <w:rFonts w:ascii="Times New Roman" w:hAnsi="Times New Roman" w:cs="Times New Roman"/>
          <w:sz w:val="24"/>
          <w:szCs w:val="24"/>
        </w:rPr>
      </w:pPr>
      <w:r w:rsidRPr="001D7F75">
        <w:rPr>
          <w:rFonts w:ascii="Times New Roman" w:hAnsi="Times New Roman" w:cs="Times New Roman"/>
          <w:b/>
          <w:bCs/>
          <w:sz w:val="24"/>
          <w:szCs w:val="24"/>
        </w:rPr>
        <w:t>Title of the manuscript</w:t>
      </w:r>
      <w:r w:rsidRPr="001D7F75">
        <w:rPr>
          <w:rFonts w:ascii="Times New Roman" w:hAnsi="Times New Roman" w:cs="Times New Roman"/>
          <w:sz w:val="24"/>
          <w:szCs w:val="24"/>
        </w:rPr>
        <w:t xml:space="preserve">: </w:t>
      </w:r>
      <w:r w:rsidRPr="00E82266">
        <w:rPr>
          <w:rFonts w:ascii="Times New Roman" w:hAnsi="Times New Roman" w:cs="Times New Roman"/>
          <w:sz w:val="24"/>
          <w:szCs w:val="24"/>
        </w:rPr>
        <w:t>Does the distribution of providers have an impact on the utili</w:t>
      </w:r>
      <w:r w:rsidR="00421918">
        <w:rPr>
          <w:rFonts w:ascii="Times New Roman" w:hAnsi="Times New Roman" w:cs="Times New Roman"/>
          <w:sz w:val="24"/>
          <w:szCs w:val="24"/>
        </w:rPr>
        <w:t>z</w:t>
      </w:r>
      <w:r w:rsidRPr="00E82266">
        <w:rPr>
          <w:rFonts w:ascii="Times New Roman" w:hAnsi="Times New Roman" w:cs="Times New Roman"/>
          <w:sz w:val="24"/>
          <w:szCs w:val="24"/>
        </w:rPr>
        <w:t>ation of services under CMCHIS?</w:t>
      </w:r>
    </w:p>
    <w:p w14:paraId="57523EDF" w14:textId="77777777" w:rsidR="00937546" w:rsidRPr="001D7F75" w:rsidRDefault="00937546" w:rsidP="00937546">
      <w:pPr>
        <w:rPr>
          <w:rFonts w:ascii="Times New Roman" w:hAnsi="Times New Roman" w:cs="Times New Roman"/>
          <w:sz w:val="24"/>
          <w:szCs w:val="24"/>
        </w:rPr>
      </w:pPr>
      <w:r w:rsidRPr="001D7F75">
        <w:rPr>
          <w:rFonts w:ascii="Times New Roman" w:hAnsi="Times New Roman" w:cs="Times New Roman"/>
          <w:b/>
          <w:bCs/>
          <w:sz w:val="24"/>
          <w:szCs w:val="24"/>
        </w:rPr>
        <w:t>Running title</w:t>
      </w:r>
      <w:r w:rsidRPr="001D7F75">
        <w:rPr>
          <w:rFonts w:ascii="Times New Roman" w:hAnsi="Times New Roman" w:cs="Times New Roman"/>
          <w:sz w:val="24"/>
          <w:szCs w:val="24"/>
        </w:rPr>
        <w:t xml:space="preserve">: </w:t>
      </w:r>
      <w:r>
        <w:rPr>
          <w:rFonts w:ascii="Times New Roman" w:hAnsi="Times New Roman" w:cs="Times New Roman"/>
          <w:sz w:val="24"/>
          <w:szCs w:val="24"/>
        </w:rPr>
        <w:t>Spatial equity of CMCHIS- a state funded insurance scheme</w:t>
      </w:r>
    </w:p>
    <w:p w14:paraId="0942E262" w14:textId="77777777" w:rsidR="00937546" w:rsidRPr="001D7F75" w:rsidRDefault="00937546" w:rsidP="00937546">
      <w:pPr>
        <w:rPr>
          <w:rFonts w:ascii="Times New Roman" w:hAnsi="Times New Roman" w:cs="Times New Roman"/>
          <w:sz w:val="24"/>
          <w:szCs w:val="24"/>
        </w:rPr>
      </w:pPr>
      <w:r w:rsidRPr="001D7F75">
        <w:rPr>
          <w:rFonts w:ascii="Times New Roman" w:hAnsi="Times New Roman" w:cs="Times New Roman"/>
          <w:b/>
          <w:bCs/>
          <w:sz w:val="24"/>
          <w:szCs w:val="24"/>
        </w:rPr>
        <w:t>Contibutors</w:t>
      </w:r>
      <w:r w:rsidRPr="001D7F75">
        <w:rPr>
          <w:rFonts w:ascii="Times New Roman" w:hAnsi="Times New Roman" w:cs="Times New Roman"/>
          <w:sz w:val="24"/>
          <w:szCs w:val="24"/>
        </w:rPr>
        <w:t>:</w:t>
      </w:r>
    </w:p>
    <w:p w14:paraId="65F37642" w14:textId="77777777" w:rsidR="00937546" w:rsidRPr="001D7F75" w:rsidRDefault="00937546" w:rsidP="00937546">
      <w:pPr>
        <w:pStyle w:val="ListParagraph"/>
        <w:numPr>
          <w:ilvl w:val="0"/>
          <w:numId w:val="4"/>
        </w:numPr>
        <w:spacing w:after="160" w:line="259" w:lineRule="auto"/>
        <w:jc w:val="left"/>
        <w:rPr>
          <w:sz w:val="24"/>
          <w:szCs w:val="24"/>
        </w:rPr>
      </w:pPr>
      <w:r w:rsidRPr="001D7F75">
        <w:rPr>
          <w:sz w:val="24"/>
          <w:szCs w:val="24"/>
        </w:rPr>
        <w:t>Sudharshini Subramaniam MD, Ass</w:t>
      </w:r>
      <w:r>
        <w:rPr>
          <w:sz w:val="24"/>
          <w:szCs w:val="24"/>
        </w:rPr>
        <w:t>ociate</w:t>
      </w:r>
      <w:r w:rsidRPr="001D7F75">
        <w:rPr>
          <w:sz w:val="24"/>
          <w:szCs w:val="24"/>
        </w:rPr>
        <w:t xml:space="preserve"> Professor, Institute of Community Medicine, Madras Medical College, Chennai</w:t>
      </w:r>
    </w:p>
    <w:p w14:paraId="480CA5B5" w14:textId="77777777" w:rsidR="00937546" w:rsidRDefault="00937546" w:rsidP="00937546">
      <w:pPr>
        <w:pStyle w:val="ListParagraph"/>
        <w:numPr>
          <w:ilvl w:val="0"/>
          <w:numId w:val="4"/>
        </w:numPr>
        <w:spacing w:after="160" w:line="259" w:lineRule="auto"/>
        <w:jc w:val="left"/>
        <w:rPr>
          <w:sz w:val="24"/>
          <w:szCs w:val="24"/>
        </w:rPr>
      </w:pPr>
      <w:r>
        <w:rPr>
          <w:sz w:val="24"/>
          <w:szCs w:val="24"/>
        </w:rPr>
        <w:t>T.S.Selvavinayagam</w:t>
      </w:r>
      <w:r w:rsidRPr="001D7F75">
        <w:rPr>
          <w:sz w:val="24"/>
          <w:szCs w:val="24"/>
        </w:rPr>
        <w:t xml:space="preserve">, </w:t>
      </w:r>
      <w:r>
        <w:rPr>
          <w:sz w:val="24"/>
          <w:szCs w:val="24"/>
        </w:rPr>
        <w:t xml:space="preserve">Director &amp; </w:t>
      </w:r>
      <w:r w:rsidRPr="001D7F75">
        <w:rPr>
          <w:sz w:val="24"/>
          <w:szCs w:val="24"/>
        </w:rPr>
        <w:t>Professor, Institute of Community Medicine, Madras Medical College, Chennai</w:t>
      </w:r>
      <w:r>
        <w:rPr>
          <w:sz w:val="24"/>
          <w:szCs w:val="24"/>
        </w:rPr>
        <w:t xml:space="preserve"> &amp; Additional Director, Chief Ministers’ Comprehensive Health Insurance scheme.</w:t>
      </w:r>
    </w:p>
    <w:p w14:paraId="283DE187" w14:textId="77777777" w:rsidR="00937546" w:rsidRPr="001D7F75" w:rsidRDefault="00937546" w:rsidP="00937546">
      <w:pPr>
        <w:pStyle w:val="ListParagraph"/>
        <w:spacing w:after="160" w:line="259" w:lineRule="auto"/>
        <w:ind w:firstLine="0"/>
        <w:jc w:val="left"/>
        <w:rPr>
          <w:sz w:val="24"/>
          <w:szCs w:val="24"/>
        </w:rPr>
      </w:pPr>
    </w:p>
    <w:p w14:paraId="6901CA89" w14:textId="77777777" w:rsidR="00937546" w:rsidRPr="001D7F75" w:rsidRDefault="00937546" w:rsidP="00937546">
      <w:pPr>
        <w:pStyle w:val="ListParagraph"/>
        <w:ind w:left="90"/>
        <w:rPr>
          <w:sz w:val="24"/>
          <w:szCs w:val="24"/>
        </w:rPr>
      </w:pPr>
      <w:r w:rsidRPr="001D7F75">
        <w:rPr>
          <w:b/>
          <w:bCs/>
          <w:sz w:val="24"/>
          <w:szCs w:val="24"/>
        </w:rPr>
        <w:t>Department and Institution to which the work is to be credited</w:t>
      </w:r>
      <w:r w:rsidRPr="001D7F75">
        <w:rPr>
          <w:sz w:val="24"/>
          <w:szCs w:val="24"/>
        </w:rPr>
        <w:t>:</w:t>
      </w:r>
    </w:p>
    <w:p w14:paraId="04C3E974" w14:textId="77777777" w:rsidR="00937546" w:rsidRPr="001D7F75" w:rsidRDefault="00937546" w:rsidP="00937546">
      <w:pPr>
        <w:pStyle w:val="ListParagraph"/>
        <w:ind w:left="90"/>
        <w:rPr>
          <w:sz w:val="24"/>
          <w:szCs w:val="24"/>
        </w:rPr>
      </w:pPr>
      <w:r w:rsidRPr="001D7F75">
        <w:rPr>
          <w:sz w:val="24"/>
          <w:szCs w:val="24"/>
        </w:rPr>
        <w:t>Institute of Community Medicine, Madras Medical College, Chennai</w:t>
      </w:r>
    </w:p>
    <w:p w14:paraId="6ADFA808" w14:textId="77777777" w:rsidR="00937546" w:rsidRPr="001D7F75" w:rsidRDefault="00937546" w:rsidP="00937546">
      <w:pPr>
        <w:pStyle w:val="ListParagraph"/>
        <w:spacing w:after="160" w:line="259" w:lineRule="auto"/>
        <w:ind w:left="90" w:firstLine="0"/>
        <w:jc w:val="left"/>
        <w:rPr>
          <w:b/>
          <w:bCs/>
          <w:sz w:val="24"/>
          <w:szCs w:val="24"/>
        </w:rPr>
      </w:pPr>
      <w:r w:rsidRPr="001D7F75">
        <w:rPr>
          <w:b/>
          <w:bCs/>
          <w:sz w:val="24"/>
          <w:szCs w:val="24"/>
        </w:rPr>
        <w:t>Corresponding Author:</w:t>
      </w:r>
    </w:p>
    <w:p w14:paraId="213E3125" w14:textId="77777777" w:rsidR="00937546" w:rsidRPr="001D7F75" w:rsidRDefault="00937546" w:rsidP="00937546">
      <w:pPr>
        <w:spacing w:before="60" w:line="400" w:lineRule="atLeast"/>
        <w:ind w:left="360"/>
        <w:rPr>
          <w:rFonts w:ascii="Times New Roman" w:hAnsi="Times New Roman" w:cs="Times New Roman"/>
          <w:color w:val="000000"/>
          <w:sz w:val="24"/>
          <w:szCs w:val="24"/>
        </w:rPr>
      </w:pPr>
      <w:r w:rsidRPr="001D7F75">
        <w:rPr>
          <w:rFonts w:ascii="Times New Roman" w:hAnsi="Times New Roman" w:cs="Times New Roman"/>
          <w:color w:val="000000"/>
          <w:sz w:val="24"/>
          <w:szCs w:val="24"/>
        </w:rPr>
        <w:t>Name</w:t>
      </w:r>
      <w:r w:rsidRPr="001D7F75">
        <w:rPr>
          <w:rFonts w:ascii="Times New Roman" w:hAnsi="Times New Roman" w:cs="Times New Roman"/>
          <w:color w:val="000000"/>
          <w:sz w:val="24"/>
          <w:szCs w:val="24"/>
        </w:rPr>
        <w:tab/>
      </w:r>
      <w:r w:rsidRPr="001D7F75">
        <w:rPr>
          <w:rFonts w:ascii="Times New Roman" w:hAnsi="Times New Roman" w:cs="Times New Roman"/>
          <w:sz w:val="24"/>
          <w:szCs w:val="24"/>
        </w:rPr>
        <w:t xml:space="preserve">  : Sudharshini Subramaniam</w:t>
      </w:r>
    </w:p>
    <w:p w14:paraId="69F02431" w14:textId="77777777" w:rsidR="00937546" w:rsidRPr="001D7F75" w:rsidRDefault="00937546" w:rsidP="00937546">
      <w:pPr>
        <w:spacing w:before="60" w:line="400" w:lineRule="atLeast"/>
        <w:ind w:left="360"/>
        <w:rPr>
          <w:rFonts w:ascii="Times New Roman" w:hAnsi="Times New Roman" w:cs="Times New Roman"/>
          <w:sz w:val="24"/>
          <w:szCs w:val="24"/>
        </w:rPr>
      </w:pPr>
      <w:r w:rsidRPr="001D7F75">
        <w:rPr>
          <w:rFonts w:ascii="Times New Roman" w:hAnsi="Times New Roman" w:cs="Times New Roman"/>
          <w:sz w:val="24"/>
          <w:szCs w:val="24"/>
        </w:rPr>
        <w:t>Address      : Ass</w:t>
      </w:r>
      <w:r>
        <w:rPr>
          <w:rFonts w:ascii="Times New Roman" w:hAnsi="Times New Roman" w:cs="Times New Roman"/>
          <w:sz w:val="24"/>
          <w:szCs w:val="24"/>
        </w:rPr>
        <w:t xml:space="preserve">ociate </w:t>
      </w:r>
      <w:r w:rsidRPr="001D7F75">
        <w:rPr>
          <w:rFonts w:ascii="Times New Roman" w:hAnsi="Times New Roman" w:cs="Times New Roman"/>
          <w:sz w:val="24"/>
          <w:szCs w:val="24"/>
        </w:rPr>
        <w:t>Professor, Institute of Community Medicine, Madras Medical College, Chennai-600003</w:t>
      </w:r>
    </w:p>
    <w:p w14:paraId="3CA95E24" w14:textId="77777777" w:rsidR="00937546" w:rsidRPr="001D7F75" w:rsidRDefault="00937546" w:rsidP="00937546">
      <w:pPr>
        <w:spacing w:before="60" w:line="400" w:lineRule="atLeast"/>
        <w:ind w:left="360"/>
        <w:rPr>
          <w:rFonts w:ascii="Times New Roman" w:hAnsi="Times New Roman" w:cs="Times New Roman"/>
          <w:sz w:val="24"/>
          <w:szCs w:val="24"/>
        </w:rPr>
      </w:pPr>
      <w:r w:rsidRPr="001D7F75">
        <w:rPr>
          <w:rFonts w:ascii="Times New Roman" w:hAnsi="Times New Roman" w:cs="Times New Roman"/>
          <w:sz w:val="24"/>
          <w:szCs w:val="24"/>
        </w:rPr>
        <w:t>Phone numbers :9791736334</w:t>
      </w:r>
    </w:p>
    <w:p w14:paraId="488D6BF6" w14:textId="77777777" w:rsidR="00937546" w:rsidRPr="001D7F75" w:rsidRDefault="00937546" w:rsidP="00937546">
      <w:pPr>
        <w:spacing w:before="60" w:line="400" w:lineRule="atLeast"/>
        <w:ind w:left="360"/>
        <w:rPr>
          <w:rFonts w:ascii="Times New Roman" w:hAnsi="Times New Roman" w:cs="Times New Roman"/>
          <w:sz w:val="24"/>
          <w:szCs w:val="24"/>
        </w:rPr>
      </w:pPr>
      <w:r w:rsidRPr="001D7F75">
        <w:rPr>
          <w:rFonts w:ascii="Times New Roman" w:hAnsi="Times New Roman" w:cs="Times New Roman"/>
          <w:sz w:val="24"/>
          <w:szCs w:val="24"/>
        </w:rPr>
        <w:t xml:space="preserve">E-mail address : </w:t>
      </w:r>
      <w:hyperlink r:id="rId8" w:history="1">
        <w:r w:rsidRPr="001D7F75">
          <w:rPr>
            <w:rStyle w:val="Hyperlink"/>
            <w:rFonts w:ascii="Times New Roman" w:hAnsi="Times New Roman" w:cs="Times New Roman"/>
            <w:sz w:val="24"/>
            <w:szCs w:val="24"/>
          </w:rPr>
          <w:t>sudharshinisubramaniam90@gmail.com</w:t>
        </w:r>
      </w:hyperlink>
    </w:p>
    <w:p w14:paraId="747390E2" w14:textId="77777777" w:rsidR="00937546" w:rsidRPr="001D7F75" w:rsidRDefault="00937546" w:rsidP="00937546">
      <w:pPr>
        <w:spacing w:before="60" w:line="400" w:lineRule="atLeast"/>
        <w:ind w:left="360"/>
        <w:rPr>
          <w:rFonts w:ascii="Times New Roman" w:hAnsi="Times New Roman" w:cs="Times New Roman"/>
          <w:noProof/>
          <w:color w:val="000000"/>
          <w:sz w:val="24"/>
          <w:szCs w:val="24"/>
          <w:lang w:val="en-US"/>
        </w:rPr>
      </w:pPr>
      <w:r w:rsidRPr="001D7F75">
        <w:rPr>
          <w:rFonts w:ascii="Times New Roman" w:hAnsi="Times New Roman" w:cs="Times New Roman"/>
          <w:noProof/>
          <w:color w:val="000000"/>
          <w:sz w:val="24"/>
          <w:szCs w:val="24"/>
          <w:lang w:val="en-US"/>
        </w:rPr>
        <w:t>Total number of pages:</w:t>
      </w:r>
      <w:r>
        <w:rPr>
          <w:rFonts w:ascii="Times New Roman" w:hAnsi="Times New Roman" w:cs="Times New Roman"/>
          <w:noProof/>
          <w:color w:val="000000"/>
          <w:sz w:val="24"/>
          <w:szCs w:val="24"/>
          <w:lang w:val="en-US"/>
        </w:rPr>
        <w:t>15</w:t>
      </w:r>
    </w:p>
    <w:p w14:paraId="108A2A1C" w14:textId="77777777" w:rsidR="00937546" w:rsidRPr="001D7F75" w:rsidRDefault="00937546" w:rsidP="00937546">
      <w:pPr>
        <w:spacing w:before="60" w:line="400" w:lineRule="atLeast"/>
        <w:ind w:left="360"/>
        <w:rPr>
          <w:rFonts w:ascii="Times New Roman" w:hAnsi="Times New Roman" w:cs="Times New Roman"/>
          <w:noProof/>
          <w:color w:val="000000"/>
          <w:sz w:val="24"/>
          <w:szCs w:val="24"/>
          <w:lang w:val="en-US"/>
        </w:rPr>
      </w:pPr>
      <w:r w:rsidRPr="001D7F75">
        <w:rPr>
          <w:rFonts w:ascii="Times New Roman" w:hAnsi="Times New Roman" w:cs="Times New Roman"/>
          <w:noProof/>
          <w:color w:val="000000"/>
          <w:sz w:val="24"/>
          <w:szCs w:val="24"/>
          <w:lang w:val="en-US"/>
        </w:rPr>
        <w:t>Total number of photographs: NIL</w:t>
      </w:r>
    </w:p>
    <w:p w14:paraId="1F7E3F54" w14:textId="77777777" w:rsidR="00937546" w:rsidRPr="001D7F75" w:rsidRDefault="00937546" w:rsidP="00937546">
      <w:pPr>
        <w:spacing w:before="60" w:line="400" w:lineRule="atLeast"/>
        <w:ind w:left="360"/>
        <w:rPr>
          <w:rFonts w:ascii="Times New Roman" w:hAnsi="Times New Roman" w:cs="Times New Roman"/>
          <w:sz w:val="24"/>
          <w:szCs w:val="24"/>
        </w:rPr>
      </w:pPr>
      <w:r w:rsidRPr="001D7F75">
        <w:rPr>
          <w:rFonts w:ascii="Times New Roman" w:hAnsi="Times New Roman" w:cs="Times New Roman"/>
          <w:noProof/>
          <w:color w:val="000000"/>
          <w:sz w:val="24"/>
          <w:szCs w:val="24"/>
          <w:lang w:val="en-US"/>
        </w:rPr>
        <w:t xml:space="preserve">Word counts </w:t>
      </w:r>
    </w:p>
    <w:p w14:paraId="4950341C" w14:textId="77777777" w:rsidR="00937546" w:rsidRPr="001D7F75" w:rsidRDefault="00937546" w:rsidP="00937546">
      <w:pPr>
        <w:pStyle w:val="ListParagraph"/>
        <w:spacing w:before="60" w:line="400" w:lineRule="atLeast"/>
        <w:ind w:firstLine="0"/>
        <w:rPr>
          <w:sz w:val="24"/>
          <w:szCs w:val="24"/>
        </w:rPr>
      </w:pPr>
      <w:r>
        <w:rPr>
          <w:sz w:val="24"/>
          <w:szCs w:val="24"/>
        </w:rPr>
        <w:t>for abstract: 587</w:t>
      </w:r>
    </w:p>
    <w:p w14:paraId="24EBF1A9" w14:textId="77777777" w:rsidR="00937546" w:rsidRPr="001D7F75" w:rsidRDefault="00937546" w:rsidP="00937546">
      <w:pPr>
        <w:pStyle w:val="ListParagraph"/>
        <w:spacing w:before="60" w:line="400" w:lineRule="atLeast"/>
        <w:ind w:firstLine="0"/>
        <w:rPr>
          <w:sz w:val="24"/>
          <w:szCs w:val="24"/>
        </w:rPr>
      </w:pPr>
      <w:r w:rsidRPr="001D7F75">
        <w:rPr>
          <w:sz w:val="24"/>
          <w:szCs w:val="24"/>
        </w:rPr>
        <w:t>for the text:</w:t>
      </w:r>
      <w:r>
        <w:rPr>
          <w:sz w:val="24"/>
          <w:szCs w:val="24"/>
        </w:rPr>
        <w:t>5161</w:t>
      </w:r>
    </w:p>
    <w:p w14:paraId="0AA2B1EC" w14:textId="77777777" w:rsidR="00937546" w:rsidRPr="001D7F75" w:rsidRDefault="00937546" w:rsidP="00937546">
      <w:pPr>
        <w:pStyle w:val="ListParagraph"/>
        <w:spacing w:before="60" w:line="400" w:lineRule="atLeast"/>
        <w:ind w:hanging="360"/>
        <w:rPr>
          <w:sz w:val="24"/>
          <w:szCs w:val="24"/>
        </w:rPr>
      </w:pPr>
      <w:r w:rsidRPr="001D7F75">
        <w:rPr>
          <w:b/>
          <w:bCs/>
          <w:noProof/>
          <w:sz w:val="24"/>
          <w:szCs w:val="24"/>
          <w:lang w:val="en-US"/>
        </w:rPr>
        <w:t>Source(s) of support</w:t>
      </w:r>
      <w:r w:rsidRPr="001D7F75">
        <w:rPr>
          <w:noProof/>
          <w:sz w:val="24"/>
          <w:szCs w:val="24"/>
          <w:lang w:val="en-US"/>
        </w:rPr>
        <w:t>: NIL</w:t>
      </w:r>
    </w:p>
    <w:p w14:paraId="1E904FD4" w14:textId="77777777" w:rsidR="00937546" w:rsidRPr="00E82266" w:rsidRDefault="00937546" w:rsidP="00937546">
      <w:pPr>
        <w:pStyle w:val="ListParagraph"/>
        <w:spacing w:before="60" w:line="400" w:lineRule="atLeast"/>
        <w:ind w:hanging="360"/>
        <w:rPr>
          <w:sz w:val="24"/>
          <w:szCs w:val="24"/>
        </w:rPr>
      </w:pPr>
      <w:r w:rsidRPr="001D7F75">
        <w:rPr>
          <w:b/>
          <w:bCs/>
          <w:noProof/>
          <w:sz w:val="24"/>
          <w:szCs w:val="24"/>
          <w:lang w:val="en-US"/>
        </w:rPr>
        <w:t>Presentation at a meeting:</w:t>
      </w:r>
      <w:r w:rsidRPr="00E82266">
        <w:rPr>
          <w:noProof/>
          <w:sz w:val="24"/>
          <w:szCs w:val="24"/>
          <w:lang w:val="en-US"/>
        </w:rPr>
        <w:t>NIL</w:t>
      </w:r>
    </w:p>
    <w:p w14:paraId="2153281F" w14:textId="77777777" w:rsidR="00937546" w:rsidRPr="001D7F75" w:rsidRDefault="00937546" w:rsidP="00937546">
      <w:pPr>
        <w:pStyle w:val="ListParagraph"/>
        <w:spacing w:before="60" w:line="400" w:lineRule="atLeast"/>
        <w:ind w:left="360" w:firstLine="0"/>
        <w:rPr>
          <w:sz w:val="24"/>
          <w:szCs w:val="24"/>
        </w:rPr>
      </w:pPr>
      <w:r w:rsidRPr="001D7F75">
        <w:rPr>
          <w:b/>
          <w:bCs/>
          <w:noProof/>
          <w:sz w:val="24"/>
          <w:szCs w:val="24"/>
          <w:lang w:val="en-US"/>
        </w:rPr>
        <w:t>Conflicting Interest</w:t>
      </w:r>
      <w:r w:rsidRPr="001D7F75">
        <w:rPr>
          <w:noProof/>
          <w:sz w:val="24"/>
          <w:szCs w:val="24"/>
          <w:lang w:val="en-US"/>
        </w:rPr>
        <w:t xml:space="preserve"> (If present, give more details): NIL</w:t>
      </w:r>
    </w:p>
    <w:p w14:paraId="0E36F845" w14:textId="77777777" w:rsidR="00937546" w:rsidRDefault="00937546" w:rsidP="00937546">
      <w:pPr>
        <w:pStyle w:val="ListParagraph"/>
        <w:spacing w:before="60" w:line="400" w:lineRule="atLeast"/>
        <w:ind w:firstLine="0"/>
        <w:rPr>
          <w:rFonts w:ascii="Arial" w:hAnsi="Arial"/>
        </w:rPr>
      </w:pPr>
    </w:p>
    <w:p w14:paraId="6DDF1BB9" w14:textId="4022C684" w:rsidR="00937546" w:rsidRDefault="00937546" w:rsidP="00937546">
      <w:pPr>
        <w:pStyle w:val="ListParagraph"/>
        <w:spacing w:before="60" w:line="400" w:lineRule="atLeast"/>
        <w:ind w:firstLine="0"/>
        <w:rPr>
          <w:rFonts w:ascii="Arial" w:hAnsi="Arial"/>
        </w:rPr>
      </w:pPr>
    </w:p>
    <w:p w14:paraId="11269364" w14:textId="0FF12A37" w:rsidR="00421918" w:rsidRDefault="00421918" w:rsidP="00937546">
      <w:pPr>
        <w:pStyle w:val="ListParagraph"/>
        <w:spacing w:before="60" w:line="400" w:lineRule="atLeast"/>
        <w:ind w:firstLine="0"/>
        <w:rPr>
          <w:rFonts w:ascii="Arial" w:hAnsi="Arial"/>
        </w:rPr>
      </w:pPr>
    </w:p>
    <w:p w14:paraId="31ED2D03" w14:textId="72E4AC4C" w:rsidR="00421918" w:rsidRDefault="00421918" w:rsidP="00937546">
      <w:pPr>
        <w:pStyle w:val="ListParagraph"/>
        <w:spacing w:before="60" w:line="400" w:lineRule="atLeast"/>
        <w:ind w:firstLine="0"/>
        <w:rPr>
          <w:rFonts w:ascii="Arial" w:hAnsi="Arial"/>
        </w:rPr>
      </w:pPr>
    </w:p>
    <w:p w14:paraId="49B2C224" w14:textId="77777777" w:rsidR="00421918" w:rsidRDefault="00421918" w:rsidP="00937546">
      <w:pPr>
        <w:pStyle w:val="ListParagraph"/>
        <w:spacing w:before="60" w:line="400" w:lineRule="atLeast"/>
        <w:ind w:firstLine="0"/>
        <w:rPr>
          <w:rFonts w:ascii="Arial" w:hAnsi="Arial"/>
        </w:rPr>
      </w:pPr>
    </w:p>
    <w:p w14:paraId="23376BF0" w14:textId="77777777" w:rsidR="00937546" w:rsidRDefault="00937546" w:rsidP="00937546">
      <w:pPr>
        <w:pStyle w:val="ListParagraph"/>
        <w:spacing w:before="60" w:line="400" w:lineRule="atLeast"/>
        <w:ind w:firstLine="0"/>
        <w:rPr>
          <w:rFonts w:ascii="Arial" w:hAnsi="Arial"/>
        </w:rPr>
      </w:pPr>
    </w:p>
    <w:p w14:paraId="2034A70A" w14:textId="77777777" w:rsidR="00937546" w:rsidRDefault="00937546" w:rsidP="00937546">
      <w:pPr>
        <w:pStyle w:val="ListParagraph"/>
        <w:spacing w:before="60" w:line="400" w:lineRule="atLeast"/>
        <w:ind w:firstLine="0"/>
        <w:rPr>
          <w:rFonts w:ascii="Arial" w:hAnsi="Arial"/>
        </w:rPr>
      </w:pPr>
      <w:r>
        <w:rPr>
          <w:rFonts w:ascii="Arial" w:hAnsi="Arial"/>
        </w:rPr>
        <w:tab/>
      </w:r>
    </w:p>
    <w:p w14:paraId="1EF8DDBC" w14:textId="77777777" w:rsidR="00937546" w:rsidRPr="00562284" w:rsidRDefault="00937546" w:rsidP="00937546">
      <w:pPr>
        <w:pStyle w:val="ListParagraph"/>
        <w:spacing w:before="60" w:line="400" w:lineRule="atLeast"/>
        <w:ind w:firstLine="0"/>
        <w:rPr>
          <w:rFonts w:ascii="Arial" w:hAnsi="Arial"/>
        </w:rPr>
      </w:pPr>
      <w:r w:rsidRPr="00562284">
        <w:rPr>
          <w:rFonts w:ascii="Arial" w:hAnsi="Arial"/>
        </w:rPr>
        <w:lastRenderedPageBreak/>
        <w:t xml:space="preserve">Contribution Details </w:t>
      </w:r>
      <w:r w:rsidRPr="00562284">
        <w:rPr>
          <w:rFonts w:ascii="Arial" w:hAnsi="Arial"/>
          <w:sz w:val="18"/>
        </w:rPr>
        <w:t>(to be ticked marked as applicable)</w:t>
      </w:r>
      <w:r w:rsidRPr="00562284">
        <w:rPr>
          <w:rFonts w:ascii="Arial" w:hAnsi="Arial"/>
        </w:rPr>
        <w:t>:</w:t>
      </w:r>
    </w:p>
    <w:tbl>
      <w:tblPr>
        <w:tblW w:w="428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02"/>
        <w:gridCol w:w="2487"/>
        <w:gridCol w:w="2487"/>
      </w:tblGrid>
      <w:tr w:rsidR="00937546" w14:paraId="5B3AB2C9" w14:textId="77777777" w:rsidTr="00447817">
        <w:trPr>
          <w:trHeight w:val="504"/>
        </w:trPr>
        <w:tc>
          <w:tcPr>
            <w:tcW w:w="2626" w:type="pct"/>
          </w:tcPr>
          <w:p w14:paraId="4C5F4A7D" w14:textId="77777777" w:rsidR="00937546" w:rsidRDefault="00937546" w:rsidP="00447817">
            <w:pPr>
              <w:widowControl w:val="0"/>
              <w:spacing w:before="120" w:after="120"/>
              <w:rPr>
                <w:u w:val="single"/>
              </w:rPr>
            </w:pPr>
          </w:p>
        </w:tc>
        <w:tc>
          <w:tcPr>
            <w:tcW w:w="1187" w:type="pct"/>
          </w:tcPr>
          <w:p w14:paraId="7EB98B67" w14:textId="77777777" w:rsidR="00937546" w:rsidRDefault="00937546" w:rsidP="00447817">
            <w:pPr>
              <w:widowControl w:val="0"/>
              <w:spacing w:before="120" w:after="120"/>
              <w:jc w:val="center"/>
            </w:pPr>
            <w:r>
              <w:t>Contributor 1</w:t>
            </w:r>
          </w:p>
        </w:tc>
        <w:tc>
          <w:tcPr>
            <w:tcW w:w="1187" w:type="pct"/>
          </w:tcPr>
          <w:p w14:paraId="2F25E122" w14:textId="77777777" w:rsidR="00937546" w:rsidRDefault="00937546" w:rsidP="00447817">
            <w:pPr>
              <w:widowControl w:val="0"/>
              <w:spacing w:before="120" w:after="120"/>
              <w:jc w:val="center"/>
              <w:rPr>
                <w:u w:val="single"/>
              </w:rPr>
            </w:pPr>
            <w:r>
              <w:t>Contributor 2</w:t>
            </w:r>
          </w:p>
        </w:tc>
      </w:tr>
      <w:tr w:rsidR="00937546" w14:paraId="0C854E4A" w14:textId="77777777" w:rsidTr="00447817">
        <w:trPr>
          <w:trHeight w:val="504"/>
        </w:trPr>
        <w:tc>
          <w:tcPr>
            <w:tcW w:w="2626" w:type="pct"/>
          </w:tcPr>
          <w:p w14:paraId="75E9B643" w14:textId="77777777" w:rsidR="00937546" w:rsidRDefault="00937546" w:rsidP="00447817">
            <w:pPr>
              <w:widowControl w:val="0"/>
              <w:spacing w:before="120" w:after="120"/>
            </w:pPr>
            <w:r>
              <w:t>Concepts</w:t>
            </w:r>
          </w:p>
        </w:tc>
        <w:tc>
          <w:tcPr>
            <w:tcW w:w="1187" w:type="pct"/>
          </w:tcPr>
          <w:p w14:paraId="2202221A" w14:textId="77777777" w:rsidR="00937546" w:rsidRDefault="00937546" w:rsidP="00447817">
            <w:pPr>
              <w:widowControl w:val="0"/>
              <w:spacing w:before="120" w:after="120"/>
              <w:jc w:val="center"/>
            </w:pPr>
            <w:r>
              <w:rPr>
                <w:rFonts w:cstheme="minorHAnsi"/>
              </w:rPr>
              <w:t>√</w:t>
            </w:r>
          </w:p>
        </w:tc>
        <w:tc>
          <w:tcPr>
            <w:tcW w:w="1187" w:type="pct"/>
          </w:tcPr>
          <w:p w14:paraId="46E2F95D" w14:textId="77777777" w:rsidR="00937546" w:rsidRDefault="00937546" w:rsidP="00447817">
            <w:pPr>
              <w:widowControl w:val="0"/>
              <w:spacing w:before="120" w:after="120"/>
              <w:jc w:val="center"/>
            </w:pPr>
            <w:r>
              <w:rPr>
                <w:rFonts w:cstheme="minorHAnsi"/>
              </w:rPr>
              <w:t>√</w:t>
            </w:r>
          </w:p>
        </w:tc>
      </w:tr>
      <w:tr w:rsidR="00937546" w14:paraId="02A46330" w14:textId="77777777" w:rsidTr="00447817">
        <w:trPr>
          <w:trHeight w:val="504"/>
        </w:trPr>
        <w:tc>
          <w:tcPr>
            <w:tcW w:w="2626" w:type="pct"/>
          </w:tcPr>
          <w:p w14:paraId="711916C4" w14:textId="77777777" w:rsidR="00937546" w:rsidRDefault="00937546" w:rsidP="00447817">
            <w:pPr>
              <w:widowControl w:val="0"/>
              <w:spacing w:before="120" w:after="120"/>
            </w:pPr>
            <w:r>
              <w:t>Design</w:t>
            </w:r>
          </w:p>
        </w:tc>
        <w:tc>
          <w:tcPr>
            <w:tcW w:w="1187" w:type="pct"/>
          </w:tcPr>
          <w:p w14:paraId="6A8B4BA5" w14:textId="77777777" w:rsidR="00937546" w:rsidRDefault="00937546" w:rsidP="00447817">
            <w:pPr>
              <w:widowControl w:val="0"/>
              <w:spacing w:before="120" w:after="120"/>
              <w:jc w:val="center"/>
            </w:pPr>
            <w:r>
              <w:rPr>
                <w:rFonts w:cstheme="minorHAnsi"/>
              </w:rPr>
              <w:t>√</w:t>
            </w:r>
          </w:p>
        </w:tc>
        <w:tc>
          <w:tcPr>
            <w:tcW w:w="1187" w:type="pct"/>
          </w:tcPr>
          <w:p w14:paraId="7CE1EF40" w14:textId="77777777" w:rsidR="00937546" w:rsidRDefault="00937546" w:rsidP="00447817">
            <w:pPr>
              <w:widowControl w:val="0"/>
              <w:spacing w:before="120" w:after="120"/>
              <w:jc w:val="center"/>
            </w:pPr>
            <w:r>
              <w:rPr>
                <w:rFonts w:cstheme="minorHAnsi"/>
              </w:rPr>
              <w:t>√</w:t>
            </w:r>
          </w:p>
        </w:tc>
      </w:tr>
      <w:tr w:rsidR="00937546" w14:paraId="5F00412E" w14:textId="77777777" w:rsidTr="00447817">
        <w:trPr>
          <w:trHeight w:val="489"/>
        </w:trPr>
        <w:tc>
          <w:tcPr>
            <w:tcW w:w="2626" w:type="pct"/>
          </w:tcPr>
          <w:p w14:paraId="777DE281" w14:textId="77777777" w:rsidR="00937546" w:rsidRDefault="00937546" w:rsidP="00447817">
            <w:pPr>
              <w:widowControl w:val="0"/>
              <w:spacing w:before="120" w:after="120"/>
            </w:pPr>
            <w:r>
              <w:t>Definition of intellectual content</w:t>
            </w:r>
          </w:p>
        </w:tc>
        <w:tc>
          <w:tcPr>
            <w:tcW w:w="1187" w:type="pct"/>
          </w:tcPr>
          <w:p w14:paraId="3367664D" w14:textId="77777777" w:rsidR="00937546" w:rsidRDefault="00937546" w:rsidP="00447817">
            <w:pPr>
              <w:widowControl w:val="0"/>
              <w:spacing w:before="120" w:after="120"/>
              <w:jc w:val="center"/>
            </w:pPr>
            <w:r>
              <w:rPr>
                <w:rFonts w:cstheme="minorHAnsi"/>
              </w:rPr>
              <w:t>√</w:t>
            </w:r>
          </w:p>
        </w:tc>
        <w:tc>
          <w:tcPr>
            <w:tcW w:w="1187" w:type="pct"/>
          </w:tcPr>
          <w:p w14:paraId="20CC770F" w14:textId="77777777" w:rsidR="00937546" w:rsidRDefault="00937546" w:rsidP="00447817">
            <w:pPr>
              <w:widowControl w:val="0"/>
              <w:spacing w:before="120" w:after="120"/>
              <w:jc w:val="center"/>
            </w:pPr>
            <w:r>
              <w:rPr>
                <w:rFonts w:cstheme="minorHAnsi"/>
              </w:rPr>
              <w:t>√</w:t>
            </w:r>
          </w:p>
        </w:tc>
      </w:tr>
      <w:tr w:rsidR="00937546" w14:paraId="558C5E04" w14:textId="77777777" w:rsidTr="00447817">
        <w:trPr>
          <w:trHeight w:val="504"/>
        </w:trPr>
        <w:tc>
          <w:tcPr>
            <w:tcW w:w="2626" w:type="pct"/>
          </w:tcPr>
          <w:p w14:paraId="27D16D89" w14:textId="77777777" w:rsidR="00937546" w:rsidRDefault="00937546" w:rsidP="00447817">
            <w:pPr>
              <w:widowControl w:val="0"/>
              <w:spacing w:before="120" w:after="120"/>
            </w:pPr>
            <w:r>
              <w:t>Literature search</w:t>
            </w:r>
          </w:p>
        </w:tc>
        <w:tc>
          <w:tcPr>
            <w:tcW w:w="1187" w:type="pct"/>
          </w:tcPr>
          <w:p w14:paraId="2863E2DC" w14:textId="77777777" w:rsidR="00937546" w:rsidRDefault="00937546" w:rsidP="00447817">
            <w:pPr>
              <w:widowControl w:val="0"/>
              <w:spacing w:before="120" w:after="120"/>
              <w:jc w:val="center"/>
            </w:pPr>
            <w:r>
              <w:rPr>
                <w:rFonts w:cstheme="minorHAnsi"/>
              </w:rPr>
              <w:t>√</w:t>
            </w:r>
          </w:p>
        </w:tc>
        <w:tc>
          <w:tcPr>
            <w:tcW w:w="1187" w:type="pct"/>
          </w:tcPr>
          <w:p w14:paraId="1B02CD58" w14:textId="77777777" w:rsidR="00937546" w:rsidRDefault="00937546" w:rsidP="00447817">
            <w:pPr>
              <w:widowControl w:val="0"/>
              <w:spacing w:before="120" w:after="120"/>
              <w:jc w:val="center"/>
            </w:pPr>
          </w:p>
        </w:tc>
      </w:tr>
      <w:tr w:rsidR="00937546" w14:paraId="738F5084" w14:textId="77777777" w:rsidTr="00447817">
        <w:trPr>
          <w:trHeight w:val="504"/>
        </w:trPr>
        <w:tc>
          <w:tcPr>
            <w:tcW w:w="2626" w:type="pct"/>
          </w:tcPr>
          <w:p w14:paraId="04FFB060" w14:textId="77777777" w:rsidR="00937546" w:rsidRDefault="00937546" w:rsidP="00447817">
            <w:pPr>
              <w:widowControl w:val="0"/>
              <w:spacing w:before="120" w:after="120"/>
            </w:pPr>
            <w:r>
              <w:t>Clinical studies</w:t>
            </w:r>
          </w:p>
        </w:tc>
        <w:tc>
          <w:tcPr>
            <w:tcW w:w="1187" w:type="pct"/>
          </w:tcPr>
          <w:p w14:paraId="601DFC15" w14:textId="77777777" w:rsidR="00937546" w:rsidRDefault="00937546" w:rsidP="00447817">
            <w:pPr>
              <w:widowControl w:val="0"/>
              <w:spacing w:before="120" w:after="120"/>
              <w:jc w:val="center"/>
            </w:pPr>
          </w:p>
        </w:tc>
        <w:tc>
          <w:tcPr>
            <w:tcW w:w="1187" w:type="pct"/>
          </w:tcPr>
          <w:p w14:paraId="795CAE15" w14:textId="77777777" w:rsidR="00937546" w:rsidRDefault="00937546" w:rsidP="00447817">
            <w:pPr>
              <w:widowControl w:val="0"/>
              <w:spacing w:before="120" w:after="120"/>
              <w:jc w:val="center"/>
            </w:pPr>
          </w:p>
        </w:tc>
      </w:tr>
      <w:tr w:rsidR="00937546" w14:paraId="08D85BC5" w14:textId="77777777" w:rsidTr="00447817">
        <w:trPr>
          <w:trHeight w:val="504"/>
        </w:trPr>
        <w:tc>
          <w:tcPr>
            <w:tcW w:w="2626" w:type="pct"/>
          </w:tcPr>
          <w:p w14:paraId="5C10BF94" w14:textId="77777777" w:rsidR="00937546" w:rsidRDefault="00937546" w:rsidP="00447817">
            <w:pPr>
              <w:widowControl w:val="0"/>
              <w:spacing w:before="120" w:after="120"/>
            </w:pPr>
            <w:r>
              <w:t>Experimental studies</w:t>
            </w:r>
          </w:p>
        </w:tc>
        <w:tc>
          <w:tcPr>
            <w:tcW w:w="1187" w:type="pct"/>
          </w:tcPr>
          <w:p w14:paraId="099272B3" w14:textId="77777777" w:rsidR="00937546" w:rsidRDefault="00937546" w:rsidP="00447817">
            <w:pPr>
              <w:widowControl w:val="0"/>
              <w:spacing w:before="120" w:after="120"/>
              <w:jc w:val="center"/>
            </w:pPr>
          </w:p>
        </w:tc>
        <w:tc>
          <w:tcPr>
            <w:tcW w:w="1187" w:type="pct"/>
          </w:tcPr>
          <w:p w14:paraId="52470003" w14:textId="77777777" w:rsidR="00937546" w:rsidRDefault="00937546" w:rsidP="00447817">
            <w:pPr>
              <w:widowControl w:val="0"/>
              <w:spacing w:before="120" w:after="120"/>
              <w:jc w:val="center"/>
            </w:pPr>
          </w:p>
        </w:tc>
      </w:tr>
      <w:tr w:rsidR="00937546" w14:paraId="650851EF" w14:textId="77777777" w:rsidTr="00447817">
        <w:trPr>
          <w:trHeight w:val="504"/>
        </w:trPr>
        <w:tc>
          <w:tcPr>
            <w:tcW w:w="2626" w:type="pct"/>
          </w:tcPr>
          <w:p w14:paraId="6F453E86" w14:textId="77777777" w:rsidR="00937546" w:rsidRDefault="00937546" w:rsidP="00447817">
            <w:pPr>
              <w:widowControl w:val="0"/>
              <w:spacing w:before="120" w:after="120"/>
            </w:pPr>
            <w:r>
              <w:t>Data acquisition</w:t>
            </w:r>
          </w:p>
        </w:tc>
        <w:tc>
          <w:tcPr>
            <w:tcW w:w="1187" w:type="pct"/>
          </w:tcPr>
          <w:p w14:paraId="4E7C9017" w14:textId="77777777" w:rsidR="00937546" w:rsidRDefault="00937546" w:rsidP="00447817">
            <w:pPr>
              <w:widowControl w:val="0"/>
              <w:spacing w:before="120" w:after="120"/>
              <w:jc w:val="center"/>
            </w:pPr>
            <w:r>
              <w:rPr>
                <w:rFonts w:cstheme="minorHAnsi"/>
              </w:rPr>
              <w:t>√</w:t>
            </w:r>
          </w:p>
        </w:tc>
        <w:tc>
          <w:tcPr>
            <w:tcW w:w="1187" w:type="pct"/>
          </w:tcPr>
          <w:p w14:paraId="1BB0B479" w14:textId="77777777" w:rsidR="00937546" w:rsidRDefault="00937546" w:rsidP="00447817">
            <w:pPr>
              <w:widowControl w:val="0"/>
              <w:spacing w:before="120" w:after="120"/>
              <w:jc w:val="center"/>
            </w:pPr>
            <w:r>
              <w:rPr>
                <w:rFonts w:cstheme="minorHAnsi"/>
              </w:rPr>
              <w:t>√</w:t>
            </w:r>
          </w:p>
        </w:tc>
      </w:tr>
      <w:tr w:rsidR="00937546" w14:paraId="2FF9F4FB" w14:textId="77777777" w:rsidTr="00447817">
        <w:trPr>
          <w:trHeight w:val="504"/>
        </w:trPr>
        <w:tc>
          <w:tcPr>
            <w:tcW w:w="2626" w:type="pct"/>
          </w:tcPr>
          <w:p w14:paraId="0B3C1EB6" w14:textId="77777777" w:rsidR="00937546" w:rsidRDefault="00937546" w:rsidP="00447817">
            <w:pPr>
              <w:widowControl w:val="0"/>
              <w:spacing w:before="120" w:after="120"/>
            </w:pPr>
            <w:r>
              <w:t>Data analysis</w:t>
            </w:r>
          </w:p>
        </w:tc>
        <w:tc>
          <w:tcPr>
            <w:tcW w:w="1187" w:type="pct"/>
          </w:tcPr>
          <w:p w14:paraId="1C72DA47" w14:textId="77777777" w:rsidR="00937546" w:rsidRDefault="00937546" w:rsidP="00447817">
            <w:pPr>
              <w:widowControl w:val="0"/>
              <w:spacing w:before="120" w:after="120"/>
              <w:jc w:val="center"/>
            </w:pPr>
            <w:r>
              <w:rPr>
                <w:rFonts w:cstheme="minorHAnsi"/>
              </w:rPr>
              <w:t>√</w:t>
            </w:r>
          </w:p>
        </w:tc>
        <w:tc>
          <w:tcPr>
            <w:tcW w:w="1187" w:type="pct"/>
          </w:tcPr>
          <w:p w14:paraId="7D2C8512" w14:textId="77777777" w:rsidR="00937546" w:rsidRDefault="00937546" w:rsidP="00447817">
            <w:pPr>
              <w:widowControl w:val="0"/>
              <w:spacing w:before="120" w:after="120"/>
              <w:jc w:val="center"/>
            </w:pPr>
          </w:p>
        </w:tc>
      </w:tr>
      <w:tr w:rsidR="00937546" w14:paraId="7685B386" w14:textId="77777777" w:rsidTr="00447817">
        <w:trPr>
          <w:trHeight w:val="504"/>
        </w:trPr>
        <w:tc>
          <w:tcPr>
            <w:tcW w:w="2626" w:type="pct"/>
          </w:tcPr>
          <w:p w14:paraId="23381B53" w14:textId="77777777" w:rsidR="00937546" w:rsidRDefault="00937546" w:rsidP="00447817">
            <w:pPr>
              <w:widowControl w:val="0"/>
              <w:spacing w:before="120" w:after="120"/>
            </w:pPr>
            <w:r>
              <w:t>Statistical analysis</w:t>
            </w:r>
          </w:p>
        </w:tc>
        <w:tc>
          <w:tcPr>
            <w:tcW w:w="1187" w:type="pct"/>
          </w:tcPr>
          <w:p w14:paraId="3A7D0656" w14:textId="77777777" w:rsidR="00937546" w:rsidRDefault="00937546" w:rsidP="00447817">
            <w:pPr>
              <w:widowControl w:val="0"/>
              <w:spacing w:before="120" w:after="120"/>
              <w:jc w:val="center"/>
            </w:pPr>
            <w:r>
              <w:rPr>
                <w:rFonts w:cstheme="minorHAnsi"/>
              </w:rPr>
              <w:t>√</w:t>
            </w:r>
          </w:p>
        </w:tc>
        <w:tc>
          <w:tcPr>
            <w:tcW w:w="1187" w:type="pct"/>
          </w:tcPr>
          <w:p w14:paraId="6968DA25" w14:textId="77777777" w:rsidR="00937546" w:rsidRDefault="00937546" w:rsidP="00447817">
            <w:pPr>
              <w:widowControl w:val="0"/>
              <w:spacing w:before="120" w:after="120"/>
              <w:jc w:val="center"/>
            </w:pPr>
          </w:p>
        </w:tc>
      </w:tr>
      <w:tr w:rsidR="00937546" w14:paraId="2166737C" w14:textId="77777777" w:rsidTr="00447817">
        <w:trPr>
          <w:trHeight w:val="489"/>
        </w:trPr>
        <w:tc>
          <w:tcPr>
            <w:tcW w:w="2626" w:type="pct"/>
          </w:tcPr>
          <w:p w14:paraId="02452614" w14:textId="77777777" w:rsidR="00937546" w:rsidRDefault="00937546" w:rsidP="00447817">
            <w:pPr>
              <w:widowControl w:val="0"/>
              <w:spacing w:before="120" w:after="120"/>
            </w:pPr>
            <w:r>
              <w:t>Manuscript preparation</w:t>
            </w:r>
          </w:p>
        </w:tc>
        <w:tc>
          <w:tcPr>
            <w:tcW w:w="1187" w:type="pct"/>
          </w:tcPr>
          <w:p w14:paraId="31D26D43" w14:textId="77777777" w:rsidR="00937546" w:rsidRDefault="00937546" w:rsidP="00447817">
            <w:pPr>
              <w:widowControl w:val="0"/>
              <w:spacing w:before="120" w:after="120"/>
              <w:jc w:val="center"/>
            </w:pPr>
            <w:r>
              <w:rPr>
                <w:rFonts w:cstheme="minorHAnsi"/>
              </w:rPr>
              <w:t>√</w:t>
            </w:r>
          </w:p>
        </w:tc>
        <w:tc>
          <w:tcPr>
            <w:tcW w:w="1187" w:type="pct"/>
          </w:tcPr>
          <w:p w14:paraId="70B66C52" w14:textId="77777777" w:rsidR="00937546" w:rsidRDefault="00937546" w:rsidP="00447817">
            <w:pPr>
              <w:widowControl w:val="0"/>
              <w:spacing w:before="120" w:after="120"/>
              <w:jc w:val="center"/>
            </w:pPr>
            <w:r>
              <w:rPr>
                <w:rFonts w:cstheme="minorHAnsi"/>
              </w:rPr>
              <w:t>√</w:t>
            </w:r>
          </w:p>
        </w:tc>
      </w:tr>
      <w:tr w:rsidR="00937546" w14:paraId="4E86D8AA" w14:textId="77777777" w:rsidTr="00447817">
        <w:trPr>
          <w:trHeight w:val="504"/>
        </w:trPr>
        <w:tc>
          <w:tcPr>
            <w:tcW w:w="2626" w:type="pct"/>
          </w:tcPr>
          <w:p w14:paraId="726932E3" w14:textId="77777777" w:rsidR="00937546" w:rsidRDefault="00937546" w:rsidP="00447817">
            <w:pPr>
              <w:widowControl w:val="0"/>
              <w:spacing w:before="120" w:after="120"/>
            </w:pPr>
            <w:r>
              <w:t>Manuscript editing</w:t>
            </w:r>
          </w:p>
        </w:tc>
        <w:tc>
          <w:tcPr>
            <w:tcW w:w="1187" w:type="pct"/>
          </w:tcPr>
          <w:p w14:paraId="48D21C4F" w14:textId="77777777" w:rsidR="00937546" w:rsidRDefault="00937546" w:rsidP="00447817">
            <w:pPr>
              <w:widowControl w:val="0"/>
              <w:spacing w:before="120" w:after="120"/>
              <w:jc w:val="center"/>
            </w:pPr>
            <w:r>
              <w:rPr>
                <w:rFonts w:cstheme="minorHAnsi"/>
              </w:rPr>
              <w:t>√</w:t>
            </w:r>
          </w:p>
        </w:tc>
        <w:tc>
          <w:tcPr>
            <w:tcW w:w="1187" w:type="pct"/>
          </w:tcPr>
          <w:p w14:paraId="3F94E7A1" w14:textId="77777777" w:rsidR="00937546" w:rsidRDefault="00937546" w:rsidP="00447817">
            <w:pPr>
              <w:widowControl w:val="0"/>
              <w:spacing w:before="120" w:after="120"/>
              <w:jc w:val="center"/>
            </w:pPr>
            <w:r>
              <w:rPr>
                <w:rFonts w:cstheme="minorHAnsi"/>
              </w:rPr>
              <w:t>√</w:t>
            </w:r>
          </w:p>
        </w:tc>
      </w:tr>
      <w:tr w:rsidR="00937546" w14:paraId="570C26EA" w14:textId="77777777" w:rsidTr="00447817">
        <w:trPr>
          <w:trHeight w:val="504"/>
        </w:trPr>
        <w:tc>
          <w:tcPr>
            <w:tcW w:w="2626" w:type="pct"/>
          </w:tcPr>
          <w:p w14:paraId="2632CF0C" w14:textId="77777777" w:rsidR="00937546" w:rsidRDefault="00937546" w:rsidP="00447817">
            <w:pPr>
              <w:widowControl w:val="0"/>
              <w:spacing w:before="120" w:after="120"/>
            </w:pPr>
            <w:r>
              <w:t>Manuscript review</w:t>
            </w:r>
          </w:p>
        </w:tc>
        <w:tc>
          <w:tcPr>
            <w:tcW w:w="1187" w:type="pct"/>
          </w:tcPr>
          <w:p w14:paraId="063DB84F" w14:textId="77777777" w:rsidR="00937546" w:rsidRDefault="00937546" w:rsidP="00447817">
            <w:pPr>
              <w:widowControl w:val="0"/>
              <w:spacing w:before="120" w:after="120"/>
              <w:jc w:val="center"/>
            </w:pPr>
            <w:r>
              <w:rPr>
                <w:rFonts w:cstheme="minorHAnsi"/>
              </w:rPr>
              <w:t>√</w:t>
            </w:r>
          </w:p>
        </w:tc>
        <w:tc>
          <w:tcPr>
            <w:tcW w:w="1187" w:type="pct"/>
          </w:tcPr>
          <w:p w14:paraId="08D463FA" w14:textId="77777777" w:rsidR="00937546" w:rsidRDefault="00937546" w:rsidP="00447817">
            <w:pPr>
              <w:widowControl w:val="0"/>
              <w:spacing w:before="120" w:after="120"/>
              <w:jc w:val="center"/>
            </w:pPr>
            <w:r>
              <w:rPr>
                <w:rFonts w:cstheme="minorHAnsi"/>
              </w:rPr>
              <w:t>√</w:t>
            </w:r>
          </w:p>
        </w:tc>
      </w:tr>
      <w:tr w:rsidR="00937546" w14:paraId="73402A6B" w14:textId="77777777" w:rsidTr="00447817">
        <w:trPr>
          <w:trHeight w:val="504"/>
        </w:trPr>
        <w:tc>
          <w:tcPr>
            <w:tcW w:w="2626" w:type="pct"/>
          </w:tcPr>
          <w:p w14:paraId="083DC896" w14:textId="77777777" w:rsidR="00937546" w:rsidRDefault="00937546" w:rsidP="00447817">
            <w:pPr>
              <w:widowControl w:val="0"/>
              <w:spacing w:before="120" w:after="120"/>
            </w:pPr>
            <w:r>
              <w:t>Guarantor</w:t>
            </w:r>
          </w:p>
        </w:tc>
        <w:tc>
          <w:tcPr>
            <w:tcW w:w="1187" w:type="pct"/>
          </w:tcPr>
          <w:p w14:paraId="4544D358" w14:textId="77777777" w:rsidR="00937546" w:rsidRDefault="00937546" w:rsidP="00447817">
            <w:pPr>
              <w:widowControl w:val="0"/>
              <w:spacing w:before="120" w:after="120"/>
              <w:jc w:val="center"/>
            </w:pPr>
            <w:r>
              <w:rPr>
                <w:rFonts w:cstheme="minorHAnsi"/>
              </w:rPr>
              <w:t>√</w:t>
            </w:r>
          </w:p>
        </w:tc>
        <w:tc>
          <w:tcPr>
            <w:tcW w:w="1187" w:type="pct"/>
          </w:tcPr>
          <w:p w14:paraId="7C6CC14A" w14:textId="77777777" w:rsidR="00937546" w:rsidRDefault="00937546" w:rsidP="00447817">
            <w:pPr>
              <w:widowControl w:val="0"/>
              <w:spacing w:before="120" w:after="120"/>
              <w:jc w:val="center"/>
            </w:pPr>
          </w:p>
        </w:tc>
      </w:tr>
    </w:tbl>
    <w:p w14:paraId="7FA8327E" w14:textId="77777777" w:rsidR="00937546" w:rsidRDefault="00937546" w:rsidP="00937546">
      <w:pPr>
        <w:spacing w:line="480" w:lineRule="auto"/>
        <w:jc w:val="both"/>
        <w:rPr>
          <w:rFonts w:ascii="Arial" w:hAnsi="Arial"/>
          <w:color w:val="000000"/>
        </w:rPr>
      </w:pPr>
    </w:p>
    <w:p w14:paraId="72A61411" w14:textId="77777777" w:rsidR="00937546" w:rsidRPr="00494D01" w:rsidRDefault="00937546" w:rsidP="00937546">
      <w:pPr>
        <w:rPr>
          <w:b/>
          <w:bCs/>
          <w:color w:val="000000" w:themeColor="text1"/>
        </w:rPr>
      </w:pPr>
      <w:r w:rsidRPr="00494D01">
        <w:rPr>
          <w:b/>
          <w:bCs/>
          <w:color w:val="000000" w:themeColor="text1"/>
        </w:rPr>
        <w:t>Acknowledgement :</w:t>
      </w:r>
    </w:p>
    <w:p w14:paraId="685CB999" w14:textId="77777777" w:rsidR="00937546" w:rsidRDefault="00937546" w:rsidP="00937546">
      <w:r w:rsidRPr="004152B8">
        <w:rPr>
          <w:color w:val="000000" w:themeColor="text1"/>
        </w:rPr>
        <w:t xml:space="preserve">The authors sincerely acknowledge </w:t>
      </w:r>
      <w:r>
        <w:rPr>
          <w:color w:val="000000" w:themeColor="text1"/>
        </w:rPr>
        <w:t>the Project Director, Tamil Nadu Health System Project, for giving permission to use the CMCHIS data.</w:t>
      </w:r>
    </w:p>
    <w:p w14:paraId="326341BF" w14:textId="77777777" w:rsidR="00937546" w:rsidRDefault="00937546" w:rsidP="00E91A88">
      <w:pPr>
        <w:spacing w:line="360" w:lineRule="auto"/>
        <w:jc w:val="both"/>
        <w:rPr>
          <w:rFonts w:ascii="Times New Roman" w:hAnsi="Times New Roman" w:cs="Times New Roman"/>
          <w:b/>
          <w:bCs/>
          <w:sz w:val="24"/>
          <w:szCs w:val="24"/>
        </w:rPr>
      </w:pPr>
    </w:p>
    <w:p w14:paraId="746F7E9D" w14:textId="77777777" w:rsidR="00937546" w:rsidRDefault="00937546" w:rsidP="00E91A88">
      <w:pPr>
        <w:spacing w:line="360" w:lineRule="auto"/>
        <w:jc w:val="both"/>
        <w:rPr>
          <w:rFonts w:ascii="Times New Roman" w:hAnsi="Times New Roman" w:cs="Times New Roman"/>
          <w:b/>
          <w:bCs/>
          <w:sz w:val="24"/>
          <w:szCs w:val="24"/>
        </w:rPr>
      </w:pPr>
    </w:p>
    <w:p w14:paraId="1FD29C0C" w14:textId="77777777" w:rsidR="00937546" w:rsidRDefault="00937546" w:rsidP="00E91A88">
      <w:pPr>
        <w:spacing w:line="360" w:lineRule="auto"/>
        <w:jc w:val="both"/>
        <w:rPr>
          <w:rFonts w:ascii="Times New Roman" w:hAnsi="Times New Roman" w:cs="Times New Roman"/>
          <w:b/>
          <w:bCs/>
          <w:sz w:val="24"/>
          <w:szCs w:val="24"/>
        </w:rPr>
      </w:pPr>
    </w:p>
    <w:p w14:paraId="74FE74F6" w14:textId="55F9A423" w:rsidR="00937546" w:rsidRDefault="00937546" w:rsidP="00E91A88">
      <w:pPr>
        <w:spacing w:line="360" w:lineRule="auto"/>
        <w:jc w:val="both"/>
        <w:rPr>
          <w:rFonts w:ascii="Times New Roman" w:hAnsi="Times New Roman" w:cs="Times New Roman"/>
          <w:b/>
          <w:bCs/>
          <w:sz w:val="24"/>
          <w:szCs w:val="24"/>
        </w:rPr>
      </w:pPr>
    </w:p>
    <w:p w14:paraId="651AB625" w14:textId="4CCA84B4" w:rsidR="008B5959" w:rsidRDefault="008B5959" w:rsidP="00E91A88">
      <w:pPr>
        <w:spacing w:line="360" w:lineRule="auto"/>
        <w:jc w:val="both"/>
        <w:rPr>
          <w:rFonts w:ascii="Times New Roman" w:hAnsi="Times New Roman" w:cs="Times New Roman"/>
          <w:b/>
          <w:bCs/>
          <w:sz w:val="24"/>
          <w:szCs w:val="24"/>
        </w:rPr>
      </w:pPr>
    </w:p>
    <w:p w14:paraId="1051D060" w14:textId="2DB3A454" w:rsidR="008B5959" w:rsidRDefault="008B5959" w:rsidP="00E91A88">
      <w:pPr>
        <w:spacing w:line="360" w:lineRule="auto"/>
        <w:jc w:val="both"/>
        <w:rPr>
          <w:rFonts w:ascii="Times New Roman" w:hAnsi="Times New Roman" w:cs="Times New Roman"/>
          <w:b/>
          <w:bCs/>
          <w:sz w:val="24"/>
          <w:szCs w:val="24"/>
        </w:rPr>
      </w:pPr>
    </w:p>
    <w:p w14:paraId="5FB3FFDB" w14:textId="176B707E" w:rsidR="008B5959" w:rsidRDefault="008B5959" w:rsidP="00E91A88">
      <w:pPr>
        <w:spacing w:line="360" w:lineRule="auto"/>
        <w:jc w:val="both"/>
        <w:rPr>
          <w:rFonts w:ascii="Times New Roman" w:hAnsi="Times New Roman" w:cs="Times New Roman"/>
          <w:b/>
          <w:bCs/>
          <w:sz w:val="24"/>
          <w:szCs w:val="24"/>
        </w:rPr>
      </w:pPr>
    </w:p>
    <w:p w14:paraId="0FC755E3" w14:textId="6D369D36" w:rsidR="008B5959" w:rsidRDefault="008B5959" w:rsidP="00E91A88">
      <w:pPr>
        <w:spacing w:line="360" w:lineRule="auto"/>
        <w:jc w:val="both"/>
        <w:rPr>
          <w:rFonts w:ascii="Times New Roman" w:hAnsi="Times New Roman" w:cs="Times New Roman"/>
          <w:b/>
          <w:bCs/>
          <w:sz w:val="24"/>
          <w:szCs w:val="24"/>
        </w:rPr>
      </w:pPr>
    </w:p>
    <w:p w14:paraId="6339FFD9" w14:textId="431922F0" w:rsidR="008B5959" w:rsidRDefault="008B5959" w:rsidP="00E91A88">
      <w:pPr>
        <w:spacing w:line="360" w:lineRule="auto"/>
        <w:jc w:val="both"/>
        <w:rPr>
          <w:rFonts w:ascii="Times New Roman" w:hAnsi="Times New Roman" w:cs="Times New Roman"/>
          <w:b/>
          <w:bCs/>
          <w:sz w:val="24"/>
          <w:szCs w:val="24"/>
        </w:rPr>
      </w:pPr>
    </w:p>
    <w:p w14:paraId="365E3BBD" w14:textId="77777777" w:rsidR="008B5959" w:rsidRDefault="008B5959" w:rsidP="00E91A88">
      <w:pPr>
        <w:spacing w:line="360" w:lineRule="auto"/>
        <w:jc w:val="both"/>
        <w:rPr>
          <w:rFonts w:ascii="Times New Roman" w:hAnsi="Times New Roman" w:cs="Times New Roman"/>
          <w:b/>
          <w:bCs/>
          <w:sz w:val="24"/>
          <w:szCs w:val="24"/>
        </w:rPr>
      </w:pPr>
    </w:p>
    <w:p w14:paraId="650EC62C" w14:textId="17129D21" w:rsidR="00650833" w:rsidRPr="00F041A3" w:rsidRDefault="007C637A" w:rsidP="008B5959">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Does the distribution of providers have an impact on the </w:t>
      </w:r>
      <w:r w:rsidR="00421918">
        <w:rPr>
          <w:rFonts w:ascii="Times New Roman" w:hAnsi="Times New Roman" w:cs="Times New Roman"/>
          <w:b/>
          <w:bCs/>
          <w:sz w:val="24"/>
          <w:szCs w:val="24"/>
        </w:rPr>
        <w:t>utilization</w:t>
      </w:r>
      <w:r>
        <w:rPr>
          <w:rFonts w:ascii="Times New Roman" w:hAnsi="Times New Roman" w:cs="Times New Roman"/>
          <w:b/>
          <w:bCs/>
          <w:sz w:val="24"/>
          <w:szCs w:val="24"/>
        </w:rPr>
        <w:t xml:space="preserve"> of services under CMCHIS?</w:t>
      </w:r>
    </w:p>
    <w:p w14:paraId="02D57BDA" w14:textId="77777777" w:rsidR="00492C5D" w:rsidRPr="00E91A88" w:rsidRDefault="00492C5D" w:rsidP="008B5959">
      <w:pPr>
        <w:spacing w:line="240" w:lineRule="auto"/>
        <w:rPr>
          <w:rFonts w:ascii="Times New Roman" w:hAnsi="Times New Roman" w:cs="Times New Roman"/>
          <w:b/>
          <w:bCs/>
          <w:sz w:val="24"/>
          <w:szCs w:val="24"/>
        </w:rPr>
      </w:pPr>
      <w:r w:rsidRPr="00E91A88">
        <w:rPr>
          <w:rFonts w:ascii="Times New Roman" w:hAnsi="Times New Roman" w:cs="Times New Roman"/>
          <w:b/>
          <w:bCs/>
          <w:sz w:val="24"/>
          <w:szCs w:val="24"/>
        </w:rPr>
        <w:t>Introduction:</w:t>
      </w:r>
    </w:p>
    <w:p w14:paraId="52FD02F5" w14:textId="26620362" w:rsidR="007C637A" w:rsidRDefault="002B1DD8" w:rsidP="008B5959">
      <w:pPr>
        <w:pStyle w:val="ColorfulList-Accent11"/>
        <w:autoSpaceDE w:val="0"/>
        <w:autoSpaceDN w:val="0"/>
        <w:adjustRightInd w:val="0"/>
        <w:spacing w:after="0" w:line="240" w:lineRule="auto"/>
        <w:ind w:left="-90" w:right="26" w:firstLine="90"/>
        <w:rPr>
          <w:rFonts w:ascii="Times New Roman" w:hAnsi="Times New Roman"/>
          <w:color w:val="231F20"/>
          <w:sz w:val="24"/>
          <w:szCs w:val="24"/>
        </w:rPr>
      </w:pPr>
      <w:r w:rsidRPr="00E91A88">
        <w:rPr>
          <w:rFonts w:ascii="Times New Roman" w:hAnsi="Times New Roman"/>
          <w:color w:val="231F20"/>
          <w:sz w:val="24"/>
          <w:szCs w:val="24"/>
        </w:rPr>
        <w:t>Tamilnadu is often ranked as one of the best performing stat</w:t>
      </w:r>
      <w:r w:rsidR="006964F7">
        <w:rPr>
          <w:rFonts w:ascii="Times New Roman" w:hAnsi="Times New Roman"/>
          <w:color w:val="231F20"/>
          <w:sz w:val="24"/>
          <w:szCs w:val="24"/>
        </w:rPr>
        <w:t>e in terms of health indicator.</w:t>
      </w:r>
      <w:r w:rsidR="006964F7">
        <w:rPr>
          <w:rFonts w:ascii="Times New Roman" w:hAnsi="Times New Roman"/>
          <w:color w:val="231F20"/>
          <w:sz w:val="24"/>
          <w:szCs w:val="24"/>
        </w:rPr>
        <w:fldChar w:fldCharType="begin" w:fldLock="1"/>
      </w:r>
      <w:r w:rsidR="00574282">
        <w:rPr>
          <w:rFonts w:ascii="Times New Roman" w:hAnsi="Times New Roman"/>
          <w:color w:val="231F20"/>
          <w:sz w:val="24"/>
          <w:szCs w:val="24"/>
        </w:rPr>
        <w:instrText>ADDIN CSL_CITATION {"citationItems":[{"id":"ITEM-1","itemData":{"abstract":"R e p o r t o n t h e R a n k s o f S t a t e s a n d U n i o n T e r r i t o r i e s Ministry of Health &amp; Family Welfare","author":[{"dropping-particle":"","family":"Ministry of Health and Family Welfare","given":"","non-dropping-particle":"","parse-names":false,"suffix":""},{"dropping-particle":"","family":"The World Bank","given":"","non-dropping-particle":"","parse-names":false,"suffix":""}],"id":"ITEM-1","issued":{"date-parts":[["2017"]]},"title":"Healthy States, Progressive India","type":"report"},"uris":["http://www.mendeley.com/documents/?uuid=76486a4f-8080-49de-9a8f-01476584b151"]}],"mendeley":{"formattedCitation":"&lt;sup&gt;1&lt;/sup&gt;","plainTextFormattedCitation":"1","previouslyFormattedCitation":"&lt;sup&gt;1&lt;/sup&gt;"},"properties":{"noteIndex":0},"schema":"https://github.com/citation-style-language/schema/raw/master/csl-citation.json"}</w:instrText>
      </w:r>
      <w:r w:rsidR="006964F7">
        <w:rPr>
          <w:rFonts w:ascii="Times New Roman" w:hAnsi="Times New Roman"/>
          <w:color w:val="231F20"/>
          <w:sz w:val="24"/>
          <w:szCs w:val="24"/>
        </w:rPr>
        <w:fldChar w:fldCharType="separate"/>
      </w:r>
      <w:r w:rsidR="006964F7" w:rsidRPr="006964F7">
        <w:rPr>
          <w:rFonts w:ascii="Times New Roman" w:hAnsi="Times New Roman"/>
          <w:noProof/>
          <w:color w:val="231F20"/>
          <w:sz w:val="24"/>
          <w:szCs w:val="24"/>
          <w:vertAlign w:val="superscript"/>
        </w:rPr>
        <w:t>1</w:t>
      </w:r>
      <w:r w:rsidR="006964F7">
        <w:rPr>
          <w:rFonts w:ascii="Times New Roman" w:hAnsi="Times New Roman"/>
          <w:color w:val="231F20"/>
          <w:sz w:val="24"/>
          <w:szCs w:val="24"/>
        </w:rPr>
        <w:fldChar w:fldCharType="end"/>
      </w:r>
      <w:r w:rsidRPr="00E91A88">
        <w:rPr>
          <w:rFonts w:ascii="Times New Roman" w:hAnsi="Times New Roman"/>
          <w:color w:val="231F20"/>
          <w:sz w:val="24"/>
          <w:szCs w:val="24"/>
        </w:rPr>
        <w:t>Various</w:t>
      </w:r>
      <w:r w:rsidR="008F2536">
        <w:rPr>
          <w:rFonts w:ascii="Times New Roman" w:hAnsi="Times New Roman"/>
          <w:color w:val="231F20"/>
          <w:sz w:val="24"/>
          <w:szCs w:val="24"/>
        </w:rPr>
        <w:t xml:space="preserve"> initiatives in health sector has been proposed</w:t>
      </w:r>
      <w:r w:rsidRPr="00E91A88">
        <w:rPr>
          <w:rFonts w:ascii="Times New Roman" w:hAnsi="Times New Roman"/>
          <w:color w:val="231F20"/>
          <w:sz w:val="24"/>
          <w:szCs w:val="24"/>
        </w:rPr>
        <w:t xml:space="preserve"> by the state to improve the health status of the people which has definitely </w:t>
      </w:r>
      <w:r w:rsidR="00AC2F0E" w:rsidRPr="00E91A88">
        <w:rPr>
          <w:rFonts w:ascii="Times New Roman" w:hAnsi="Times New Roman"/>
          <w:color w:val="231F20"/>
          <w:sz w:val="24"/>
          <w:szCs w:val="24"/>
        </w:rPr>
        <w:t>benefitted</w:t>
      </w:r>
      <w:r w:rsidRPr="00E91A88">
        <w:rPr>
          <w:rFonts w:ascii="Times New Roman" w:hAnsi="Times New Roman"/>
          <w:color w:val="231F20"/>
          <w:sz w:val="24"/>
          <w:szCs w:val="24"/>
        </w:rPr>
        <w:t xml:space="preserve"> the public. </w:t>
      </w:r>
      <w:r w:rsidR="003258EB" w:rsidRPr="00E91A88">
        <w:rPr>
          <w:rFonts w:ascii="Times New Roman" w:hAnsi="Times New Roman"/>
          <w:color w:val="231F20"/>
          <w:sz w:val="24"/>
          <w:szCs w:val="24"/>
        </w:rPr>
        <w:t xml:space="preserve"> There are differences in healt</w:t>
      </w:r>
      <w:r w:rsidR="007C637A">
        <w:rPr>
          <w:rFonts w:ascii="Times New Roman" w:hAnsi="Times New Roman"/>
          <w:color w:val="231F20"/>
          <w:sz w:val="24"/>
          <w:szCs w:val="24"/>
        </w:rPr>
        <w:t xml:space="preserve">h performances within the state which </w:t>
      </w:r>
      <w:r w:rsidR="003258EB" w:rsidRPr="00E91A88">
        <w:rPr>
          <w:rFonts w:ascii="Times New Roman" w:hAnsi="Times New Roman"/>
          <w:color w:val="231F20"/>
          <w:sz w:val="24"/>
          <w:szCs w:val="24"/>
        </w:rPr>
        <w:t xml:space="preserve">occur across different social determinants like caste, religion, gender etc. </w:t>
      </w:r>
      <w:r w:rsidR="00471D4C" w:rsidRPr="00E91A88">
        <w:rPr>
          <w:rFonts w:ascii="Times New Roman" w:hAnsi="Times New Roman"/>
          <w:color w:val="231F20"/>
          <w:sz w:val="24"/>
          <w:szCs w:val="24"/>
        </w:rPr>
        <w:t xml:space="preserve">Such differentials also exist between districts within the state. </w:t>
      </w:r>
      <w:r w:rsidR="005B38A4">
        <w:rPr>
          <w:rFonts w:ascii="Times New Roman" w:hAnsi="Times New Roman"/>
          <w:color w:val="231F20"/>
          <w:sz w:val="24"/>
          <w:szCs w:val="24"/>
        </w:rPr>
        <w:fldChar w:fldCharType="begin" w:fldLock="1"/>
      </w:r>
      <w:r w:rsidR="00574282">
        <w:rPr>
          <w:rFonts w:ascii="Times New Roman" w:hAnsi="Times New Roman"/>
          <w:color w:val="231F20"/>
          <w:sz w:val="24"/>
          <w:szCs w:val="24"/>
        </w:rPr>
        <w:instrText>ADDIN CSL_CITATION {"citationItems":[{"id":"ITEM-1","itemData":{"author":[{"dropping-particle":"","family":"U.S.Mishra","given":"","non-dropping-particle":"","parse-names":false,"suffix":""},{"dropping-particle":"","family":"T.R.Dilip","given":"","non-dropping-particle":"","parse-names":false,"suffix":""}],"id":"ITEM-1","issued":{"date-parts":[["0"]]},"number-of-pages":"27","title":"Health inequalities in Tamilnadu: Some NSSO Based Evidence","type":"report"},"uris":["http://www.mendeley.com/documents/?uuid=91a5be9b-a3b3-465c-a922-e4d38f6747a2"]}],"mendeley":{"formattedCitation":"&lt;sup&gt;2&lt;/sup&gt;","plainTextFormattedCitation":"2","previouslyFormattedCitation":"&lt;sup&gt;2&lt;/sup&gt;"},"properties":{"noteIndex":0},"schema":"https://github.com/citation-style-language/schema/raw/master/csl-citation.json"}</w:instrText>
      </w:r>
      <w:r w:rsidR="005B38A4">
        <w:rPr>
          <w:rFonts w:ascii="Times New Roman" w:hAnsi="Times New Roman"/>
          <w:color w:val="231F20"/>
          <w:sz w:val="24"/>
          <w:szCs w:val="24"/>
        </w:rPr>
        <w:fldChar w:fldCharType="separate"/>
      </w:r>
      <w:r w:rsidR="005B38A4" w:rsidRPr="005B38A4">
        <w:rPr>
          <w:rFonts w:ascii="Times New Roman" w:hAnsi="Times New Roman"/>
          <w:noProof/>
          <w:color w:val="231F20"/>
          <w:sz w:val="24"/>
          <w:szCs w:val="24"/>
          <w:vertAlign w:val="superscript"/>
        </w:rPr>
        <w:t>2</w:t>
      </w:r>
      <w:r w:rsidR="005B38A4">
        <w:rPr>
          <w:rFonts w:ascii="Times New Roman" w:hAnsi="Times New Roman"/>
          <w:color w:val="231F20"/>
          <w:sz w:val="24"/>
          <w:szCs w:val="24"/>
        </w:rPr>
        <w:fldChar w:fldCharType="end"/>
      </w:r>
      <w:r w:rsidR="003258EB" w:rsidRPr="00E91A88">
        <w:rPr>
          <w:rFonts w:ascii="Times New Roman" w:hAnsi="Times New Roman"/>
          <w:color w:val="231F20"/>
          <w:sz w:val="24"/>
          <w:szCs w:val="24"/>
        </w:rPr>
        <w:t xml:space="preserve">Having progressed in most of the health indicators, the state has now shifted its focus on addressing this inequity and strives towards achieving </w:t>
      </w:r>
      <w:r w:rsidR="003258EB" w:rsidRPr="00C405E6">
        <w:rPr>
          <w:rFonts w:ascii="Times New Roman" w:hAnsi="Times New Roman"/>
          <w:color w:val="231F20"/>
          <w:sz w:val="24"/>
          <w:szCs w:val="24"/>
        </w:rPr>
        <w:t>Universal Health Coverage (UHC)</w:t>
      </w:r>
      <w:r w:rsidR="003258EB" w:rsidRPr="00E91A88">
        <w:rPr>
          <w:rFonts w:ascii="Times New Roman" w:hAnsi="Times New Roman"/>
          <w:color w:val="231F20"/>
          <w:sz w:val="24"/>
          <w:szCs w:val="24"/>
        </w:rPr>
        <w:t xml:space="preserve"> which is also one of the Sustainable Development Goals.</w:t>
      </w:r>
      <w:r w:rsidR="0097278A">
        <w:rPr>
          <w:rFonts w:ascii="Times New Roman" w:hAnsi="Times New Roman"/>
          <w:color w:val="231F20"/>
          <w:sz w:val="24"/>
          <w:szCs w:val="24"/>
        </w:rPr>
        <w:fldChar w:fldCharType="begin" w:fldLock="1"/>
      </w:r>
      <w:r w:rsidR="00574282">
        <w:rPr>
          <w:rFonts w:ascii="Times New Roman" w:hAnsi="Times New Roman"/>
          <w:color w:val="231F20"/>
          <w:sz w:val="24"/>
          <w:szCs w:val="24"/>
        </w:rPr>
        <w:instrText>ADDIN CSL_CITATION {"citationItems":[{"id":"ITEM-1","itemData":{"author":[{"dropping-particle":"","family":"R Muraleedharan, Umakanth Dash, S D vaishnavi","given":"Rajesh M","non-dropping-particle":"V","parse-names":false,"suffix":""}],"id":"ITEM-1","issued":{"date-parts":[["2018"]]},"number-of-pages":"0-65","title":"Universal Health Coverage-Pilot in Tamil Nadu: Has it delivered what was expected?","type":"report"},"uris":["http://www.mendeley.com/documents/?uuid=75e545db-47e1-4dc7-a71d-aff491fa121c"]}],"mendeley":{"formattedCitation":"&lt;sup&gt;3&lt;/sup&gt;","plainTextFormattedCitation":"3","previouslyFormattedCitation":"&lt;sup&gt;3&lt;/sup&gt;"},"properties":{"noteIndex":0},"schema":"https://github.com/citation-style-language/schema/raw/master/csl-citation.json"}</w:instrText>
      </w:r>
      <w:r w:rsidR="0097278A">
        <w:rPr>
          <w:rFonts w:ascii="Times New Roman" w:hAnsi="Times New Roman"/>
          <w:color w:val="231F20"/>
          <w:sz w:val="24"/>
          <w:szCs w:val="24"/>
        </w:rPr>
        <w:fldChar w:fldCharType="separate"/>
      </w:r>
      <w:r w:rsidR="0097278A" w:rsidRPr="0097278A">
        <w:rPr>
          <w:rFonts w:ascii="Times New Roman" w:hAnsi="Times New Roman"/>
          <w:noProof/>
          <w:color w:val="231F20"/>
          <w:sz w:val="24"/>
          <w:szCs w:val="24"/>
          <w:vertAlign w:val="superscript"/>
        </w:rPr>
        <w:t>3</w:t>
      </w:r>
      <w:r w:rsidR="0097278A">
        <w:rPr>
          <w:rFonts w:ascii="Times New Roman" w:hAnsi="Times New Roman"/>
          <w:color w:val="231F20"/>
          <w:sz w:val="24"/>
          <w:szCs w:val="24"/>
        </w:rPr>
        <w:fldChar w:fldCharType="end"/>
      </w:r>
      <w:r w:rsidR="003258EB" w:rsidRPr="00E91A88">
        <w:rPr>
          <w:rFonts w:ascii="Times New Roman" w:hAnsi="Times New Roman"/>
          <w:color w:val="231F20"/>
          <w:sz w:val="24"/>
          <w:szCs w:val="24"/>
        </w:rPr>
        <w:t xml:space="preserve"> UHC includes </w:t>
      </w:r>
      <w:r w:rsidR="003258EB" w:rsidRPr="00E91A88">
        <w:rPr>
          <w:rFonts w:ascii="Times New Roman" w:hAnsi="Times New Roman"/>
          <w:color w:val="333333"/>
          <w:sz w:val="24"/>
          <w:szCs w:val="24"/>
          <w:shd w:val="clear" w:color="auto" w:fill="FFFFFF"/>
        </w:rPr>
        <w:t>financial risk protection, access to quality essential health-care services and access to safe, effective, quality and affordable essential medic</w:t>
      </w:r>
      <w:r w:rsidR="0006599E">
        <w:rPr>
          <w:rFonts w:ascii="Times New Roman" w:hAnsi="Times New Roman"/>
          <w:color w:val="333333"/>
          <w:sz w:val="24"/>
          <w:szCs w:val="24"/>
          <w:shd w:val="clear" w:color="auto" w:fill="FFFFFF"/>
        </w:rPr>
        <w:t>ines and vaccines for all.</w:t>
      </w:r>
      <w:r w:rsidR="0097278A">
        <w:rPr>
          <w:rFonts w:ascii="Times New Roman" w:hAnsi="Times New Roman"/>
          <w:color w:val="333333"/>
          <w:sz w:val="24"/>
          <w:szCs w:val="24"/>
          <w:shd w:val="clear" w:color="auto" w:fill="FFFFFF"/>
        </w:rPr>
        <w:fldChar w:fldCharType="begin" w:fldLock="1"/>
      </w:r>
      <w:r w:rsidR="00574282">
        <w:rPr>
          <w:rFonts w:ascii="Times New Roman" w:hAnsi="Times New Roman"/>
          <w:color w:val="333333"/>
          <w:sz w:val="24"/>
          <w:szCs w:val="24"/>
          <w:shd w:val="clear" w:color="auto" w:fill="FFFFFF"/>
        </w:rPr>
        <w:instrText>ADDIN CSL_CITATION {"citationItems":[{"id":"ITEM-1","itemData":{"DOI":"10.1016/j.memsci.2011.12.046","ISBN":"978 92 4 150634 2","ISSN":"9241506342","abstract":"Cellulose triacetate (CTA) membranes for forward osmosis (FO) were fabricated in this study. The fundamental engineering and science of CTA membrane formation were explored by casting the membranes from different solvent systems and characterizing the membranes' morphology using advanced tools such as positron annihilation spectroscopy (PAS). N-Methyl-2-pyrrolidone (NMP) and dioxane were used as the solvents for CTA in the membrane fabrication process. It was found that the choice of solvents for membrane fabrication significantly affects the morphology of as-cast membranes and their FO performance. The CTA membrane cast using NMP as the main solvent has shown poor NaCl rejection but high water flux, whereas the CTA membrane cast using dioxane as the main solvent has excellent NaCl rejection but low water flux. SEM and PAS data reveal that the sublayer of CTA membranes cast from dioxane has a close-cell and much denser structure compared to that cast from NMP. As a result, the former has a significantly lower water flux than the latter in the FO process (5 vs. 27 LMH) using a 2 M NaCl draw solution. Surprisingly, with the addition of acetic acid into the dioxane/acetone solvent system, the resulting membrane has a significantly more porous and open-cell sublayer structure. In addition to the pore forming ability of acetic acid, FTIR spectra confirm the formation of acetic acid/dioxane complexes in the casting solution. Thus, as validated by PAS spectra, the free volume of the active layer of the resultant CTA membranes increases after the addition of acetic acid into the dioxane/acetone casting solution and the water flux increases to 23 LMH using a 2 M NaCl draw solution. Molecular simulations were also conducted to examine CTA polymeric chains in different solvent systems and to witness different CTA chain behaviors in these solvents that leads to significant differences in the as-cast membranes' morphology. (C) 2012 Elsevier B.V. All rights reserved.","author":[{"dropping-particle":"","family":"World Health Organization","given":"","non-dropping-particle":"","parse-names":false,"suffix":""}],"container-title":"World Health Organization","id":"ITEM-1","issued":{"date-parts":[["2013"]]},"page":"39","title":"Arguing for Universal Health Coverage","type":"webpage"},"uris":["http://www.mendeley.com/documents/?uuid=8b35bdf7-d4d4-4746-be3e-933f1f5aef56"]}],"mendeley":{"formattedCitation":"&lt;sup&gt;4&lt;/sup&gt;","plainTextFormattedCitation":"4","previouslyFormattedCitation":"&lt;sup&gt;4&lt;/sup&gt;"},"properties":{"noteIndex":0},"schema":"https://github.com/citation-style-language/schema/raw/master/csl-citation.json"}</w:instrText>
      </w:r>
      <w:r w:rsidR="0097278A">
        <w:rPr>
          <w:rFonts w:ascii="Times New Roman" w:hAnsi="Times New Roman"/>
          <w:color w:val="333333"/>
          <w:sz w:val="24"/>
          <w:szCs w:val="24"/>
          <w:shd w:val="clear" w:color="auto" w:fill="FFFFFF"/>
        </w:rPr>
        <w:fldChar w:fldCharType="separate"/>
      </w:r>
      <w:r w:rsidR="0097278A" w:rsidRPr="0097278A">
        <w:rPr>
          <w:rFonts w:ascii="Times New Roman" w:hAnsi="Times New Roman"/>
          <w:noProof/>
          <w:color w:val="333333"/>
          <w:sz w:val="24"/>
          <w:szCs w:val="24"/>
          <w:shd w:val="clear" w:color="auto" w:fill="FFFFFF"/>
          <w:vertAlign w:val="superscript"/>
        </w:rPr>
        <w:t>4</w:t>
      </w:r>
      <w:r w:rsidR="0097278A">
        <w:rPr>
          <w:rFonts w:ascii="Times New Roman" w:hAnsi="Times New Roman"/>
          <w:color w:val="333333"/>
          <w:sz w:val="24"/>
          <w:szCs w:val="24"/>
          <w:shd w:val="clear" w:color="auto" w:fill="FFFFFF"/>
        </w:rPr>
        <w:fldChar w:fldCharType="end"/>
      </w:r>
      <w:r w:rsidR="003258EB" w:rsidRPr="00E91A88">
        <w:rPr>
          <w:rFonts w:ascii="Times New Roman" w:hAnsi="Times New Roman"/>
          <w:color w:val="333333"/>
          <w:sz w:val="24"/>
          <w:szCs w:val="24"/>
          <w:shd w:val="clear" w:color="auto" w:fill="FFFFFF"/>
        </w:rPr>
        <w:t xml:space="preserve"> </w:t>
      </w:r>
      <w:r w:rsidR="003258EB" w:rsidRPr="00E91A88">
        <w:rPr>
          <w:rFonts w:ascii="Times New Roman" w:hAnsi="Times New Roman"/>
          <w:color w:val="231F20"/>
          <w:sz w:val="24"/>
          <w:szCs w:val="24"/>
        </w:rPr>
        <w:t>Providing financial protection through publicly funded health insurance scheme which is mainly targeted towards the poor and vulnerable population is identified as an important strategy by WHO in progressing towards UHC</w:t>
      </w:r>
      <w:r w:rsidR="008D2A88">
        <w:rPr>
          <w:rFonts w:ascii="Times New Roman" w:hAnsi="Times New Roman"/>
          <w:color w:val="231F20"/>
          <w:sz w:val="24"/>
          <w:szCs w:val="24"/>
        </w:rPr>
        <w:fldChar w:fldCharType="begin" w:fldLock="1"/>
      </w:r>
      <w:r w:rsidR="00574282">
        <w:rPr>
          <w:rFonts w:ascii="Times New Roman" w:hAnsi="Times New Roman"/>
          <w:color w:val="231F20"/>
          <w:sz w:val="24"/>
          <w:szCs w:val="24"/>
        </w:rPr>
        <w:instrText>ADDIN CSL_CITATION {"citationItems":[{"id":"ITEM-1","itemData":{"ISBN":"2013020415202","author":[{"dropping-particle":"","family":"World Health Organization","given":"","non-dropping-particle":"","parse-names":false,"suffix":""}],"id":"ITEM-1","issue":"2007","issued":{"date-parts":[["2014"]]},"page":"2012-2013","title":"Universal Health Coverage : Lessons To Guide Country Actions on Health Financing","type":"article-journal","volume":"21"},"uris":["http://www.mendeley.com/documents/?uuid=86e5c242-5803-4027-a118-8a5ea07cf12d"]}],"mendeley":{"formattedCitation":"&lt;sup&gt;5&lt;/sup&gt;","plainTextFormattedCitation":"5","previouslyFormattedCitation":"&lt;sup&gt;5&lt;/sup&gt;"},"properties":{"noteIndex":0},"schema":"https://github.com/citation-style-language/schema/raw/master/csl-citation.json"}</w:instrText>
      </w:r>
      <w:r w:rsidR="008D2A88">
        <w:rPr>
          <w:rFonts w:ascii="Times New Roman" w:hAnsi="Times New Roman"/>
          <w:color w:val="231F20"/>
          <w:sz w:val="24"/>
          <w:szCs w:val="24"/>
        </w:rPr>
        <w:fldChar w:fldCharType="separate"/>
      </w:r>
      <w:r w:rsidR="008D2A88" w:rsidRPr="008D2A88">
        <w:rPr>
          <w:rFonts w:ascii="Times New Roman" w:hAnsi="Times New Roman"/>
          <w:noProof/>
          <w:color w:val="231F20"/>
          <w:sz w:val="24"/>
          <w:szCs w:val="24"/>
          <w:vertAlign w:val="superscript"/>
        </w:rPr>
        <w:t>5</w:t>
      </w:r>
      <w:r w:rsidR="008D2A88">
        <w:rPr>
          <w:rFonts w:ascii="Times New Roman" w:hAnsi="Times New Roman"/>
          <w:color w:val="231F20"/>
          <w:sz w:val="24"/>
          <w:szCs w:val="24"/>
        </w:rPr>
        <w:fldChar w:fldCharType="end"/>
      </w:r>
      <w:r w:rsidR="00EC6297">
        <w:rPr>
          <w:rFonts w:ascii="Times New Roman" w:hAnsi="Times New Roman"/>
          <w:color w:val="231F20"/>
          <w:sz w:val="24"/>
          <w:szCs w:val="24"/>
        </w:rPr>
        <w:t xml:space="preserve">. </w:t>
      </w:r>
      <w:r w:rsidR="003258EB" w:rsidRPr="00E91A88">
        <w:rPr>
          <w:rFonts w:ascii="Times New Roman" w:hAnsi="Times New Roman"/>
          <w:color w:val="231F20"/>
          <w:sz w:val="24"/>
          <w:szCs w:val="24"/>
        </w:rPr>
        <w:t>Many developing countries have used tax revenues to finance health insurance schemes and extend subsidized health insurance to their respective poor population, thereby providing financial cover during catastrophic health shocks.</w:t>
      </w:r>
    </w:p>
    <w:p w14:paraId="192892BB" w14:textId="77777777" w:rsidR="008B5959" w:rsidRDefault="008B5959" w:rsidP="008B5959">
      <w:pPr>
        <w:pStyle w:val="ColorfulList-Accent11"/>
        <w:autoSpaceDE w:val="0"/>
        <w:autoSpaceDN w:val="0"/>
        <w:adjustRightInd w:val="0"/>
        <w:spacing w:after="0" w:line="240" w:lineRule="auto"/>
        <w:ind w:left="-90" w:right="26" w:firstLine="90"/>
        <w:rPr>
          <w:rFonts w:ascii="Times New Roman" w:hAnsi="Times New Roman"/>
          <w:color w:val="231F20"/>
          <w:sz w:val="24"/>
          <w:szCs w:val="24"/>
        </w:rPr>
      </w:pPr>
    </w:p>
    <w:p w14:paraId="479B358F" w14:textId="67E8E197" w:rsidR="007C637A" w:rsidRDefault="003258EB" w:rsidP="008B5959">
      <w:pPr>
        <w:pStyle w:val="ColorfulList-Accent11"/>
        <w:autoSpaceDE w:val="0"/>
        <w:autoSpaceDN w:val="0"/>
        <w:adjustRightInd w:val="0"/>
        <w:spacing w:after="0" w:line="240" w:lineRule="auto"/>
        <w:ind w:left="-90" w:right="26" w:firstLine="90"/>
        <w:rPr>
          <w:rFonts w:ascii="Times New Roman" w:hAnsi="Times New Roman"/>
          <w:color w:val="231F20"/>
          <w:sz w:val="24"/>
          <w:szCs w:val="24"/>
        </w:rPr>
      </w:pPr>
      <w:r w:rsidRPr="00E91A88">
        <w:rPr>
          <w:rFonts w:ascii="Times New Roman" w:hAnsi="Times New Roman"/>
          <w:color w:val="231F20"/>
          <w:sz w:val="24"/>
          <w:szCs w:val="24"/>
        </w:rPr>
        <w:t xml:space="preserve"> Tamil Nadu’s Chief Minister’s Comprehensive Health Insurance Scheme (CMCHIS) implemented by Tamilnadu Health System Project (TNHSP), launched in the year 201</w:t>
      </w:r>
      <w:r w:rsidR="000D7226">
        <w:rPr>
          <w:rFonts w:ascii="Times New Roman" w:hAnsi="Times New Roman"/>
          <w:color w:val="231F20"/>
          <w:sz w:val="24"/>
          <w:szCs w:val="24"/>
        </w:rPr>
        <w:t>2</w:t>
      </w:r>
      <w:r w:rsidRPr="00E91A88">
        <w:rPr>
          <w:rFonts w:ascii="Times New Roman" w:hAnsi="Times New Roman"/>
          <w:color w:val="231F20"/>
          <w:sz w:val="24"/>
          <w:szCs w:val="24"/>
        </w:rPr>
        <w:t xml:space="preserve"> is an effort in this direction by the State Government of Tamil Nadu</w:t>
      </w:r>
      <w:r w:rsidR="000D7226">
        <w:rPr>
          <w:rFonts w:ascii="Times New Roman" w:hAnsi="Times New Roman"/>
          <w:color w:val="231F20"/>
          <w:sz w:val="24"/>
          <w:szCs w:val="24"/>
        </w:rPr>
        <w:t xml:space="preserve"> towards achieving Universal Health Coverage</w:t>
      </w:r>
      <w:r w:rsidRPr="00E91A88">
        <w:rPr>
          <w:rFonts w:ascii="Times New Roman" w:hAnsi="Times New Roman"/>
          <w:color w:val="231F20"/>
          <w:sz w:val="24"/>
          <w:szCs w:val="24"/>
        </w:rPr>
        <w:t>. The scheme aims to provide financial risk protection to poor and other vulnerable population of the state against expensive therapeutic and surgical health conditions.</w:t>
      </w:r>
      <w:r w:rsidR="000D7226">
        <w:rPr>
          <w:rFonts w:ascii="Times New Roman" w:hAnsi="Times New Roman"/>
          <w:color w:val="231F20"/>
          <w:sz w:val="24"/>
          <w:szCs w:val="24"/>
        </w:rPr>
        <w:fldChar w:fldCharType="begin" w:fldLock="1"/>
      </w:r>
      <w:r w:rsidR="00D46E77">
        <w:rPr>
          <w:rFonts w:ascii="Times New Roman" w:hAnsi="Times New Roman"/>
          <w:color w:val="231F20"/>
          <w:sz w:val="24"/>
          <w:szCs w:val="24"/>
        </w:rPr>
        <w:instrText>ADDIN CSL_CITATION {"citationItems":[{"id":"ITEM-1","itemData":{"author":[{"dropping-particle":"","family":"Government of Tamilnadu","given":"","non-dropping-particle":"","parse-names":false,"suffix":""}],"id":"ITEM-1","issued":{"date-parts":[["0"]]},"page":"122","publisher":"Project DIrector, Tamilnadu Health Systems Society","title":"TENDER DOCUMENT TO SELECT INSURANCE COMPANY TO IMPLEMENT “CHIEF MINISTER’S COMPREHENSIVE HEALTH INSURANCE SCHEME”","type":"article"},"uris":["http://www.mendeley.com/documents/?uuid=074e6cd0-2ec8-426e-bcc8-724d842a2340"]}],"mendeley":{"formattedCitation":"&lt;sup&gt;6&lt;/sup&gt;","plainTextFormattedCitation":"6","previouslyFormattedCitation":"&lt;sup&gt;6&lt;/sup&gt;"},"properties":{"noteIndex":0},"schema":"https://github.com/citation-style-language/schema/raw/master/csl-citation.json"}</w:instrText>
      </w:r>
      <w:r w:rsidR="000D7226">
        <w:rPr>
          <w:rFonts w:ascii="Times New Roman" w:hAnsi="Times New Roman"/>
          <w:color w:val="231F20"/>
          <w:sz w:val="24"/>
          <w:szCs w:val="24"/>
        </w:rPr>
        <w:fldChar w:fldCharType="separate"/>
      </w:r>
      <w:r w:rsidR="00574282" w:rsidRPr="00574282">
        <w:rPr>
          <w:rFonts w:ascii="Times New Roman" w:hAnsi="Times New Roman"/>
          <w:noProof/>
          <w:color w:val="231F20"/>
          <w:sz w:val="24"/>
          <w:szCs w:val="24"/>
          <w:vertAlign w:val="superscript"/>
        </w:rPr>
        <w:t>6</w:t>
      </w:r>
      <w:r w:rsidR="000D7226">
        <w:rPr>
          <w:rFonts w:ascii="Times New Roman" w:hAnsi="Times New Roman"/>
          <w:color w:val="231F20"/>
          <w:sz w:val="24"/>
          <w:szCs w:val="24"/>
        </w:rPr>
        <w:fldChar w:fldCharType="end"/>
      </w:r>
      <w:r w:rsidRPr="00E91A88">
        <w:rPr>
          <w:rFonts w:ascii="Times New Roman" w:hAnsi="Times New Roman"/>
          <w:color w:val="231F20"/>
          <w:sz w:val="24"/>
          <w:szCs w:val="24"/>
        </w:rPr>
        <w:t xml:space="preserve"> </w:t>
      </w:r>
      <w:r w:rsidR="005276D9" w:rsidRPr="00E91A88">
        <w:rPr>
          <w:rFonts w:ascii="Times New Roman" w:hAnsi="Times New Roman"/>
          <w:color w:val="231F20"/>
          <w:sz w:val="24"/>
          <w:szCs w:val="24"/>
        </w:rPr>
        <w:t>CMCHIS, government funded state hea</w:t>
      </w:r>
      <w:r w:rsidR="00AC2F0E" w:rsidRPr="00E91A88">
        <w:rPr>
          <w:rFonts w:ascii="Times New Roman" w:hAnsi="Times New Roman"/>
          <w:color w:val="231F20"/>
          <w:sz w:val="24"/>
          <w:szCs w:val="24"/>
        </w:rPr>
        <w:t>lth insurance scheme aims at reducing the inequity by makin</w:t>
      </w:r>
      <w:r w:rsidRPr="00E91A88">
        <w:rPr>
          <w:rFonts w:ascii="Times New Roman" w:hAnsi="Times New Roman"/>
          <w:color w:val="231F20"/>
          <w:sz w:val="24"/>
          <w:szCs w:val="24"/>
        </w:rPr>
        <w:t xml:space="preserve">g the health service affordable by reducing the out of pocket health expenditure and also </w:t>
      </w:r>
      <w:r w:rsidR="00471D4C" w:rsidRPr="00E91A88">
        <w:rPr>
          <w:rFonts w:ascii="Times New Roman" w:hAnsi="Times New Roman"/>
          <w:color w:val="231F20"/>
          <w:sz w:val="24"/>
          <w:szCs w:val="24"/>
        </w:rPr>
        <w:t xml:space="preserve">increases the </w:t>
      </w:r>
      <w:r w:rsidRPr="00E91A88">
        <w:rPr>
          <w:rFonts w:ascii="Times New Roman" w:hAnsi="Times New Roman"/>
          <w:color w:val="231F20"/>
          <w:sz w:val="24"/>
          <w:szCs w:val="24"/>
        </w:rPr>
        <w:t xml:space="preserve">availability of health services </w:t>
      </w:r>
      <w:r w:rsidR="00471D4C" w:rsidRPr="00E91A88">
        <w:rPr>
          <w:rFonts w:ascii="Times New Roman" w:hAnsi="Times New Roman"/>
          <w:color w:val="231F20"/>
          <w:sz w:val="24"/>
          <w:szCs w:val="24"/>
        </w:rPr>
        <w:t xml:space="preserve">by roping in both the public and private providers. </w:t>
      </w:r>
      <w:r w:rsidR="004C5BF6" w:rsidRPr="00E91A88">
        <w:rPr>
          <w:rFonts w:ascii="Times New Roman" w:hAnsi="Times New Roman"/>
          <w:color w:val="231F20"/>
          <w:sz w:val="24"/>
          <w:szCs w:val="24"/>
        </w:rPr>
        <w:t>The inclusion of hospitals under CMCHIS is done through a process called Empanelment. The hospitals whichever volunteers to provide services under</w:t>
      </w:r>
      <w:r w:rsidR="00471D4C" w:rsidRPr="00E91A88">
        <w:rPr>
          <w:rFonts w:ascii="Times New Roman" w:hAnsi="Times New Roman"/>
          <w:color w:val="231F20"/>
          <w:sz w:val="24"/>
          <w:szCs w:val="24"/>
        </w:rPr>
        <w:t xml:space="preserve"> CMCHIS, </w:t>
      </w:r>
      <w:r w:rsidR="004C5BF6" w:rsidRPr="00E91A88">
        <w:rPr>
          <w:rFonts w:ascii="Times New Roman" w:hAnsi="Times New Roman"/>
          <w:color w:val="231F20"/>
          <w:sz w:val="24"/>
          <w:szCs w:val="24"/>
        </w:rPr>
        <w:t>will be screened and inspected by the Empanelment and Disciplinary Committee (EDC).</w:t>
      </w:r>
      <w:r w:rsidR="00574282">
        <w:rPr>
          <w:rFonts w:ascii="Times New Roman" w:hAnsi="Times New Roman"/>
          <w:color w:val="231F20"/>
          <w:sz w:val="24"/>
          <w:szCs w:val="24"/>
        </w:rPr>
        <w:fldChar w:fldCharType="begin" w:fldLock="1"/>
      </w:r>
      <w:r w:rsidR="00D46E77">
        <w:rPr>
          <w:rFonts w:ascii="Times New Roman" w:hAnsi="Times New Roman"/>
          <w:color w:val="231F20"/>
          <w:sz w:val="24"/>
          <w:szCs w:val="24"/>
        </w:rPr>
        <w:instrText>ADDIN CSL_CITATION {"citationItems":[{"id":"ITEM-1","itemData":{"author":[{"dropping-particle":"","family":"Government of Tamilnadu","given":"","non-dropping-particle":"","parse-names":false,"suffix":""}],"id":"ITEM-1","issued":{"date-parts":[["0"]]},"page":"122","publisher":"Project DIrector, Tamilnadu Health Systems Society","title":"TENDER DOCUMENT TO SELECT INSURANCE COMPANY TO IMPLEMENT “CHIEF MINISTER’S COMPREHENSIVE HEALTH INSURANCE SCHEME”","type":"article"},"uris":["http://www.mendeley.com/documents/?uuid=074e6cd0-2ec8-426e-bcc8-724d842a2340"]}],"mendeley":{"formattedCitation":"&lt;sup&gt;6&lt;/sup&gt;","plainTextFormattedCitation":"6","previouslyFormattedCitation":"&lt;sup&gt;6&lt;/sup&gt;"},"properties":{"noteIndex":0},"schema":"https://github.com/citation-style-language/schema/raw/master/csl-citation.json"}</w:instrText>
      </w:r>
      <w:r w:rsidR="00574282">
        <w:rPr>
          <w:rFonts w:ascii="Times New Roman" w:hAnsi="Times New Roman"/>
          <w:color w:val="231F20"/>
          <w:sz w:val="24"/>
          <w:szCs w:val="24"/>
        </w:rPr>
        <w:fldChar w:fldCharType="separate"/>
      </w:r>
      <w:r w:rsidR="00574282" w:rsidRPr="00574282">
        <w:rPr>
          <w:rFonts w:ascii="Times New Roman" w:hAnsi="Times New Roman"/>
          <w:noProof/>
          <w:color w:val="231F20"/>
          <w:sz w:val="24"/>
          <w:szCs w:val="24"/>
          <w:vertAlign w:val="superscript"/>
        </w:rPr>
        <w:t>6</w:t>
      </w:r>
      <w:r w:rsidR="00574282">
        <w:rPr>
          <w:rFonts w:ascii="Times New Roman" w:hAnsi="Times New Roman"/>
          <w:color w:val="231F20"/>
          <w:sz w:val="24"/>
          <w:szCs w:val="24"/>
        </w:rPr>
        <w:fldChar w:fldCharType="end"/>
      </w:r>
      <w:r w:rsidR="004C5BF6" w:rsidRPr="00E91A88">
        <w:rPr>
          <w:rFonts w:ascii="Times New Roman" w:hAnsi="Times New Roman"/>
          <w:color w:val="231F20"/>
          <w:sz w:val="24"/>
          <w:szCs w:val="24"/>
        </w:rPr>
        <w:t xml:space="preserve"> As on December 2018, a total of </w:t>
      </w:r>
      <w:r w:rsidR="005C2787" w:rsidRPr="00E91A88">
        <w:rPr>
          <w:rFonts w:ascii="Times New Roman" w:hAnsi="Times New Roman"/>
          <w:color w:val="231F20"/>
          <w:sz w:val="24"/>
          <w:szCs w:val="24"/>
        </w:rPr>
        <w:t xml:space="preserve">972 hospitals has been </w:t>
      </w:r>
      <w:r w:rsidR="00421918" w:rsidRPr="00E91A88">
        <w:rPr>
          <w:rFonts w:ascii="Times New Roman" w:hAnsi="Times New Roman"/>
          <w:color w:val="231F20"/>
          <w:sz w:val="24"/>
          <w:szCs w:val="24"/>
        </w:rPr>
        <w:t>empaneled</w:t>
      </w:r>
      <w:r w:rsidR="005C2787" w:rsidRPr="00E91A88">
        <w:rPr>
          <w:rFonts w:ascii="Times New Roman" w:hAnsi="Times New Roman"/>
          <w:color w:val="231F20"/>
          <w:sz w:val="24"/>
          <w:szCs w:val="24"/>
        </w:rPr>
        <w:t xml:space="preserve"> under the scheme which includes both private and public hospitals.</w:t>
      </w:r>
      <w:r w:rsidR="007C637A">
        <w:rPr>
          <w:rFonts w:ascii="Times New Roman" w:hAnsi="Times New Roman"/>
          <w:color w:val="231F20"/>
          <w:sz w:val="24"/>
          <w:szCs w:val="24"/>
        </w:rPr>
        <w:fldChar w:fldCharType="begin" w:fldLock="1"/>
      </w:r>
      <w:r w:rsidR="007C637A">
        <w:rPr>
          <w:rFonts w:ascii="Times New Roman" w:hAnsi="Times New Roman"/>
          <w:color w:val="231F20"/>
          <w:sz w:val="24"/>
          <w:szCs w:val="24"/>
        </w:rPr>
        <w:instrText>ADDIN CSL_CITATION {"citationItems":[{"id":"ITEM-1","itemData":{"URL":"https://www.cmchistn.com/hospitalList.php","accessed":{"date-parts":[["2019","3","27"]]},"id":"ITEM-1","issued":{"date-parts":[["0"]]},"title":"Chief Minister's Comprehensive Health Insurance Scheme","type":"webpage"},"uris":["http://www.mendeley.com/documents/?uuid=345ffa37-20a8-3cae-8163-c4e28417232f"]}],"mendeley":{"formattedCitation":"&lt;sup&gt;7&lt;/sup&gt;","plainTextFormattedCitation":"7","previouslyFormattedCitation":"&lt;sup&gt;7&lt;/sup&gt;"},"properties":{"noteIndex":0},"schema":"https://github.com/citation-style-language/schema/raw/master/csl-citation.json"}</w:instrText>
      </w:r>
      <w:r w:rsidR="007C637A">
        <w:rPr>
          <w:rFonts w:ascii="Times New Roman" w:hAnsi="Times New Roman"/>
          <w:color w:val="231F20"/>
          <w:sz w:val="24"/>
          <w:szCs w:val="24"/>
        </w:rPr>
        <w:fldChar w:fldCharType="separate"/>
      </w:r>
      <w:r w:rsidR="007C637A" w:rsidRPr="007C637A">
        <w:rPr>
          <w:rFonts w:ascii="Times New Roman" w:hAnsi="Times New Roman"/>
          <w:noProof/>
          <w:color w:val="231F20"/>
          <w:sz w:val="24"/>
          <w:szCs w:val="24"/>
          <w:vertAlign w:val="superscript"/>
        </w:rPr>
        <w:t>7</w:t>
      </w:r>
      <w:r w:rsidR="007C637A">
        <w:rPr>
          <w:rFonts w:ascii="Times New Roman" w:hAnsi="Times New Roman"/>
          <w:color w:val="231F20"/>
          <w:sz w:val="24"/>
          <w:szCs w:val="24"/>
        </w:rPr>
        <w:fldChar w:fldCharType="end"/>
      </w:r>
      <w:r w:rsidR="005C2787" w:rsidRPr="00E91A88">
        <w:rPr>
          <w:rFonts w:ascii="Times New Roman" w:hAnsi="Times New Roman"/>
          <w:color w:val="231F20"/>
          <w:sz w:val="24"/>
          <w:szCs w:val="24"/>
        </w:rPr>
        <w:t xml:space="preserve"> </w:t>
      </w:r>
    </w:p>
    <w:p w14:paraId="28628B43" w14:textId="1F80E94D" w:rsidR="007C637A" w:rsidRDefault="00393FC0" w:rsidP="008B5959">
      <w:pPr>
        <w:pStyle w:val="ColorfulList-Accent11"/>
        <w:autoSpaceDE w:val="0"/>
        <w:autoSpaceDN w:val="0"/>
        <w:adjustRightInd w:val="0"/>
        <w:spacing w:after="0" w:line="240" w:lineRule="auto"/>
        <w:ind w:left="-90" w:right="26"/>
        <w:rPr>
          <w:rFonts w:ascii="Times New Roman" w:hAnsi="Times New Roman"/>
          <w:color w:val="231F20"/>
          <w:sz w:val="24"/>
          <w:szCs w:val="24"/>
        </w:rPr>
      </w:pPr>
      <w:r w:rsidRPr="00815AA9">
        <w:rPr>
          <w:rFonts w:ascii="Times New Roman" w:hAnsi="Times New Roman"/>
          <w:color w:val="333333"/>
          <w:sz w:val="24"/>
          <w:szCs w:val="24"/>
          <w:shd w:val="clear" w:color="auto" w:fill="FFFFFF"/>
        </w:rPr>
        <w:t xml:space="preserve">Access is a complex concept. </w:t>
      </w:r>
      <w:r w:rsidR="00466367" w:rsidRPr="00815AA9">
        <w:rPr>
          <w:rFonts w:ascii="Times New Roman" w:hAnsi="Times New Roman"/>
          <w:color w:val="333333"/>
          <w:sz w:val="24"/>
          <w:szCs w:val="24"/>
          <w:shd w:val="clear" w:color="auto" w:fill="FFFFFF"/>
        </w:rPr>
        <w:t xml:space="preserve">It is defined by the 5 A’s notion which includes </w:t>
      </w:r>
      <w:r w:rsidR="00466367" w:rsidRPr="00815AA9">
        <w:rPr>
          <w:rStyle w:val="Emphasis"/>
          <w:rFonts w:ascii="Times New Roman" w:hAnsi="Times New Roman"/>
          <w:i w:val="0"/>
          <w:iCs w:val="0"/>
          <w:color w:val="000000" w:themeColor="text1"/>
          <w:sz w:val="24"/>
          <w:szCs w:val="24"/>
          <w:shd w:val="clear" w:color="auto" w:fill="FFFFFF"/>
        </w:rPr>
        <w:t>Availability, Adequacy, Accessibility, Affordability</w:t>
      </w:r>
      <w:r w:rsidR="00466367" w:rsidRPr="00815AA9">
        <w:rPr>
          <w:rFonts w:ascii="Times New Roman" w:hAnsi="Times New Roman"/>
          <w:i/>
          <w:iCs/>
          <w:color w:val="000000" w:themeColor="text1"/>
          <w:sz w:val="24"/>
          <w:szCs w:val="24"/>
          <w:shd w:val="clear" w:color="auto" w:fill="FFFFFF"/>
        </w:rPr>
        <w:t> </w:t>
      </w:r>
      <w:r w:rsidR="00466367" w:rsidRPr="00815AA9">
        <w:rPr>
          <w:rFonts w:ascii="Times New Roman" w:hAnsi="Times New Roman"/>
          <w:color w:val="000000" w:themeColor="text1"/>
          <w:sz w:val="24"/>
          <w:szCs w:val="24"/>
          <w:shd w:val="clear" w:color="auto" w:fill="FFFFFF"/>
        </w:rPr>
        <w:t>and</w:t>
      </w:r>
      <w:r w:rsidR="00466367" w:rsidRPr="00815AA9">
        <w:rPr>
          <w:rFonts w:ascii="Times New Roman" w:hAnsi="Times New Roman"/>
          <w:i/>
          <w:iCs/>
          <w:color w:val="000000" w:themeColor="text1"/>
          <w:sz w:val="24"/>
          <w:szCs w:val="24"/>
          <w:shd w:val="clear" w:color="auto" w:fill="FFFFFF"/>
        </w:rPr>
        <w:t> </w:t>
      </w:r>
      <w:r w:rsidR="00466367" w:rsidRPr="00815AA9">
        <w:rPr>
          <w:rStyle w:val="Emphasis"/>
          <w:rFonts w:ascii="Times New Roman" w:hAnsi="Times New Roman"/>
          <w:i w:val="0"/>
          <w:iCs w:val="0"/>
          <w:color w:val="000000" w:themeColor="text1"/>
          <w:sz w:val="24"/>
          <w:szCs w:val="24"/>
          <w:shd w:val="clear" w:color="auto" w:fill="FFFFFF"/>
        </w:rPr>
        <w:t>Appropriateness</w:t>
      </w:r>
      <w:r w:rsidR="00466367" w:rsidRPr="00815AA9">
        <w:rPr>
          <w:rStyle w:val="Emphasis"/>
          <w:rFonts w:ascii="Times New Roman" w:hAnsi="Times New Roman"/>
          <w:color w:val="6D6E70"/>
          <w:sz w:val="24"/>
          <w:szCs w:val="24"/>
          <w:shd w:val="clear" w:color="auto" w:fill="FFFFFF"/>
        </w:rPr>
        <w:t>.</w:t>
      </w:r>
      <w:r w:rsidR="00815AA9" w:rsidRPr="00815AA9">
        <w:rPr>
          <w:rStyle w:val="Emphasis"/>
          <w:rFonts w:ascii="Times New Roman" w:hAnsi="Times New Roman"/>
          <w:color w:val="6D6E70"/>
          <w:sz w:val="24"/>
          <w:szCs w:val="24"/>
          <w:shd w:val="clear" w:color="auto" w:fill="FFFFFF"/>
        </w:rPr>
        <w:fldChar w:fldCharType="begin" w:fldLock="1"/>
      </w:r>
      <w:r w:rsidR="00EF5877">
        <w:rPr>
          <w:rStyle w:val="Emphasis"/>
          <w:rFonts w:ascii="Times New Roman" w:hAnsi="Times New Roman"/>
          <w:color w:val="6D6E70"/>
          <w:sz w:val="24"/>
          <w:szCs w:val="24"/>
          <w:shd w:val="clear" w:color="auto" w:fill="FFFFFF"/>
        </w:rPr>
        <w:instrText>ADDIN CSL_CITATION {"citationItems":[{"id":"ITEM-1","itemData":{"URL":"http://www.eupatientaccess.eu/page.php?i_id=19","accessed":{"date-parts":[["2019","4","8"]]},"author":[{"dropping-particle":"","family":"Patient Access Parternship","given":"","non-dropping-particle":"","parse-names":false,"suffix":""}],"id":"ITEM-1","issued":{"date-parts":[["0"]]},"title":"5A′s of Access","type":"webpage"},"uris":["http://www.mendeley.com/documents/?uuid=aaaf385c-f3a9-33da-88c3-53e7b07a074a"]}],"mendeley":{"formattedCitation":"&lt;sup&gt;8&lt;/sup&gt;","plainTextFormattedCitation":"8","previouslyFormattedCitation":"&lt;sup&gt;8&lt;/sup&gt;"},"properties":{"noteIndex":0},"schema":"https://github.com/citation-style-language/schema/raw/master/csl-citation.json"}</w:instrText>
      </w:r>
      <w:r w:rsidR="00815AA9" w:rsidRPr="00815AA9">
        <w:rPr>
          <w:rStyle w:val="Emphasis"/>
          <w:rFonts w:ascii="Times New Roman" w:hAnsi="Times New Roman"/>
          <w:color w:val="6D6E70"/>
          <w:sz w:val="24"/>
          <w:szCs w:val="24"/>
          <w:shd w:val="clear" w:color="auto" w:fill="FFFFFF"/>
        </w:rPr>
        <w:fldChar w:fldCharType="separate"/>
      </w:r>
      <w:r w:rsidR="00815AA9" w:rsidRPr="00815AA9">
        <w:rPr>
          <w:rStyle w:val="Emphasis"/>
          <w:rFonts w:ascii="Times New Roman" w:hAnsi="Times New Roman"/>
          <w:i w:val="0"/>
          <w:noProof/>
          <w:color w:val="6D6E70"/>
          <w:sz w:val="24"/>
          <w:szCs w:val="24"/>
          <w:shd w:val="clear" w:color="auto" w:fill="FFFFFF"/>
          <w:vertAlign w:val="superscript"/>
        </w:rPr>
        <w:t>8</w:t>
      </w:r>
      <w:r w:rsidR="00815AA9" w:rsidRPr="00815AA9">
        <w:rPr>
          <w:rStyle w:val="Emphasis"/>
          <w:rFonts w:ascii="Times New Roman" w:hAnsi="Times New Roman"/>
          <w:color w:val="6D6E70"/>
          <w:sz w:val="24"/>
          <w:szCs w:val="24"/>
          <w:shd w:val="clear" w:color="auto" w:fill="FFFFFF"/>
        </w:rPr>
        <w:fldChar w:fldCharType="end"/>
      </w:r>
      <w:r w:rsidR="00466367" w:rsidRPr="00815AA9">
        <w:rPr>
          <w:rStyle w:val="Emphasis"/>
          <w:rFonts w:ascii="Times New Roman" w:hAnsi="Times New Roman"/>
          <w:color w:val="6D6E70"/>
          <w:sz w:val="24"/>
          <w:szCs w:val="24"/>
          <w:shd w:val="clear" w:color="auto" w:fill="FFFFFF"/>
        </w:rPr>
        <w:t xml:space="preserve"> </w:t>
      </w:r>
      <w:r w:rsidRPr="00815AA9">
        <w:rPr>
          <w:rFonts w:ascii="Times New Roman" w:hAnsi="Times New Roman"/>
          <w:color w:val="333333"/>
          <w:sz w:val="24"/>
          <w:szCs w:val="24"/>
          <w:shd w:val="clear" w:color="auto" w:fill="FFFFFF"/>
        </w:rPr>
        <w:t xml:space="preserve">If services are available and there is an adequate supply of services, then the opportunity to </w:t>
      </w:r>
      <w:r w:rsidR="008F4FE0">
        <w:rPr>
          <w:rFonts w:ascii="Times New Roman" w:hAnsi="Times New Roman"/>
          <w:color w:val="333333"/>
          <w:sz w:val="24"/>
          <w:szCs w:val="24"/>
          <w:shd w:val="clear" w:color="auto" w:fill="FFFFFF"/>
        </w:rPr>
        <w:t xml:space="preserve">obtain health care exists, and </w:t>
      </w:r>
      <w:r w:rsidRPr="00815AA9">
        <w:rPr>
          <w:rFonts w:ascii="Times New Roman" w:hAnsi="Times New Roman"/>
          <w:color w:val="333333"/>
          <w:sz w:val="24"/>
          <w:szCs w:val="24"/>
          <w:shd w:val="clear" w:color="auto" w:fill="FFFFFF"/>
        </w:rPr>
        <w:t>population may 'have access' to services.</w:t>
      </w:r>
      <w:r w:rsidR="00466367" w:rsidRPr="00815AA9">
        <w:rPr>
          <w:rFonts w:ascii="Times New Roman" w:hAnsi="Times New Roman"/>
          <w:color w:val="333333"/>
          <w:sz w:val="24"/>
          <w:szCs w:val="24"/>
          <w:shd w:val="clear" w:color="auto" w:fill="FFFFFF"/>
        </w:rPr>
        <w:fldChar w:fldCharType="begin" w:fldLock="1"/>
      </w:r>
      <w:r w:rsidR="00EF5877">
        <w:rPr>
          <w:rFonts w:ascii="Times New Roman" w:hAnsi="Times New Roman"/>
          <w:color w:val="333333"/>
          <w:sz w:val="24"/>
          <w:szCs w:val="24"/>
          <w:shd w:val="clear" w:color="auto" w:fill="FFFFFF"/>
        </w:rPr>
        <w:instrText>ADDIN CSL_CITATION {"citationItems":[{"id":"ITEM-1","itemData":{"DOI":"10.1258/135581902760082517","ISSN":"1355-8196","PMID":"12171751","abstract":"Facilitating access is concerned with helping people to command appropriate health care resources in order to preserve or improve their health. Access is a complex concept and at least four aspects require evaluation. If services are available and there is an adequate supply of services, then the opportunity to obtain health care exists, and a population may 'have access' to services. The extent to which a population 'gains access' also depends on financial, organisational and social or cultural barriers that limit the utilisation of services. Thus access measured in terms of utilisation is dependent on the affordability, physical accessibility and acceptability of services and not merely adequacy of supply. Services available must be relevant and effective if the population is to 'gain access to satisfactory health outcomes'. The availability of services, and barriers to access, have to be considered in the context of the differing perspectives, health needs and material and cultural settings of diverse groups in society. Equity of access may be measured in terms of the availability, utilisation or outcomes of services. Both horizontal and vertical dimensions of equity require consideration.","author":[{"dropping-particle":"","family":"Gulliford","given":"Martin","non-dropping-particle":"","parse-names":false,"suffix":""},{"dropping-particle":"","family":"Figueroa-Munoz","given":"Jose","non-dropping-particle":"","parse-names":false,"suffix":""},{"dropping-particle":"","family":"Morgan","given":"Myfanwy","non-dropping-particle":"","parse-names":false,"suffix":""},{"dropping-particle":"","family":"Hughes","given":"David","non-dropping-particle":"","parse-names":false,"suffix":""},{"dropping-particle":"","family":"Gibson","given":"Barry","non-dropping-particle":"","parse-names":false,"suffix":""},{"dropping-particle":"","family":"Beech","given":"Roger","non-dropping-particle":"","parse-names":false,"suffix":""},{"dropping-particle":"","family":"Hudson","given":"Meryl","non-dropping-particle":"","parse-names":false,"suffix":""}],"container-title":"Journal of health services research &amp; policy","id":"ITEM-1","issue":"3","issued":{"date-parts":[["2002","7"]]},"page":"186-8","title":"What does 'access to health care' mean?","type":"article-journal","volume":"7"},"uris":["http://www.mendeley.com/documents/?uuid=88133e18-e54c-4ccd-9451-863f69e03bf2"]}],"mendeley":{"formattedCitation":"&lt;sup&gt;9&lt;/sup&gt;","plainTextFormattedCitation":"9","previouslyFormattedCitation":"&lt;sup&gt;9&lt;/sup&gt;"},"properties":{"noteIndex":0},"schema":"https://github.com/citation-style-language/schema/raw/master/csl-citation.json"}</w:instrText>
      </w:r>
      <w:r w:rsidR="00466367" w:rsidRPr="00815AA9">
        <w:rPr>
          <w:rFonts w:ascii="Times New Roman" w:hAnsi="Times New Roman"/>
          <w:color w:val="333333"/>
          <w:sz w:val="24"/>
          <w:szCs w:val="24"/>
          <w:shd w:val="clear" w:color="auto" w:fill="FFFFFF"/>
        </w:rPr>
        <w:fldChar w:fldCharType="separate"/>
      </w:r>
      <w:r w:rsidR="00815AA9" w:rsidRPr="00815AA9">
        <w:rPr>
          <w:rFonts w:ascii="Times New Roman" w:hAnsi="Times New Roman"/>
          <w:noProof/>
          <w:color w:val="333333"/>
          <w:sz w:val="24"/>
          <w:szCs w:val="24"/>
          <w:shd w:val="clear" w:color="auto" w:fill="FFFFFF"/>
          <w:vertAlign w:val="superscript"/>
        </w:rPr>
        <w:t>9</w:t>
      </w:r>
      <w:r w:rsidR="00466367" w:rsidRPr="00815AA9">
        <w:rPr>
          <w:rFonts w:ascii="Times New Roman" w:hAnsi="Times New Roman"/>
          <w:color w:val="333333"/>
          <w:sz w:val="24"/>
          <w:szCs w:val="24"/>
          <w:shd w:val="clear" w:color="auto" w:fill="FFFFFF"/>
        </w:rPr>
        <w:fldChar w:fldCharType="end"/>
      </w:r>
      <w:r w:rsidR="00815AA9" w:rsidRPr="00815AA9">
        <w:rPr>
          <w:rFonts w:ascii="Times New Roman" w:hAnsi="Times New Roman"/>
          <w:color w:val="333333"/>
          <w:sz w:val="24"/>
          <w:szCs w:val="24"/>
          <w:shd w:val="clear" w:color="auto" w:fill="FFFFFF"/>
        </w:rPr>
        <w:t xml:space="preserve"> CMCHIS is a scheme which runs through various </w:t>
      </w:r>
      <w:r w:rsidR="00421918" w:rsidRPr="00815AA9">
        <w:rPr>
          <w:rFonts w:ascii="Times New Roman" w:hAnsi="Times New Roman"/>
          <w:color w:val="333333"/>
          <w:sz w:val="24"/>
          <w:szCs w:val="24"/>
          <w:shd w:val="clear" w:color="auto" w:fill="FFFFFF"/>
        </w:rPr>
        <w:t>empaneled</w:t>
      </w:r>
      <w:r w:rsidR="00815AA9" w:rsidRPr="00815AA9">
        <w:rPr>
          <w:rFonts w:ascii="Times New Roman" w:hAnsi="Times New Roman"/>
          <w:color w:val="333333"/>
          <w:sz w:val="24"/>
          <w:szCs w:val="24"/>
          <w:shd w:val="clear" w:color="auto" w:fill="FFFFFF"/>
        </w:rPr>
        <w:t xml:space="preserve"> hospitals and to get the benefit of CMCHIS, one has to avail the services in these </w:t>
      </w:r>
      <w:r w:rsidR="00421918">
        <w:rPr>
          <w:rFonts w:ascii="Times New Roman" w:hAnsi="Times New Roman"/>
          <w:color w:val="333333"/>
          <w:sz w:val="24"/>
          <w:szCs w:val="24"/>
          <w:shd w:val="clear" w:color="auto" w:fill="FFFFFF"/>
        </w:rPr>
        <w:t>empaneled</w:t>
      </w:r>
      <w:r w:rsidR="00815AA9" w:rsidRPr="00815AA9">
        <w:rPr>
          <w:rFonts w:ascii="Times New Roman" w:hAnsi="Times New Roman"/>
          <w:color w:val="333333"/>
          <w:sz w:val="24"/>
          <w:szCs w:val="24"/>
          <w:shd w:val="clear" w:color="auto" w:fill="FFFFFF"/>
        </w:rPr>
        <w:t xml:space="preserve"> hospitals. Thus distribution of hospitals in the state, is an indicator which measures availability of services under the scheme. </w:t>
      </w:r>
      <w:r w:rsidR="00471D4C" w:rsidRPr="00E91A88">
        <w:rPr>
          <w:rFonts w:ascii="Times New Roman" w:hAnsi="Times New Roman"/>
          <w:color w:val="231F20"/>
          <w:sz w:val="24"/>
          <w:szCs w:val="24"/>
        </w:rPr>
        <w:t xml:space="preserve">While various studies had looked upon the impact </w:t>
      </w:r>
      <w:r w:rsidR="005662ED">
        <w:rPr>
          <w:rFonts w:ascii="Times New Roman" w:hAnsi="Times New Roman"/>
          <w:color w:val="231F20"/>
          <w:sz w:val="24"/>
          <w:szCs w:val="24"/>
        </w:rPr>
        <w:t xml:space="preserve">of CMCHIS on reducing OOPE,  there are no studies available </w:t>
      </w:r>
      <w:r w:rsidR="00471D4C" w:rsidRPr="00E91A88">
        <w:rPr>
          <w:rFonts w:ascii="Times New Roman" w:hAnsi="Times New Roman"/>
          <w:color w:val="231F20"/>
          <w:sz w:val="24"/>
          <w:szCs w:val="24"/>
        </w:rPr>
        <w:t>on the distribution of the availability of services under the scheme.</w:t>
      </w:r>
      <w:r w:rsidR="002F3125">
        <w:rPr>
          <w:rFonts w:ascii="Times New Roman" w:hAnsi="Times New Roman"/>
          <w:color w:val="231F20"/>
          <w:sz w:val="24"/>
          <w:szCs w:val="24"/>
        </w:rPr>
        <w:fldChar w:fldCharType="begin" w:fldLock="1"/>
      </w:r>
      <w:r w:rsidR="00EF5877">
        <w:rPr>
          <w:rFonts w:ascii="Times New Roman" w:hAnsi="Times New Roman"/>
          <w:color w:val="231F20"/>
          <w:sz w:val="24"/>
          <w:szCs w:val="24"/>
        </w:rPr>
        <w:instrText>ADDIN CSL_CITATION {"citationItems":[{"id":"ITEM-1","itemData":{"DOI":"10.1186/s12913-018-3633-5","ISBN":"1291301836","ISSN":"1472-6963","PMID":"30390701","abstract":"BACKGROUND To achieve the Sustainable Development Goals, Indian States have implemented different strategies to arrest high out-of-pocket expenditure (OOPE) and to increase equity into healthcare system. Tamil Nadu (TN) and Rajasthan have implemented free medicine scheme in all public hospitals and West Bengal (WB) has devised Fair Price Medicine Shop (FPMS) scheme, a public-private-partnership model in the state. In this background, the objectives of the paper are to - 1. Study the utilization pattern of public in-patient care facilities for the states, 2. Examine the effectiveness of the strategies adopted by the states to arrest high OOPE and 3. Analyze the extent of equity in public in-patient care services in the states. METHODS National Sample Survey (71st and 60th round) data, Detailed Demand for Grants of the state governments and the National Rural/Urban Health Mission data have been used for the study. Exploratory data analysis and benefit incidence analysis have been applied to estimate the utilization, OOPE and extend of equity in the states. RESULTS The results show that overall utilization of public facilities in TN and Rajasthan has increased substantially; whereas, utilization of public facility has decreased in WB even among the poorest. In addition, OOPE for both medical and medicine is the highest in WB among three states for public sector hospitalizations. Surprisingly, OOPE on medicine is the highest for the poorest class of WB. Analysis showed that the mismatch between actual need and FPMS drug-list has led to high OOPE in the state. Overall, benefit incidence of public subsidy is the highest among the poorest class in all the states. However, geographical sector-wise inequity in public subsidy distribution persists in the states. Analysis of cost of inpatient care shows that TN provides the maximum subsidy for hospitalization and WB provides the minimum. An inverse relationship between utilization of inpatient care and public subsidy has been observed from the analysis. CONCLUSION In conclusion we could say that TN &amp; Rajasthan have successfully implemented their health financing strategies to reduce the health expenditure burden. However, policy-level changes are required to improve the situation in WB.","author":[{"dropping-particle":"","family":"Bose","given":"Montu","non-dropping-particle":"","parse-names":false,"suffix":""},{"dropping-particle":"","family":"Dutta","given":"Arijita","non-dropping-particle":"","parse-names":false,"suffix":""}],"container-title":"BMC Health Services Research","id":"ITEM-1","issue":"1","issued":{"date-parts":[["2018"]]},"page":"1-10","publisher":"BMC Health Services Research","title":"Health financing strategies to reduce out-of-pocket burden in India: a comparative study of three states","type":"article-journal","volume":"18"},"uris":["http://www.mendeley.com/documents/?uuid=c6742aab-0a73-4fed-9a83-c61ac4e435b5"]},{"id":"ITEM-2","itemData":{"container-title":"South West Region Climate Change Impacts Scoping Study","id":"ITEM-2","issued":{"date-parts":[["0"]]},"number-of-pages":"1-5","title":"CHAPTER 11 Summary of Findings","type":"thesis"},"uris":["http://www.mendeley.com/documents/?uuid=22cdc16c-2f53-4fa4-bfc3-a234b3aa1c09"]},{"id":"ITEM-3","itemData":{"id":"ITEM-3","issued":{"date-parts":[["2012"]]},"page":"120-139","title":"Service Coverage and Financial Risk Protection Among Urban Poor Under Tamil Nadu ’ s Voluntary Government-sponsored Health Insurance Scheme","type":"article-journal"},"uris":["http://www.mendeley.com/documents/?uuid=1c6d01ea-acfc-405d-8995-ff8d30cbc404"]}],"mendeley":{"formattedCitation":"&lt;sup&gt;10–12&lt;/sup&gt;","plainTextFormattedCitation":"10–12","previouslyFormattedCitation":"&lt;sup&gt;10–12&lt;/sup&gt;"},"properties":{"noteIndex":0},"schema":"https://github.com/citation-style-language/schema/raw/master/csl-citation.json"}</w:instrText>
      </w:r>
      <w:r w:rsidR="002F3125">
        <w:rPr>
          <w:rFonts w:ascii="Times New Roman" w:hAnsi="Times New Roman"/>
          <w:color w:val="231F20"/>
          <w:sz w:val="24"/>
          <w:szCs w:val="24"/>
        </w:rPr>
        <w:fldChar w:fldCharType="separate"/>
      </w:r>
      <w:r w:rsidR="00815AA9" w:rsidRPr="00815AA9">
        <w:rPr>
          <w:rFonts w:ascii="Times New Roman" w:hAnsi="Times New Roman"/>
          <w:noProof/>
          <w:color w:val="231F20"/>
          <w:sz w:val="24"/>
          <w:szCs w:val="24"/>
          <w:vertAlign w:val="superscript"/>
        </w:rPr>
        <w:t>10–12</w:t>
      </w:r>
      <w:r w:rsidR="002F3125">
        <w:rPr>
          <w:rFonts w:ascii="Times New Roman" w:hAnsi="Times New Roman"/>
          <w:color w:val="231F20"/>
          <w:sz w:val="24"/>
          <w:szCs w:val="24"/>
        </w:rPr>
        <w:fldChar w:fldCharType="end"/>
      </w:r>
      <w:r w:rsidR="00471D4C" w:rsidRPr="00E91A88">
        <w:rPr>
          <w:rFonts w:ascii="Times New Roman" w:hAnsi="Times New Roman"/>
          <w:color w:val="231F20"/>
          <w:sz w:val="24"/>
          <w:szCs w:val="24"/>
        </w:rPr>
        <w:t xml:space="preserve"> </w:t>
      </w:r>
    </w:p>
    <w:p w14:paraId="2A27409B" w14:textId="77777777" w:rsidR="008B5959" w:rsidRDefault="008B5959" w:rsidP="008B5959">
      <w:pPr>
        <w:pStyle w:val="ColorfulList-Accent11"/>
        <w:autoSpaceDE w:val="0"/>
        <w:autoSpaceDN w:val="0"/>
        <w:adjustRightInd w:val="0"/>
        <w:spacing w:after="0" w:line="240" w:lineRule="auto"/>
        <w:ind w:left="-90" w:right="26"/>
        <w:rPr>
          <w:rFonts w:ascii="Times New Roman" w:hAnsi="Times New Roman"/>
          <w:color w:val="231F20"/>
          <w:sz w:val="24"/>
          <w:szCs w:val="24"/>
        </w:rPr>
      </w:pPr>
    </w:p>
    <w:p w14:paraId="67855AC9" w14:textId="77777777" w:rsidR="007C637A" w:rsidRDefault="00471D4C" w:rsidP="008B5959">
      <w:pPr>
        <w:pStyle w:val="ColorfulList-Accent11"/>
        <w:autoSpaceDE w:val="0"/>
        <w:autoSpaceDN w:val="0"/>
        <w:adjustRightInd w:val="0"/>
        <w:spacing w:after="0" w:line="240" w:lineRule="auto"/>
        <w:ind w:left="-90" w:right="26" w:firstLine="90"/>
        <w:rPr>
          <w:rFonts w:ascii="Times New Roman" w:hAnsi="Times New Roman"/>
          <w:color w:val="231F20"/>
          <w:sz w:val="24"/>
          <w:szCs w:val="24"/>
        </w:rPr>
      </w:pPr>
      <w:r w:rsidRPr="00E91A88">
        <w:rPr>
          <w:rFonts w:ascii="Times New Roman" w:hAnsi="Times New Roman"/>
          <w:color w:val="231F20"/>
          <w:sz w:val="24"/>
          <w:szCs w:val="24"/>
        </w:rPr>
        <w:t xml:space="preserve">This study is an attempt </w:t>
      </w:r>
    </w:p>
    <w:p w14:paraId="01F8BBDF" w14:textId="4F12FAF6" w:rsidR="007C637A" w:rsidRDefault="007C637A" w:rsidP="008B5959">
      <w:pPr>
        <w:pStyle w:val="ColorfulList-Accent11"/>
        <w:numPr>
          <w:ilvl w:val="0"/>
          <w:numId w:val="3"/>
        </w:numPr>
        <w:autoSpaceDE w:val="0"/>
        <w:autoSpaceDN w:val="0"/>
        <w:adjustRightInd w:val="0"/>
        <w:spacing w:after="0" w:line="240" w:lineRule="auto"/>
        <w:ind w:right="26"/>
        <w:rPr>
          <w:rFonts w:ascii="Times New Roman" w:hAnsi="Times New Roman"/>
          <w:color w:val="231F20"/>
          <w:sz w:val="24"/>
          <w:szCs w:val="24"/>
        </w:rPr>
      </w:pPr>
      <w:r w:rsidRPr="00E91A88">
        <w:rPr>
          <w:rFonts w:ascii="Times New Roman" w:hAnsi="Times New Roman"/>
          <w:color w:val="231F20"/>
          <w:sz w:val="24"/>
          <w:szCs w:val="24"/>
        </w:rPr>
        <w:t xml:space="preserve">to find </w:t>
      </w:r>
      <w:r w:rsidR="00471D4C" w:rsidRPr="00E91A88">
        <w:rPr>
          <w:rFonts w:ascii="Times New Roman" w:hAnsi="Times New Roman"/>
          <w:color w:val="231F20"/>
          <w:sz w:val="24"/>
          <w:szCs w:val="24"/>
        </w:rPr>
        <w:t xml:space="preserve">if there exist any inter district disparity in the distribution of </w:t>
      </w:r>
      <w:r w:rsidR="00EC6297">
        <w:rPr>
          <w:rFonts w:ascii="Times New Roman" w:hAnsi="Times New Roman"/>
          <w:color w:val="231F20"/>
          <w:sz w:val="24"/>
          <w:szCs w:val="24"/>
        </w:rPr>
        <w:t xml:space="preserve">hospitals </w:t>
      </w:r>
      <w:r w:rsidR="00421918">
        <w:rPr>
          <w:rFonts w:ascii="Times New Roman" w:hAnsi="Times New Roman"/>
          <w:color w:val="231F20"/>
          <w:sz w:val="24"/>
          <w:szCs w:val="24"/>
        </w:rPr>
        <w:t>empaneled</w:t>
      </w:r>
      <w:r w:rsidR="00EC6297">
        <w:rPr>
          <w:rFonts w:ascii="Times New Roman" w:hAnsi="Times New Roman"/>
          <w:color w:val="231F20"/>
          <w:sz w:val="24"/>
          <w:szCs w:val="24"/>
        </w:rPr>
        <w:t xml:space="preserve"> under the </w:t>
      </w:r>
      <w:r>
        <w:rPr>
          <w:rFonts w:ascii="Times New Roman" w:hAnsi="Times New Roman"/>
          <w:color w:val="231F20"/>
          <w:sz w:val="24"/>
          <w:szCs w:val="24"/>
        </w:rPr>
        <w:t>CMCHIS scheme</w:t>
      </w:r>
    </w:p>
    <w:p w14:paraId="3E4C0E3D" w14:textId="77777777" w:rsidR="007C637A" w:rsidRDefault="007C637A" w:rsidP="008B5959">
      <w:pPr>
        <w:pStyle w:val="ColorfulList-Accent11"/>
        <w:numPr>
          <w:ilvl w:val="0"/>
          <w:numId w:val="3"/>
        </w:numPr>
        <w:autoSpaceDE w:val="0"/>
        <w:autoSpaceDN w:val="0"/>
        <w:adjustRightInd w:val="0"/>
        <w:spacing w:after="0" w:line="240" w:lineRule="auto"/>
        <w:ind w:right="26"/>
        <w:rPr>
          <w:rFonts w:ascii="Times New Roman" w:hAnsi="Times New Roman"/>
          <w:color w:val="231F20"/>
          <w:sz w:val="24"/>
          <w:szCs w:val="24"/>
        </w:rPr>
      </w:pPr>
      <w:r>
        <w:rPr>
          <w:rFonts w:ascii="Times New Roman" w:hAnsi="Times New Roman"/>
          <w:color w:val="231F20"/>
          <w:sz w:val="24"/>
          <w:szCs w:val="24"/>
        </w:rPr>
        <w:t>to</w:t>
      </w:r>
      <w:r w:rsidR="00471D4C" w:rsidRPr="00E91A88">
        <w:rPr>
          <w:rFonts w:ascii="Times New Roman" w:hAnsi="Times New Roman"/>
          <w:color w:val="231F20"/>
          <w:sz w:val="24"/>
          <w:szCs w:val="24"/>
        </w:rPr>
        <w:t xml:space="preserve"> find if such difference correlates with the overall development of the district.</w:t>
      </w:r>
      <w:r w:rsidR="00397C66" w:rsidRPr="00E91A88">
        <w:rPr>
          <w:rFonts w:ascii="Times New Roman" w:hAnsi="Times New Roman"/>
          <w:color w:val="231F20"/>
          <w:sz w:val="24"/>
          <w:szCs w:val="24"/>
        </w:rPr>
        <w:t xml:space="preserve"> </w:t>
      </w:r>
      <w:r w:rsidR="003842D9" w:rsidRPr="00E91A88">
        <w:rPr>
          <w:rFonts w:ascii="Times New Roman" w:hAnsi="Times New Roman"/>
          <w:color w:val="231F20"/>
          <w:sz w:val="24"/>
          <w:szCs w:val="24"/>
        </w:rPr>
        <w:t xml:space="preserve"> </w:t>
      </w:r>
    </w:p>
    <w:p w14:paraId="06CB04CB" w14:textId="77777777" w:rsidR="007C637A" w:rsidRDefault="008F2536" w:rsidP="008B5959">
      <w:pPr>
        <w:pStyle w:val="ColorfulList-Accent11"/>
        <w:numPr>
          <w:ilvl w:val="0"/>
          <w:numId w:val="3"/>
        </w:numPr>
        <w:autoSpaceDE w:val="0"/>
        <w:autoSpaceDN w:val="0"/>
        <w:adjustRightInd w:val="0"/>
        <w:spacing w:after="0" w:line="240" w:lineRule="auto"/>
        <w:ind w:right="26"/>
        <w:rPr>
          <w:rFonts w:ascii="Times New Roman" w:hAnsi="Times New Roman"/>
          <w:color w:val="231F20"/>
          <w:sz w:val="24"/>
          <w:szCs w:val="24"/>
        </w:rPr>
      </w:pPr>
      <w:r>
        <w:rPr>
          <w:rFonts w:ascii="Times New Roman" w:hAnsi="Times New Roman"/>
          <w:color w:val="231F20"/>
          <w:sz w:val="24"/>
          <w:szCs w:val="24"/>
        </w:rPr>
        <w:t xml:space="preserve">to explore </w:t>
      </w:r>
      <w:r w:rsidR="003842D9" w:rsidRPr="00E91A88">
        <w:rPr>
          <w:rFonts w:ascii="Times New Roman" w:hAnsi="Times New Roman"/>
          <w:color w:val="231F20"/>
          <w:sz w:val="24"/>
          <w:szCs w:val="24"/>
        </w:rPr>
        <w:t xml:space="preserve">if </w:t>
      </w:r>
      <w:r>
        <w:rPr>
          <w:rFonts w:ascii="Times New Roman" w:hAnsi="Times New Roman"/>
          <w:color w:val="231F20"/>
          <w:sz w:val="24"/>
          <w:szCs w:val="24"/>
        </w:rPr>
        <w:t>there exist any</w:t>
      </w:r>
      <w:r w:rsidR="003842D9" w:rsidRPr="00E91A88">
        <w:rPr>
          <w:rFonts w:ascii="Times New Roman" w:hAnsi="Times New Roman"/>
          <w:color w:val="231F20"/>
          <w:sz w:val="24"/>
          <w:szCs w:val="24"/>
        </w:rPr>
        <w:t xml:space="preserve"> </w:t>
      </w:r>
      <w:r w:rsidR="00366C43" w:rsidRPr="00E91A88">
        <w:rPr>
          <w:rFonts w:ascii="Times New Roman" w:hAnsi="Times New Roman"/>
          <w:color w:val="231F20"/>
          <w:sz w:val="24"/>
          <w:szCs w:val="24"/>
        </w:rPr>
        <w:t>correlation between the availability of hospitals</w:t>
      </w:r>
      <w:r>
        <w:rPr>
          <w:rFonts w:ascii="Times New Roman" w:hAnsi="Times New Roman"/>
          <w:color w:val="231F20"/>
          <w:sz w:val="24"/>
          <w:szCs w:val="24"/>
        </w:rPr>
        <w:t xml:space="preserve"> per district</w:t>
      </w:r>
      <w:r w:rsidR="00366C43" w:rsidRPr="00E91A88">
        <w:rPr>
          <w:rFonts w:ascii="Times New Roman" w:hAnsi="Times New Roman"/>
          <w:color w:val="231F20"/>
          <w:sz w:val="24"/>
          <w:szCs w:val="24"/>
        </w:rPr>
        <w:t xml:space="preserve"> with u</w:t>
      </w:r>
      <w:r>
        <w:rPr>
          <w:rFonts w:ascii="Times New Roman" w:hAnsi="Times New Roman"/>
          <w:color w:val="231F20"/>
          <w:sz w:val="24"/>
          <w:szCs w:val="24"/>
        </w:rPr>
        <w:t>tilization of s</w:t>
      </w:r>
      <w:r w:rsidR="00366C43" w:rsidRPr="00E91A88">
        <w:rPr>
          <w:rFonts w:ascii="Times New Roman" w:hAnsi="Times New Roman"/>
          <w:color w:val="231F20"/>
          <w:sz w:val="24"/>
          <w:szCs w:val="24"/>
        </w:rPr>
        <w:t xml:space="preserve">ervices. </w:t>
      </w:r>
    </w:p>
    <w:p w14:paraId="3583A6EE" w14:textId="77777777" w:rsidR="007C637A" w:rsidRDefault="007C637A" w:rsidP="008B5959">
      <w:pPr>
        <w:pStyle w:val="ColorfulList-Accent11"/>
        <w:autoSpaceDE w:val="0"/>
        <w:autoSpaceDN w:val="0"/>
        <w:adjustRightInd w:val="0"/>
        <w:spacing w:after="0" w:line="240" w:lineRule="auto"/>
        <w:ind w:right="26"/>
        <w:rPr>
          <w:rFonts w:ascii="Times New Roman" w:hAnsi="Times New Roman"/>
          <w:color w:val="231F20"/>
          <w:sz w:val="24"/>
          <w:szCs w:val="24"/>
        </w:rPr>
      </w:pPr>
    </w:p>
    <w:p w14:paraId="16A7C15E" w14:textId="77777777" w:rsidR="00471D4C" w:rsidRPr="00E91A88" w:rsidRDefault="00397C66" w:rsidP="008B5959">
      <w:pPr>
        <w:pStyle w:val="ColorfulList-Accent11"/>
        <w:autoSpaceDE w:val="0"/>
        <w:autoSpaceDN w:val="0"/>
        <w:adjustRightInd w:val="0"/>
        <w:spacing w:after="0" w:line="240" w:lineRule="auto"/>
        <w:ind w:right="26"/>
        <w:rPr>
          <w:rFonts w:ascii="Times New Roman" w:hAnsi="Times New Roman"/>
          <w:color w:val="231F20"/>
          <w:sz w:val="24"/>
          <w:szCs w:val="24"/>
        </w:rPr>
      </w:pPr>
      <w:r w:rsidRPr="00E91A88">
        <w:rPr>
          <w:rFonts w:ascii="Times New Roman" w:hAnsi="Times New Roman"/>
          <w:color w:val="231F20"/>
          <w:sz w:val="24"/>
          <w:szCs w:val="24"/>
        </w:rPr>
        <w:t xml:space="preserve">This will provide insight for prioritizing </w:t>
      </w:r>
      <w:r w:rsidR="008F2536">
        <w:rPr>
          <w:rFonts w:ascii="Times New Roman" w:hAnsi="Times New Roman"/>
          <w:color w:val="231F20"/>
          <w:sz w:val="24"/>
          <w:szCs w:val="24"/>
        </w:rPr>
        <w:t xml:space="preserve">and channelizing </w:t>
      </w:r>
      <w:r w:rsidRPr="00E91A88">
        <w:rPr>
          <w:rFonts w:ascii="Times New Roman" w:hAnsi="Times New Roman"/>
          <w:color w:val="231F20"/>
          <w:sz w:val="24"/>
          <w:szCs w:val="24"/>
        </w:rPr>
        <w:t xml:space="preserve">investment of resources for </w:t>
      </w:r>
      <w:r w:rsidR="008F2536">
        <w:rPr>
          <w:rFonts w:ascii="Times New Roman" w:hAnsi="Times New Roman"/>
          <w:color w:val="231F20"/>
          <w:sz w:val="24"/>
          <w:szCs w:val="24"/>
        </w:rPr>
        <w:t xml:space="preserve">establishing and empanelling new hospitals in these districts. </w:t>
      </w:r>
    </w:p>
    <w:p w14:paraId="3CB202DF" w14:textId="77777777" w:rsidR="00471D4C" w:rsidRDefault="00471D4C" w:rsidP="008B5959">
      <w:pPr>
        <w:pStyle w:val="ColorfulList-Accent11"/>
        <w:autoSpaceDE w:val="0"/>
        <w:autoSpaceDN w:val="0"/>
        <w:adjustRightInd w:val="0"/>
        <w:spacing w:after="0" w:line="240" w:lineRule="auto"/>
        <w:ind w:right="26"/>
        <w:rPr>
          <w:rFonts w:ascii="Times New Roman" w:hAnsi="Times New Roman"/>
          <w:color w:val="231F20"/>
          <w:sz w:val="24"/>
          <w:szCs w:val="24"/>
        </w:rPr>
      </w:pPr>
    </w:p>
    <w:p w14:paraId="1425090B" w14:textId="77777777" w:rsidR="007C637A" w:rsidRPr="00E91A88" w:rsidRDefault="007C637A" w:rsidP="008B5959">
      <w:pPr>
        <w:pStyle w:val="ColorfulList-Accent11"/>
        <w:autoSpaceDE w:val="0"/>
        <w:autoSpaceDN w:val="0"/>
        <w:adjustRightInd w:val="0"/>
        <w:spacing w:after="0" w:line="240" w:lineRule="auto"/>
        <w:ind w:right="26"/>
        <w:rPr>
          <w:rFonts w:ascii="Times New Roman" w:hAnsi="Times New Roman"/>
          <w:color w:val="231F20"/>
          <w:sz w:val="24"/>
          <w:szCs w:val="24"/>
        </w:rPr>
      </w:pPr>
    </w:p>
    <w:p w14:paraId="6BD8B147" w14:textId="3EE650B4" w:rsidR="00471D4C" w:rsidRDefault="00471D4C" w:rsidP="008B5959">
      <w:pPr>
        <w:pStyle w:val="ColorfulList-Accent11"/>
        <w:autoSpaceDE w:val="0"/>
        <w:autoSpaceDN w:val="0"/>
        <w:adjustRightInd w:val="0"/>
        <w:spacing w:after="0" w:line="240" w:lineRule="auto"/>
        <w:ind w:left="-90" w:right="26" w:firstLine="90"/>
        <w:rPr>
          <w:rFonts w:ascii="Times New Roman" w:hAnsi="Times New Roman"/>
          <w:b/>
          <w:bCs/>
          <w:color w:val="231F20"/>
          <w:sz w:val="24"/>
          <w:szCs w:val="24"/>
        </w:rPr>
      </w:pPr>
      <w:r w:rsidRPr="00E91A88">
        <w:rPr>
          <w:rFonts w:ascii="Times New Roman" w:hAnsi="Times New Roman"/>
          <w:b/>
          <w:bCs/>
          <w:color w:val="231F20"/>
          <w:sz w:val="24"/>
          <w:szCs w:val="24"/>
        </w:rPr>
        <w:t>Methods:</w:t>
      </w:r>
    </w:p>
    <w:p w14:paraId="24B2CD6D" w14:textId="77777777" w:rsidR="008B5959" w:rsidRPr="00E91A88" w:rsidRDefault="008B5959" w:rsidP="008B5959">
      <w:pPr>
        <w:pStyle w:val="ColorfulList-Accent11"/>
        <w:autoSpaceDE w:val="0"/>
        <w:autoSpaceDN w:val="0"/>
        <w:adjustRightInd w:val="0"/>
        <w:spacing w:after="0" w:line="240" w:lineRule="auto"/>
        <w:ind w:left="-90" w:right="26" w:firstLine="90"/>
        <w:rPr>
          <w:rFonts w:ascii="Times New Roman" w:hAnsi="Times New Roman"/>
          <w:b/>
          <w:bCs/>
          <w:color w:val="231F20"/>
          <w:sz w:val="24"/>
          <w:szCs w:val="24"/>
        </w:rPr>
      </w:pPr>
    </w:p>
    <w:p w14:paraId="7315D92A" w14:textId="7A7FA5BC" w:rsidR="00971258" w:rsidRDefault="005C2787" w:rsidP="008B5959">
      <w:pPr>
        <w:pStyle w:val="ColorfulList-Accent11"/>
        <w:autoSpaceDE w:val="0"/>
        <w:autoSpaceDN w:val="0"/>
        <w:adjustRightInd w:val="0"/>
        <w:spacing w:after="0" w:line="240" w:lineRule="auto"/>
        <w:ind w:left="-90" w:right="26" w:firstLine="90"/>
        <w:rPr>
          <w:rFonts w:ascii="Times New Roman" w:hAnsi="Times New Roman"/>
          <w:color w:val="231F20"/>
          <w:sz w:val="24"/>
          <w:szCs w:val="24"/>
        </w:rPr>
      </w:pPr>
      <w:r w:rsidRPr="00E91A88">
        <w:rPr>
          <w:rFonts w:ascii="Times New Roman" w:hAnsi="Times New Roman"/>
          <w:color w:val="231F20"/>
          <w:sz w:val="24"/>
          <w:szCs w:val="24"/>
        </w:rPr>
        <w:t>A secondary data analysis was done to assess the relationship between development indicators of district and insurance coverage and hospital avail</w:t>
      </w:r>
      <w:r w:rsidR="00E87F98" w:rsidRPr="00E91A88">
        <w:rPr>
          <w:rFonts w:ascii="Times New Roman" w:hAnsi="Times New Roman"/>
          <w:color w:val="231F20"/>
          <w:sz w:val="24"/>
          <w:szCs w:val="24"/>
        </w:rPr>
        <w:t>abi</w:t>
      </w:r>
      <w:r w:rsidR="008F4FE0">
        <w:rPr>
          <w:rFonts w:ascii="Times New Roman" w:hAnsi="Times New Roman"/>
          <w:color w:val="231F20"/>
          <w:sz w:val="24"/>
          <w:szCs w:val="24"/>
        </w:rPr>
        <w:t xml:space="preserve">lity under </w:t>
      </w:r>
      <w:r w:rsidRPr="00E91A88">
        <w:rPr>
          <w:rFonts w:ascii="Times New Roman" w:hAnsi="Times New Roman"/>
          <w:color w:val="231F20"/>
          <w:sz w:val="24"/>
          <w:szCs w:val="24"/>
        </w:rPr>
        <w:t xml:space="preserve">CMCHIS in Tamilnadu was conducted. </w:t>
      </w:r>
      <w:r w:rsidR="008F4FE0">
        <w:rPr>
          <w:rFonts w:ascii="Times New Roman" w:hAnsi="Times New Roman"/>
          <w:color w:val="231F20"/>
          <w:sz w:val="24"/>
          <w:szCs w:val="24"/>
        </w:rPr>
        <w:t xml:space="preserve">Tamilnadu has </w:t>
      </w:r>
      <w:r w:rsidRPr="00E91A88">
        <w:rPr>
          <w:rFonts w:ascii="Times New Roman" w:hAnsi="Times New Roman"/>
          <w:color w:val="231F20"/>
          <w:sz w:val="24"/>
          <w:szCs w:val="24"/>
        </w:rPr>
        <w:t xml:space="preserve">32 districts </w:t>
      </w:r>
      <w:r w:rsidR="008F4FE0">
        <w:rPr>
          <w:rFonts w:ascii="Times New Roman" w:hAnsi="Times New Roman"/>
          <w:color w:val="231F20"/>
          <w:sz w:val="24"/>
          <w:szCs w:val="24"/>
        </w:rPr>
        <w:t xml:space="preserve">all of which </w:t>
      </w:r>
      <w:r w:rsidRPr="00E91A88">
        <w:rPr>
          <w:rFonts w:ascii="Times New Roman" w:hAnsi="Times New Roman"/>
          <w:color w:val="231F20"/>
          <w:sz w:val="24"/>
          <w:szCs w:val="24"/>
        </w:rPr>
        <w:t>were included in the study. The development of districts is measured using Human Development Index(HDI)</w:t>
      </w:r>
      <w:r w:rsidR="008F4FE0">
        <w:rPr>
          <w:rFonts w:ascii="Times New Roman" w:hAnsi="Times New Roman"/>
          <w:color w:val="231F20"/>
          <w:sz w:val="24"/>
          <w:szCs w:val="24"/>
        </w:rPr>
        <w:t xml:space="preserve"> which</w:t>
      </w:r>
      <w:r w:rsidRPr="00E91A88">
        <w:rPr>
          <w:rFonts w:ascii="Times New Roman" w:hAnsi="Times New Roman"/>
          <w:color w:val="231F20"/>
          <w:sz w:val="24"/>
          <w:szCs w:val="24"/>
        </w:rPr>
        <w:t xml:space="preserve"> is a composite </w:t>
      </w:r>
      <w:r w:rsidRPr="00E91A88">
        <w:rPr>
          <w:rFonts w:ascii="Times New Roman" w:hAnsi="Times New Roman"/>
          <w:color w:val="231F20"/>
          <w:sz w:val="24"/>
          <w:szCs w:val="24"/>
        </w:rPr>
        <w:lastRenderedPageBreak/>
        <w:t xml:space="preserve">index developed by UNDP </w:t>
      </w:r>
      <w:r w:rsidR="008F4FE0">
        <w:rPr>
          <w:rFonts w:ascii="Times New Roman" w:hAnsi="Times New Roman"/>
          <w:color w:val="231F20"/>
          <w:sz w:val="24"/>
          <w:szCs w:val="24"/>
        </w:rPr>
        <w:t>calculated using p</w:t>
      </w:r>
      <w:r w:rsidR="00971258" w:rsidRPr="00E91A88">
        <w:rPr>
          <w:rFonts w:ascii="Times New Roman" w:hAnsi="Times New Roman"/>
          <w:color w:val="231F20"/>
          <w:sz w:val="24"/>
          <w:szCs w:val="24"/>
        </w:rPr>
        <w:t xml:space="preserve">er capita income as a determinant of the Living standard Index, life expectancy at birth as health indicator and literacy rate, gross enrolment ratio at primary and secondary levels </w:t>
      </w:r>
      <w:r w:rsidR="00971258">
        <w:rPr>
          <w:rFonts w:ascii="Times New Roman" w:hAnsi="Times New Roman"/>
          <w:color w:val="231F20"/>
          <w:sz w:val="24"/>
          <w:szCs w:val="24"/>
        </w:rPr>
        <w:t>as an indicator for education.</w:t>
      </w:r>
      <w:r w:rsidR="00D46E77">
        <w:rPr>
          <w:rFonts w:ascii="Times New Roman" w:hAnsi="Times New Roman"/>
          <w:sz w:val="24"/>
          <w:szCs w:val="24"/>
        </w:rPr>
        <w:fldChar w:fldCharType="begin" w:fldLock="1"/>
      </w:r>
      <w:r w:rsidR="00EF5877">
        <w:rPr>
          <w:rFonts w:ascii="Times New Roman" w:hAnsi="Times New Roman"/>
          <w:sz w:val="24"/>
          <w:szCs w:val="24"/>
        </w:rPr>
        <w:instrText>ADDIN CSL_CITATION {"citationItems":[{"id":"ITEM-1","itemData":{"URL":"http://hdr.undp.org/en/content/human-development-index-hdi","accessed":{"date-parts":[["2019","3","27"]]},"id":"ITEM-1","issued":{"date-parts":[["0"]]},"title":"Human Development Index (HDI) | Human Development Reports","type":"webpage"},"uris":["http://www.mendeley.com/documents/?uuid=6bd62e0c-525a-32e1-b515-25423eb93183"]}],"mendeley":{"formattedCitation":"&lt;sup&gt;13&lt;/sup&gt;","plainTextFormattedCitation":"13","previouslyFormattedCitation":"&lt;sup&gt;13&lt;/sup&gt;"},"properties":{"noteIndex":0},"schema":"https://github.com/citation-style-language/schema/raw/master/csl-citation.json"}</w:instrText>
      </w:r>
      <w:r w:rsidR="00D46E77">
        <w:rPr>
          <w:rFonts w:ascii="Times New Roman" w:hAnsi="Times New Roman"/>
          <w:sz w:val="24"/>
          <w:szCs w:val="24"/>
        </w:rPr>
        <w:fldChar w:fldCharType="separate"/>
      </w:r>
      <w:r w:rsidR="00815AA9" w:rsidRPr="00815AA9">
        <w:rPr>
          <w:rFonts w:ascii="Times New Roman" w:hAnsi="Times New Roman"/>
          <w:noProof/>
          <w:sz w:val="24"/>
          <w:szCs w:val="24"/>
          <w:vertAlign w:val="superscript"/>
        </w:rPr>
        <w:t>13</w:t>
      </w:r>
      <w:r w:rsidR="00D46E77">
        <w:rPr>
          <w:rFonts w:ascii="Times New Roman" w:hAnsi="Times New Roman"/>
          <w:sz w:val="24"/>
          <w:szCs w:val="24"/>
        </w:rPr>
        <w:fldChar w:fldCharType="end"/>
      </w:r>
      <w:r w:rsidRPr="00E91A88">
        <w:rPr>
          <w:rFonts w:ascii="Times New Roman" w:hAnsi="Times New Roman"/>
          <w:sz w:val="24"/>
          <w:szCs w:val="24"/>
        </w:rPr>
        <w:t xml:space="preserve"> </w:t>
      </w:r>
      <w:r w:rsidR="00971258" w:rsidRPr="00E91A88">
        <w:rPr>
          <w:rFonts w:ascii="Times New Roman" w:hAnsi="Times New Roman"/>
          <w:color w:val="231F20"/>
          <w:sz w:val="24"/>
          <w:szCs w:val="24"/>
        </w:rPr>
        <w:t xml:space="preserve">HDI data </w:t>
      </w:r>
      <w:r w:rsidR="00971258">
        <w:rPr>
          <w:rFonts w:ascii="Times New Roman" w:hAnsi="Times New Roman"/>
          <w:color w:val="231F20"/>
          <w:sz w:val="24"/>
          <w:szCs w:val="24"/>
        </w:rPr>
        <w:t xml:space="preserve">for each district </w:t>
      </w:r>
      <w:r w:rsidR="00971258" w:rsidRPr="00E91A88">
        <w:rPr>
          <w:rFonts w:ascii="Times New Roman" w:hAnsi="Times New Roman"/>
          <w:color w:val="231F20"/>
          <w:sz w:val="24"/>
          <w:szCs w:val="24"/>
        </w:rPr>
        <w:t>was obtained from the Tamilnadu Human Development Report 2017 published by the State Planning Commission, Government of Tamilnadu.</w:t>
      </w:r>
      <w:r w:rsidR="00971258">
        <w:rPr>
          <w:rFonts w:ascii="Times New Roman" w:hAnsi="Times New Roman"/>
          <w:color w:val="231F20"/>
          <w:sz w:val="24"/>
          <w:szCs w:val="24"/>
        </w:rPr>
        <w:fldChar w:fldCharType="begin" w:fldLock="1"/>
      </w:r>
      <w:r w:rsidR="00EF5877">
        <w:rPr>
          <w:rFonts w:ascii="Times New Roman" w:hAnsi="Times New Roman"/>
          <w:color w:val="231F20"/>
          <w:sz w:val="24"/>
          <w:szCs w:val="24"/>
        </w:rPr>
        <w:instrText>ADDIN CSL_CITATION {"citationItems":[{"id":"ITEM-1","itemData":{"author":[{"dropping-particle":"","family":"State Planning Comission ; Government of Tamilnadu","given":"","non-dropping-particle":"","parse-names":false,"suffix":""}],"id":"ITEM-1","issued":{"date-parts":[["2017"]]},"title":"Status of Human Development","type":"report"},"uris":["http://www.mendeley.com/documents/?uuid=60b3c71c-8935-4f2e-b3b9-902a694ed0bc"]}],"mendeley":{"formattedCitation":"&lt;sup&gt;14&lt;/sup&gt;","plainTextFormattedCitation":"14","previouslyFormattedCitation":"&lt;sup&gt;14&lt;/sup&gt;"},"properties":{"noteIndex":0},"schema":"https://github.com/citation-style-language/schema/raw/master/csl-citation.json"}</w:instrText>
      </w:r>
      <w:r w:rsidR="00971258">
        <w:rPr>
          <w:rFonts w:ascii="Times New Roman" w:hAnsi="Times New Roman"/>
          <w:color w:val="231F20"/>
          <w:sz w:val="24"/>
          <w:szCs w:val="24"/>
        </w:rPr>
        <w:fldChar w:fldCharType="separate"/>
      </w:r>
      <w:r w:rsidR="00971258" w:rsidRPr="00815AA9">
        <w:rPr>
          <w:rFonts w:ascii="Times New Roman" w:hAnsi="Times New Roman"/>
          <w:noProof/>
          <w:color w:val="231F20"/>
          <w:sz w:val="24"/>
          <w:szCs w:val="24"/>
          <w:vertAlign w:val="superscript"/>
        </w:rPr>
        <w:t>14</w:t>
      </w:r>
      <w:r w:rsidR="00971258">
        <w:rPr>
          <w:rFonts w:ascii="Times New Roman" w:hAnsi="Times New Roman"/>
          <w:color w:val="231F20"/>
          <w:sz w:val="24"/>
          <w:szCs w:val="24"/>
        </w:rPr>
        <w:fldChar w:fldCharType="end"/>
      </w:r>
      <w:r w:rsidR="008F4FE0">
        <w:rPr>
          <w:rFonts w:ascii="Times New Roman" w:hAnsi="Times New Roman"/>
          <w:color w:val="231F20"/>
          <w:sz w:val="24"/>
          <w:szCs w:val="24"/>
        </w:rPr>
        <w:t xml:space="preserve"> The HDI for each districts was</w:t>
      </w:r>
      <w:r w:rsidR="00971258" w:rsidRPr="00E91A88">
        <w:rPr>
          <w:rFonts w:ascii="Times New Roman" w:hAnsi="Times New Roman"/>
          <w:color w:val="231F20"/>
          <w:sz w:val="24"/>
          <w:szCs w:val="24"/>
        </w:rPr>
        <w:t xml:space="preserve"> calculated based on the data provided by the Government of Tamilnadu from various departments for the year 2013-14.</w:t>
      </w:r>
      <w:r w:rsidR="00971258">
        <w:rPr>
          <w:rFonts w:ascii="Times New Roman" w:hAnsi="Times New Roman"/>
          <w:color w:val="231F20"/>
          <w:sz w:val="24"/>
          <w:szCs w:val="24"/>
        </w:rPr>
        <w:fldChar w:fldCharType="begin" w:fldLock="1"/>
      </w:r>
      <w:r w:rsidR="00EF5877">
        <w:rPr>
          <w:rFonts w:ascii="Times New Roman" w:hAnsi="Times New Roman"/>
          <w:color w:val="231F20"/>
          <w:sz w:val="24"/>
          <w:szCs w:val="24"/>
        </w:rPr>
        <w:instrText>ADDIN CSL_CITATION {"citationItems":[{"id":"ITEM-1","itemData":{"author":[{"dropping-particle":"","family":"State Planning Comission ; Government of Tamilnadu","given":"","non-dropping-particle":"","parse-names":false,"suffix":""}],"id":"ITEM-1","issued":{"date-parts":[["2017"]]},"title":"Status of Human Development","type":"report"},"uris":["http://www.mendeley.com/documents/?uuid=60b3c71c-8935-4f2e-b3b9-902a694ed0bc"]}],"mendeley":{"formattedCitation":"&lt;sup&gt;14&lt;/sup&gt;","plainTextFormattedCitation":"14","previouslyFormattedCitation":"&lt;sup&gt;14&lt;/sup&gt;"},"properties":{"noteIndex":0},"schema":"https://github.com/citation-style-language/schema/raw/master/csl-citation.json"}</w:instrText>
      </w:r>
      <w:r w:rsidR="00971258">
        <w:rPr>
          <w:rFonts w:ascii="Times New Roman" w:hAnsi="Times New Roman"/>
          <w:color w:val="231F20"/>
          <w:sz w:val="24"/>
          <w:szCs w:val="24"/>
        </w:rPr>
        <w:fldChar w:fldCharType="separate"/>
      </w:r>
      <w:r w:rsidR="00971258" w:rsidRPr="00815AA9">
        <w:rPr>
          <w:rFonts w:ascii="Times New Roman" w:hAnsi="Times New Roman"/>
          <w:noProof/>
          <w:color w:val="231F20"/>
          <w:sz w:val="24"/>
          <w:szCs w:val="24"/>
          <w:vertAlign w:val="superscript"/>
        </w:rPr>
        <w:t>14</w:t>
      </w:r>
      <w:r w:rsidR="00971258">
        <w:rPr>
          <w:rFonts w:ascii="Times New Roman" w:hAnsi="Times New Roman"/>
          <w:color w:val="231F20"/>
          <w:sz w:val="24"/>
          <w:szCs w:val="24"/>
        </w:rPr>
        <w:fldChar w:fldCharType="end"/>
      </w:r>
      <w:r w:rsidR="008F4FE0">
        <w:rPr>
          <w:rFonts w:ascii="Times New Roman" w:hAnsi="Times New Roman"/>
          <w:color w:val="231F20"/>
          <w:sz w:val="24"/>
          <w:szCs w:val="24"/>
        </w:rPr>
        <w:t xml:space="preserve"> Based on HDI, t</w:t>
      </w:r>
      <w:r w:rsidRPr="00E91A88">
        <w:rPr>
          <w:rFonts w:ascii="Times New Roman" w:hAnsi="Times New Roman"/>
          <w:color w:val="231F20"/>
          <w:sz w:val="24"/>
          <w:szCs w:val="24"/>
        </w:rPr>
        <w:t>he districts were then ranked and grouped into ter</w:t>
      </w:r>
      <w:r w:rsidR="005662ED">
        <w:rPr>
          <w:rFonts w:ascii="Times New Roman" w:hAnsi="Times New Roman"/>
          <w:color w:val="231F20"/>
          <w:sz w:val="24"/>
          <w:szCs w:val="24"/>
        </w:rPr>
        <w:t>tiles</w:t>
      </w:r>
      <w:r w:rsidR="00362BA1" w:rsidRPr="00E91A88">
        <w:rPr>
          <w:rFonts w:ascii="Times New Roman" w:hAnsi="Times New Roman"/>
          <w:color w:val="231F20"/>
          <w:sz w:val="24"/>
          <w:szCs w:val="24"/>
        </w:rPr>
        <w:t xml:space="preserve"> and categorized as high, middle and low</w:t>
      </w:r>
      <w:r w:rsidRPr="00E91A88">
        <w:rPr>
          <w:rFonts w:ascii="Times New Roman" w:hAnsi="Times New Roman"/>
          <w:color w:val="231F20"/>
          <w:sz w:val="24"/>
          <w:szCs w:val="24"/>
        </w:rPr>
        <w:t xml:space="preserve"> </w:t>
      </w:r>
      <w:r w:rsidR="00E87F98" w:rsidRPr="00E91A88">
        <w:rPr>
          <w:rFonts w:ascii="Times New Roman" w:hAnsi="Times New Roman"/>
          <w:color w:val="231F20"/>
          <w:sz w:val="24"/>
          <w:szCs w:val="24"/>
        </w:rPr>
        <w:t>development</w:t>
      </w:r>
      <w:r w:rsidRPr="00E91A88">
        <w:rPr>
          <w:rFonts w:ascii="Times New Roman" w:hAnsi="Times New Roman"/>
          <w:color w:val="231F20"/>
          <w:sz w:val="24"/>
          <w:szCs w:val="24"/>
        </w:rPr>
        <w:t xml:space="preserve"> groups</w:t>
      </w:r>
      <w:r w:rsidR="00362BA1" w:rsidRPr="00E91A88">
        <w:rPr>
          <w:rFonts w:ascii="Times New Roman" w:hAnsi="Times New Roman"/>
          <w:color w:val="231F20"/>
          <w:sz w:val="24"/>
          <w:szCs w:val="24"/>
        </w:rPr>
        <w:t xml:space="preserve"> which </w:t>
      </w:r>
      <w:r w:rsidR="008F4FE0">
        <w:rPr>
          <w:rFonts w:ascii="Times New Roman" w:hAnsi="Times New Roman"/>
          <w:color w:val="231F20"/>
          <w:sz w:val="24"/>
          <w:szCs w:val="24"/>
        </w:rPr>
        <w:t>is</w:t>
      </w:r>
      <w:r w:rsidR="00362BA1" w:rsidRPr="00E91A88">
        <w:rPr>
          <w:rFonts w:ascii="Times New Roman" w:hAnsi="Times New Roman"/>
          <w:color w:val="231F20"/>
          <w:sz w:val="24"/>
          <w:szCs w:val="24"/>
        </w:rPr>
        <w:t xml:space="preserve"> denoted as HDD, MDD, LDD respectively in this paper</w:t>
      </w:r>
      <w:r w:rsidRPr="00E91A88">
        <w:rPr>
          <w:rFonts w:ascii="Times New Roman" w:hAnsi="Times New Roman"/>
          <w:color w:val="231F20"/>
          <w:sz w:val="24"/>
          <w:szCs w:val="24"/>
        </w:rPr>
        <w:t xml:space="preserve">. </w:t>
      </w:r>
    </w:p>
    <w:p w14:paraId="0E062705" w14:textId="77777777" w:rsidR="008B5959" w:rsidRDefault="008B5959" w:rsidP="008B5959">
      <w:pPr>
        <w:pStyle w:val="ColorfulList-Accent11"/>
        <w:autoSpaceDE w:val="0"/>
        <w:autoSpaceDN w:val="0"/>
        <w:adjustRightInd w:val="0"/>
        <w:spacing w:after="0" w:line="240" w:lineRule="auto"/>
        <w:ind w:left="-90" w:right="26" w:firstLine="90"/>
        <w:rPr>
          <w:rFonts w:ascii="Times New Roman" w:hAnsi="Times New Roman"/>
          <w:color w:val="231F20"/>
          <w:sz w:val="24"/>
          <w:szCs w:val="24"/>
        </w:rPr>
      </w:pPr>
    </w:p>
    <w:p w14:paraId="32C75ECE" w14:textId="42D6CAAA" w:rsidR="007A1398" w:rsidRDefault="00AB0F8A" w:rsidP="008B5959">
      <w:pPr>
        <w:pStyle w:val="ColorfulList-Accent11"/>
        <w:autoSpaceDE w:val="0"/>
        <w:autoSpaceDN w:val="0"/>
        <w:adjustRightInd w:val="0"/>
        <w:spacing w:after="0" w:line="240" w:lineRule="auto"/>
        <w:ind w:left="-90" w:right="26" w:firstLine="90"/>
        <w:rPr>
          <w:rFonts w:ascii="Times New Roman" w:hAnsi="Times New Roman"/>
          <w:color w:val="231F20"/>
          <w:sz w:val="24"/>
          <w:szCs w:val="24"/>
        </w:rPr>
      </w:pPr>
      <w:r w:rsidRPr="00E91A88">
        <w:rPr>
          <w:rFonts w:ascii="Times New Roman" w:hAnsi="Times New Roman"/>
          <w:color w:val="231F20"/>
          <w:sz w:val="24"/>
          <w:szCs w:val="24"/>
        </w:rPr>
        <w:t xml:space="preserve">Data on </w:t>
      </w:r>
      <w:r w:rsidR="00421918">
        <w:rPr>
          <w:rFonts w:ascii="Times New Roman" w:hAnsi="Times New Roman"/>
          <w:color w:val="231F20"/>
          <w:sz w:val="24"/>
          <w:szCs w:val="24"/>
        </w:rPr>
        <w:t>empaneled</w:t>
      </w:r>
      <w:r w:rsidRPr="00E91A88">
        <w:rPr>
          <w:rFonts w:ascii="Times New Roman" w:hAnsi="Times New Roman"/>
          <w:color w:val="231F20"/>
          <w:sz w:val="24"/>
          <w:szCs w:val="24"/>
        </w:rPr>
        <w:t xml:space="preserve"> h</w:t>
      </w:r>
      <w:r w:rsidR="008F2536">
        <w:rPr>
          <w:rFonts w:ascii="Times New Roman" w:hAnsi="Times New Roman"/>
          <w:color w:val="231F20"/>
          <w:sz w:val="24"/>
          <w:szCs w:val="24"/>
        </w:rPr>
        <w:t xml:space="preserve">ospitals was obtained from the </w:t>
      </w:r>
      <w:r w:rsidR="008E7A4D">
        <w:rPr>
          <w:rFonts w:ascii="Times New Roman" w:hAnsi="Times New Roman"/>
          <w:color w:val="231F20"/>
          <w:sz w:val="24"/>
          <w:szCs w:val="24"/>
        </w:rPr>
        <w:t>CMCHIS website.</w:t>
      </w:r>
      <w:r w:rsidR="00D46E77">
        <w:rPr>
          <w:rFonts w:ascii="Times New Roman" w:hAnsi="Times New Roman"/>
          <w:color w:val="231F20"/>
          <w:sz w:val="24"/>
          <w:szCs w:val="24"/>
        </w:rPr>
        <w:fldChar w:fldCharType="begin" w:fldLock="1"/>
      </w:r>
      <w:r w:rsidR="007C637A">
        <w:rPr>
          <w:rFonts w:ascii="Times New Roman" w:hAnsi="Times New Roman"/>
          <w:color w:val="231F20"/>
          <w:sz w:val="24"/>
          <w:szCs w:val="24"/>
        </w:rPr>
        <w:instrText>ADDIN CSL_CITATION {"citationItems":[{"id":"ITEM-1","itemData":{"URL":"https://www.cmchistn.com/hospitalList.php","accessed":{"date-parts":[["2019","3","27"]]},"id":"ITEM-1","issued":{"date-parts":[["0"]]},"title":"Chief Minister's Comprehensive Health Insurance Scheme","type":"webpage"},"uris":["http://www.mendeley.com/documents/?uuid=345ffa37-20a8-3cae-8163-c4e28417232f"]}],"mendeley":{"formattedCitation":"&lt;sup&gt;7&lt;/sup&gt;","plainTextFormattedCitation":"7","previouslyFormattedCitation":"&lt;sup&gt;7&lt;/sup&gt;"},"properties":{"noteIndex":0},"schema":"https://github.com/citation-style-language/schema/raw/master/csl-citation.json"}</w:instrText>
      </w:r>
      <w:r w:rsidR="00D46E77">
        <w:rPr>
          <w:rFonts w:ascii="Times New Roman" w:hAnsi="Times New Roman"/>
          <w:color w:val="231F20"/>
          <w:sz w:val="24"/>
          <w:szCs w:val="24"/>
        </w:rPr>
        <w:fldChar w:fldCharType="separate"/>
      </w:r>
      <w:r w:rsidR="007C637A" w:rsidRPr="007C637A">
        <w:rPr>
          <w:rFonts w:ascii="Times New Roman" w:hAnsi="Times New Roman"/>
          <w:noProof/>
          <w:color w:val="231F20"/>
          <w:sz w:val="24"/>
          <w:szCs w:val="24"/>
          <w:vertAlign w:val="superscript"/>
        </w:rPr>
        <w:t>7</w:t>
      </w:r>
      <w:r w:rsidR="00D46E77">
        <w:rPr>
          <w:rFonts w:ascii="Times New Roman" w:hAnsi="Times New Roman"/>
          <w:color w:val="231F20"/>
          <w:sz w:val="24"/>
          <w:szCs w:val="24"/>
        </w:rPr>
        <w:fldChar w:fldCharType="end"/>
      </w:r>
      <w:r w:rsidRPr="00E91A88">
        <w:rPr>
          <w:rFonts w:ascii="Times New Roman" w:hAnsi="Times New Roman"/>
          <w:color w:val="231F20"/>
          <w:sz w:val="24"/>
          <w:szCs w:val="24"/>
        </w:rPr>
        <w:t xml:space="preserve">The </w:t>
      </w:r>
      <w:r w:rsidR="005C2787" w:rsidRPr="00E91A88">
        <w:rPr>
          <w:rFonts w:ascii="Times New Roman" w:hAnsi="Times New Roman"/>
          <w:color w:val="231F20"/>
          <w:sz w:val="24"/>
          <w:szCs w:val="24"/>
        </w:rPr>
        <w:t>enrolment and claims</w:t>
      </w:r>
      <w:r w:rsidR="00366C43" w:rsidRPr="00E91A88">
        <w:rPr>
          <w:rFonts w:ascii="Times New Roman" w:hAnsi="Times New Roman"/>
          <w:color w:val="231F20"/>
          <w:sz w:val="24"/>
          <w:szCs w:val="24"/>
        </w:rPr>
        <w:t xml:space="preserve"> for the financial year 2017 -18 in Tamilnadu</w:t>
      </w:r>
      <w:r w:rsidR="005C2787" w:rsidRPr="00E91A88">
        <w:rPr>
          <w:rFonts w:ascii="Times New Roman" w:hAnsi="Times New Roman"/>
          <w:color w:val="231F20"/>
          <w:sz w:val="24"/>
          <w:szCs w:val="24"/>
        </w:rPr>
        <w:t xml:space="preserve"> were accessed from the</w:t>
      </w:r>
      <w:r w:rsidR="005662ED">
        <w:rPr>
          <w:rFonts w:ascii="Times New Roman" w:hAnsi="Times New Roman"/>
          <w:color w:val="231F20"/>
          <w:sz w:val="24"/>
          <w:szCs w:val="24"/>
        </w:rPr>
        <w:t xml:space="preserve"> state implementing agency.</w:t>
      </w:r>
      <w:r w:rsidR="00421918">
        <w:rPr>
          <w:rFonts w:ascii="Times New Roman" w:hAnsi="Times New Roman"/>
          <w:color w:val="231F20"/>
          <w:sz w:val="24"/>
          <w:szCs w:val="24"/>
        </w:rPr>
        <w:t xml:space="preserve"> </w:t>
      </w:r>
      <w:r w:rsidR="00971258" w:rsidRPr="00E91A88">
        <w:rPr>
          <w:rFonts w:ascii="Times New Roman" w:hAnsi="Times New Roman"/>
          <w:sz w:val="24"/>
          <w:szCs w:val="24"/>
        </w:rPr>
        <w:t xml:space="preserve">First, the relationship between HDI and health insurance indicators was examined across the 32 districts of the state. </w:t>
      </w:r>
      <w:r w:rsidR="008F4FE0">
        <w:rPr>
          <w:rFonts w:ascii="Times New Roman" w:hAnsi="Times New Roman"/>
          <w:sz w:val="24"/>
          <w:szCs w:val="24"/>
        </w:rPr>
        <w:t>Under CMCHIS, any  family whose</w:t>
      </w:r>
      <w:r w:rsidR="008F4FE0">
        <w:rPr>
          <w:rFonts w:ascii="Times New Roman" w:hAnsi="Times New Roman"/>
          <w:sz w:val="24"/>
          <w:szCs w:val="24"/>
        </w:rPr>
        <w:tab/>
        <w:t>annual</w:t>
      </w:r>
      <w:r w:rsidR="008F4FE0">
        <w:rPr>
          <w:rFonts w:ascii="Times New Roman" w:hAnsi="Times New Roman"/>
          <w:sz w:val="24"/>
          <w:szCs w:val="24"/>
        </w:rPr>
        <w:tab/>
        <w:t>income</w:t>
      </w:r>
      <w:r w:rsidR="008F4FE0">
        <w:rPr>
          <w:rFonts w:ascii="Times New Roman" w:hAnsi="Times New Roman"/>
          <w:sz w:val="24"/>
          <w:szCs w:val="24"/>
        </w:rPr>
        <w:tab/>
        <w:t xml:space="preserve"> is Rs 72,000 or less is enrolled. Family includes </w:t>
      </w:r>
      <w:r w:rsidR="008F4FE0" w:rsidRPr="008F4FE0">
        <w:rPr>
          <w:rFonts w:ascii="Times New Roman" w:hAnsi="Times New Roman"/>
          <w:sz w:val="24"/>
          <w:szCs w:val="24"/>
        </w:rPr>
        <w:t xml:space="preserve">the eligible member and his or her family, which includes 1. the legal spouse, 2. children of the eligible person till they get employed or married or attain the age of 25 years, whichever is earlier, and who are dependent on the eligible person, and 3. Dependent parents of the eligible person. </w:t>
      </w:r>
      <w:r w:rsidR="008F4FE0" w:rsidRPr="008F4FE0">
        <w:rPr>
          <w:rFonts w:ascii="Times New Roman" w:hAnsi="Times New Roman"/>
          <w:color w:val="231F20"/>
          <w:sz w:val="24"/>
          <w:szCs w:val="24"/>
        </w:rPr>
        <w:t>Thus the enrolment data that is available in the CMCHIS is the family enrolment.</w:t>
      </w:r>
      <w:r w:rsidR="008F4FE0">
        <w:rPr>
          <w:rFonts w:ascii="Times New Roman" w:hAnsi="Times New Roman"/>
          <w:b/>
          <w:bCs/>
          <w:color w:val="231F20"/>
          <w:sz w:val="24"/>
          <w:szCs w:val="24"/>
        </w:rPr>
        <w:t xml:space="preserve"> </w:t>
      </w:r>
      <w:r w:rsidR="005662ED">
        <w:rPr>
          <w:rFonts w:ascii="Times New Roman" w:hAnsi="Times New Roman"/>
          <w:color w:val="231F20"/>
          <w:sz w:val="24"/>
          <w:szCs w:val="24"/>
        </w:rPr>
        <w:t>Overall enrolment is calculated by mul</w:t>
      </w:r>
      <w:r w:rsidR="006E09F3">
        <w:rPr>
          <w:rFonts w:ascii="Times New Roman" w:hAnsi="Times New Roman"/>
          <w:color w:val="231F20"/>
          <w:sz w:val="24"/>
          <w:szCs w:val="24"/>
        </w:rPr>
        <w:t xml:space="preserve">tiplying family enrolment data </w:t>
      </w:r>
      <w:r w:rsidR="005662ED">
        <w:rPr>
          <w:rFonts w:ascii="Times New Roman" w:hAnsi="Times New Roman"/>
          <w:color w:val="231F20"/>
          <w:sz w:val="24"/>
          <w:szCs w:val="24"/>
        </w:rPr>
        <w:t xml:space="preserve">with 2.7 to adjust for the family size. </w:t>
      </w:r>
      <w:r w:rsidR="008F2536">
        <w:rPr>
          <w:rFonts w:ascii="Times New Roman" w:hAnsi="Times New Roman"/>
          <w:color w:val="231F20"/>
          <w:sz w:val="24"/>
          <w:szCs w:val="24"/>
        </w:rPr>
        <w:t xml:space="preserve">CMCHIS </w:t>
      </w:r>
      <w:r w:rsidR="00366C43" w:rsidRPr="00E91A88">
        <w:rPr>
          <w:rFonts w:ascii="Times New Roman" w:hAnsi="Times New Roman"/>
          <w:color w:val="231F20"/>
          <w:sz w:val="24"/>
          <w:szCs w:val="24"/>
        </w:rPr>
        <w:t xml:space="preserve">enrolment rate was computed per 100,000 population for each district. Availability of hospital services was calculated as the number of </w:t>
      </w:r>
      <w:r w:rsidR="00421918">
        <w:rPr>
          <w:rFonts w:ascii="Times New Roman" w:hAnsi="Times New Roman"/>
          <w:color w:val="231F20"/>
          <w:sz w:val="24"/>
          <w:szCs w:val="24"/>
        </w:rPr>
        <w:t>empaneled</w:t>
      </w:r>
      <w:r w:rsidR="00366C43" w:rsidRPr="00E91A88">
        <w:rPr>
          <w:rFonts w:ascii="Times New Roman" w:hAnsi="Times New Roman"/>
          <w:color w:val="231F20"/>
          <w:sz w:val="24"/>
          <w:szCs w:val="24"/>
        </w:rPr>
        <w:t xml:space="preserve"> (public and private) hospitals per 100,000</w:t>
      </w:r>
      <w:r w:rsidR="00366C43" w:rsidRPr="00E91A88">
        <w:rPr>
          <w:rFonts w:ascii="Times New Roman" w:hAnsi="Times New Roman"/>
          <w:sz w:val="24"/>
          <w:szCs w:val="24"/>
        </w:rPr>
        <w:t xml:space="preserve"> </w:t>
      </w:r>
      <w:r w:rsidR="005662ED">
        <w:rPr>
          <w:rFonts w:ascii="Times New Roman" w:hAnsi="Times New Roman"/>
          <w:sz w:val="24"/>
          <w:szCs w:val="24"/>
        </w:rPr>
        <w:t xml:space="preserve">families </w:t>
      </w:r>
      <w:r w:rsidR="003B23F1">
        <w:rPr>
          <w:rFonts w:ascii="Times New Roman" w:hAnsi="Times New Roman"/>
          <w:color w:val="231F20"/>
          <w:sz w:val="24"/>
          <w:szCs w:val="24"/>
        </w:rPr>
        <w:t>enrolled. Utilization is calculated in two way</w:t>
      </w:r>
      <w:r w:rsidR="007A1398">
        <w:rPr>
          <w:rFonts w:ascii="Times New Roman" w:hAnsi="Times New Roman"/>
          <w:color w:val="231F20"/>
          <w:sz w:val="24"/>
          <w:szCs w:val="24"/>
        </w:rPr>
        <w:t>s. One is number of claims made by people living in the district per one lakh families enrolled. The other one is the</w:t>
      </w:r>
      <w:r w:rsidR="005662ED">
        <w:rPr>
          <w:rFonts w:ascii="Times New Roman" w:hAnsi="Times New Roman"/>
          <w:color w:val="231F20"/>
          <w:sz w:val="24"/>
          <w:szCs w:val="24"/>
        </w:rPr>
        <w:t xml:space="preserve"> number of c</w:t>
      </w:r>
      <w:r w:rsidR="00366C43" w:rsidRPr="00E91A88">
        <w:rPr>
          <w:rFonts w:ascii="Times New Roman" w:hAnsi="Times New Roman"/>
          <w:color w:val="231F20"/>
          <w:sz w:val="24"/>
          <w:szCs w:val="24"/>
        </w:rPr>
        <w:t xml:space="preserve">laims </w:t>
      </w:r>
      <w:r w:rsidR="003842D9" w:rsidRPr="00E91A88">
        <w:rPr>
          <w:rFonts w:ascii="Times New Roman" w:hAnsi="Times New Roman"/>
          <w:color w:val="231F20"/>
          <w:sz w:val="24"/>
          <w:szCs w:val="24"/>
        </w:rPr>
        <w:t xml:space="preserve">made by hospitals </w:t>
      </w:r>
      <w:r w:rsidR="00366C43" w:rsidRPr="00E91A88">
        <w:rPr>
          <w:rFonts w:ascii="Times New Roman" w:hAnsi="Times New Roman"/>
          <w:color w:val="231F20"/>
          <w:sz w:val="24"/>
          <w:szCs w:val="24"/>
        </w:rPr>
        <w:t xml:space="preserve">under CMCHIS per 100,000 enrolled. </w:t>
      </w:r>
      <w:r w:rsidR="007A1398">
        <w:rPr>
          <w:rFonts w:ascii="Times New Roman" w:hAnsi="Times New Roman"/>
          <w:color w:val="231F20"/>
          <w:sz w:val="24"/>
          <w:szCs w:val="24"/>
        </w:rPr>
        <w:t xml:space="preserve"> The reason for considering these two indicators is because the services for the claims made by people in a particular district could have been obtained from hospitals of other districts.</w:t>
      </w:r>
    </w:p>
    <w:p w14:paraId="13DD7E3B" w14:textId="77777777" w:rsidR="008B5959" w:rsidRDefault="008B5959" w:rsidP="008B5959">
      <w:pPr>
        <w:pStyle w:val="ColorfulList-Accent11"/>
        <w:autoSpaceDE w:val="0"/>
        <w:autoSpaceDN w:val="0"/>
        <w:adjustRightInd w:val="0"/>
        <w:spacing w:after="0" w:line="240" w:lineRule="auto"/>
        <w:ind w:left="-90" w:right="26" w:firstLine="90"/>
        <w:rPr>
          <w:rFonts w:ascii="Times New Roman" w:hAnsi="Times New Roman"/>
          <w:color w:val="231F20"/>
          <w:sz w:val="24"/>
          <w:szCs w:val="24"/>
        </w:rPr>
      </w:pPr>
    </w:p>
    <w:p w14:paraId="258CD1DD" w14:textId="33406CA2" w:rsidR="006C2E7C" w:rsidRDefault="003D47F2"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r>
        <w:rPr>
          <w:rFonts w:ascii="Times New Roman" w:hAnsi="Times New Roman"/>
          <w:color w:val="231F20"/>
          <w:sz w:val="24"/>
          <w:szCs w:val="24"/>
        </w:rPr>
        <w:t>Th</w:t>
      </w:r>
      <w:r w:rsidR="003842D9" w:rsidRPr="00E91A88">
        <w:rPr>
          <w:rFonts w:ascii="Times New Roman" w:hAnsi="Times New Roman"/>
          <w:color w:val="231F20"/>
          <w:sz w:val="24"/>
          <w:szCs w:val="24"/>
        </w:rPr>
        <w:t>e relat</w:t>
      </w:r>
      <w:r w:rsidR="008F4FE0">
        <w:rPr>
          <w:rFonts w:ascii="Times New Roman" w:hAnsi="Times New Roman"/>
          <w:color w:val="231F20"/>
          <w:sz w:val="24"/>
          <w:szCs w:val="24"/>
        </w:rPr>
        <w:t xml:space="preserve">ionship between enrolment ratio, hospital availability, number of claims made </w:t>
      </w:r>
      <w:r w:rsidR="003842D9" w:rsidRPr="00E91A88">
        <w:rPr>
          <w:rFonts w:ascii="Times New Roman" w:hAnsi="Times New Roman"/>
          <w:color w:val="231F20"/>
          <w:sz w:val="24"/>
          <w:szCs w:val="24"/>
        </w:rPr>
        <w:t xml:space="preserve"> and </w:t>
      </w:r>
      <w:r>
        <w:rPr>
          <w:rFonts w:ascii="Times New Roman" w:hAnsi="Times New Roman"/>
          <w:color w:val="231F20"/>
          <w:sz w:val="24"/>
          <w:szCs w:val="24"/>
        </w:rPr>
        <w:t xml:space="preserve">HDI </w:t>
      </w:r>
      <w:r w:rsidR="003842D9" w:rsidRPr="00E91A88">
        <w:rPr>
          <w:rFonts w:ascii="Times New Roman" w:hAnsi="Times New Roman"/>
          <w:color w:val="231F20"/>
          <w:sz w:val="24"/>
          <w:szCs w:val="24"/>
        </w:rPr>
        <w:t xml:space="preserve">across districts was examined using Pearson’s Correlation analysis. Similar correlation matrix was built for public and private </w:t>
      </w:r>
      <w:r w:rsidR="008F4FE0">
        <w:rPr>
          <w:rFonts w:ascii="Times New Roman" w:hAnsi="Times New Roman"/>
          <w:color w:val="231F20"/>
          <w:sz w:val="24"/>
          <w:szCs w:val="24"/>
        </w:rPr>
        <w:t>sector respectively</w:t>
      </w:r>
      <w:r w:rsidR="00BA1869" w:rsidRPr="00E91A88">
        <w:rPr>
          <w:rFonts w:ascii="Times New Roman" w:hAnsi="Times New Roman"/>
          <w:color w:val="231F20"/>
          <w:sz w:val="24"/>
          <w:szCs w:val="24"/>
        </w:rPr>
        <w:t xml:space="preserve">. </w:t>
      </w:r>
      <w:r w:rsidR="003842D9" w:rsidRPr="00E91A88">
        <w:rPr>
          <w:rFonts w:ascii="Times New Roman" w:hAnsi="Times New Roman"/>
          <w:color w:val="231F20"/>
          <w:sz w:val="24"/>
          <w:szCs w:val="24"/>
        </w:rPr>
        <w:t>Significance was assessed a</w:t>
      </w:r>
      <w:r>
        <w:rPr>
          <w:rFonts w:ascii="Times New Roman" w:hAnsi="Times New Roman"/>
          <w:color w:val="231F20"/>
          <w:sz w:val="24"/>
          <w:szCs w:val="24"/>
        </w:rPr>
        <w:t>t</w:t>
      </w:r>
      <w:r w:rsidR="003842D9" w:rsidRPr="00E91A88">
        <w:rPr>
          <w:rFonts w:ascii="Times New Roman" w:hAnsi="Times New Roman"/>
          <w:color w:val="231F20"/>
          <w:sz w:val="24"/>
          <w:szCs w:val="24"/>
        </w:rPr>
        <w:t xml:space="preserve"> the 0.05 level. </w:t>
      </w:r>
      <w:r>
        <w:rPr>
          <w:rFonts w:ascii="Times New Roman" w:hAnsi="Times New Roman"/>
          <w:color w:val="231F20"/>
          <w:sz w:val="24"/>
          <w:szCs w:val="24"/>
        </w:rPr>
        <w:t>A</w:t>
      </w:r>
      <w:r w:rsidR="003842D9" w:rsidRPr="00E91A88">
        <w:rPr>
          <w:rFonts w:ascii="Times New Roman" w:hAnsi="Times New Roman"/>
          <w:color w:val="231F20"/>
          <w:sz w:val="24"/>
          <w:szCs w:val="24"/>
        </w:rPr>
        <w:t xml:space="preserve"> comparative analysis of the three </w:t>
      </w:r>
      <w:r w:rsidR="00BA1869" w:rsidRPr="00E91A88">
        <w:rPr>
          <w:rFonts w:ascii="Times New Roman" w:hAnsi="Times New Roman"/>
          <w:color w:val="231F20"/>
          <w:sz w:val="24"/>
          <w:szCs w:val="24"/>
        </w:rPr>
        <w:t xml:space="preserve">development </w:t>
      </w:r>
      <w:r>
        <w:rPr>
          <w:rFonts w:ascii="Times New Roman" w:hAnsi="Times New Roman"/>
          <w:color w:val="231F20"/>
          <w:sz w:val="24"/>
          <w:szCs w:val="24"/>
        </w:rPr>
        <w:t xml:space="preserve">groups(HDD, MDD, LDD) </w:t>
      </w:r>
      <w:r w:rsidR="003842D9" w:rsidRPr="00E91A88">
        <w:rPr>
          <w:rFonts w:ascii="Times New Roman" w:hAnsi="Times New Roman"/>
          <w:color w:val="231F20"/>
          <w:sz w:val="24"/>
          <w:szCs w:val="24"/>
        </w:rPr>
        <w:t xml:space="preserve">was done with respect to </w:t>
      </w:r>
      <w:r w:rsidR="008F4FE0">
        <w:rPr>
          <w:rFonts w:ascii="Times New Roman" w:hAnsi="Times New Roman"/>
          <w:color w:val="231F20"/>
          <w:sz w:val="24"/>
          <w:szCs w:val="24"/>
        </w:rPr>
        <w:t>enrolment ratio</w:t>
      </w:r>
      <w:r w:rsidR="003842D9" w:rsidRPr="00E91A88">
        <w:rPr>
          <w:rFonts w:ascii="Times New Roman" w:hAnsi="Times New Roman"/>
          <w:color w:val="231F20"/>
          <w:sz w:val="24"/>
          <w:szCs w:val="24"/>
        </w:rPr>
        <w:t xml:space="preserve">,  hospitals </w:t>
      </w:r>
      <w:r w:rsidR="008F4FE0" w:rsidRPr="00E91A88">
        <w:rPr>
          <w:rFonts w:ascii="Times New Roman" w:hAnsi="Times New Roman"/>
          <w:color w:val="231F20"/>
          <w:sz w:val="24"/>
          <w:szCs w:val="24"/>
        </w:rPr>
        <w:t xml:space="preserve">availability </w:t>
      </w:r>
      <w:r w:rsidR="003842D9" w:rsidRPr="00E91A88">
        <w:rPr>
          <w:rFonts w:ascii="Times New Roman" w:hAnsi="Times New Roman"/>
          <w:color w:val="231F20"/>
          <w:sz w:val="24"/>
          <w:szCs w:val="24"/>
        </w:rPr>
        <w:t xml:space="preserve">and number of claims made in the districts, using ratio. </w:t>
      </w:r>
      <w:r w:rsidR="007A1398" w:rsidRPr="00E91A88">
        <w:rPr>
          <w:rFonts w:ascii="Times New Roman" w:hAnsi="Times New Roman"/>
          <w:color w:val="231F20"/>
          <w:sz w:val="24"/>
          <w:szCs w:val="24"/>
        </w:rPr>
        <w:t xml:space="preserve">Ratios </w:t>
      </w:r>
      <w:r w:rsidR="008F4FE0">
        <w:rPr>
          <w:rFonts w:ascii="Times New Roman" w:hAnsi="Times New Roman"/>
          <w:color w:val="231F20"/>
          <w:sz w:val="24"/>
          <w:szCs w:val="24"/>
        </w:rPr>
        <w:t xml:space="preserve">for LDD : </w:t>
      </w:r>
      <w:r w:rsidR="007A1398">
        <w:rPr>
          <w:rFonts w:ascii="Times New Roman" w:hAnsi="Times New Roman"/>
          <w:color w:val="231F20"/>
          <w:sz w:val="24"/>
          <w:szCs w:val="24"/>
        </w:rPr>
        <w:t xml:space="preserve">HDD </w:t>
      </w:r>
      <w:r w:rsidR="007A1398" w:rsidRPr="00E91A88">
        <w:rPr>
          <w:rFonts w:ascii="Times New Roman" w:hAnsi="Times New Roman"/>
          <w:color w:val="231F20"/>
          <w:sz w:val="24"/>
          <w:szCs w:val="24"/>
        </w:rPr>
        <w:t xml:space="preserve">and </w:t>
      </w:r>
      <w:r w:rsidR="008F4FE0">
        <w:rPr>
          <w:rFonts w:ascii="Times New Roman" w:hAnsi="Times New Roman"/>
          <w:color w:val="231F20"/>
          <w:sz w:val="24"/>
          <w:szCs w:val="24"/>
        </w:rPr>
        <w:t xml:space="preserve">MDD : HDD </w:t>
      </w:r>
      <w:r w:rsidR="007A1398" w:rsidRPr="00E91A88">
        <w:rPr>
          <w:rFonts w:ascii="Times New Roman" w:hAnsi="Times New Roman"/>
          <w:color w:val="231F20"/>
          <w:sz w:val="24"/>
          <w:szCs w:val="24"/>
        </w:rPr>
        <w:t>were calculated for each indicator.</w:t>
      </w:r>
    </w:p>
    <w:p w14:paraId="49945C77" w14:textId="5BAC245C" w:rsidR="008B5959" w:rsidRDefault="008B5959"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p>
    <w:p w14:paraId="75FBC32C" w14:textId="77777777" w:rsidR="008B5959" w:rsidRDefault="008B5959"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p>
    <w:p w14:paraId="2CDF6067" w14:textId="77777777" w:rsidR="00C83CEE" w:rsidRPr="00E91A88" w:rsidRDefault="003777E8" w:rsidP="008B5959">
      <w:pPr>
        <w:pStyle w:val="ColorfulList-Accent11"/>
        <w:autoSpaceDE w:val="0"/>
        <w:autoSpaceDN w:val="0"/>
        <w:adjustRightInd w:val="0"/>
        <w:spacing w:after="0" w:line="240" w:lineRule="auto"/>
        <w:ind w:left="-90" w:right="26" w:firstLine="90"/>
        <w:rPr>
          <w:rFonts w:ascii="Times New Roman" w:hAnsi="Times New Roman"/>
          <w:b/>
          <w:bCs/>
          <w:color w:val="231F20"/>
          <w:sz w:val="24"/>
          <w:szCs w:val="24"/>
        </w:rPr>
      </w:pPr>
      <w:r w:rsidRPr="00E91A88">
        <w:rPr>
          <w:rFonts w:ascii="Times New Roman" w:hAnsi="Times New Roman"/>
          <w:b/>
          <w:bCs/>
          <w:color w:val="231F20"/>
          <w:sz w:val="24"/>
          <w:szCs w:val="24"/>
        </w:rPr>
        <w:t>Results</w:t>
      </w:r>
      <w:r w:rsidR="00CF3A56" w:rsidRPr="00E91A88">
        <w:rPr>
          <w:rFonts w:ascii="Times New Roman" w:hAnsi="Times New Roman"/>
          <w:b/>
          <w:bCs/>
          <w:color w:val="231F20"/>
          <w:sz w:val="24"/>
          <w:szCs w:val="24"/>
        </w:rPr>
        <w:t>:</w:t>
      </w:r>
    </w:p>
    <w:p w14:paraId="10822A4F" w14:textId="13650548" w:rsidR="00CF3A56" w:rsidRPr="00E91A88" w:rsidRDefault="00CF3A56"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r w:rsidRPr="00E91A88">
        <w:rPr>
          <w:rFonts w:ascii="Times New Roman" w:hAnsi="Times New Roman"/>
          <w:color w:val="231F20"/>
          <w:sz w:val="24"/>
          <w:szCs w:val="24"/>
        </w:rPr>
        <w:t>Descriptive statistics on</w:t>
      </w:r>
      <w:r w:rsidR="008F4FE0">
        <w:rPr>
          <w:rFonts w:ascii="Times New Roman" w:hAnsi="Times New Roman"/>
          <w:color w:val="231F20"/>
          <w:sz w:val="24"/>
          <w:szCs w:val="24"/>
        </w:rPr>
        <w:t xml:space="preserve"> the district wise details of CMCHIS related </w:t>
      </w:r>
      <w:r w:rsidR="000C0A2B" w:rsidRPr="00E91A88">
        <w:rPr>
          <w:rFonts w:ascii="Times New Roman" w:hAnsi="Times New Roman"/>
          <w:color w:val="231F20"/>
          <w:sz w:val="24"/>
          <w:szCs w:val="24"/>
        </w:rPr>
        <w:t>indicators</w:t>
      </w:r>
      <w:r w:rsidR="008F4FE0">
        <w:rPr>
          <w:rFonts w:ascii="Times New Roman" w:hAnsi="Times New Roman"/>
          <w:color w:val="231F20"/>
          <w:sz w:val="24"/>
          <w:szCs w:val="24"/>
        </w:rPr>
        <w:t xml:space="preserve"> and </w:t>
      </w:r>
      <w:r w:rsidR="00811735" w:rsidRPr="00E91A88">
        <w:rPr>
          <w:rFonts w:ascii="Times New Roman" w:hAnsi="Times New Roman"/>
          <w:color w:val="231F20"/>
          <w:sz w:val="24"/>
          <w:szCs w:val="24"/>
        </w:rPr>
        <w:t>development indicators</w:t>
      </w:r>
      <w:r w:rsidR="000C0A2B" w:rsidRPr="00E91A88">
        <w:rPr>
          <w:rFonts w:ascii="Times New Roman" w:hAnsi="Times New Roman"/>
          <w:color w:val="231F20"/>
          <w:sz w:val="24"/>
          <w:szCs w:val="24"/>
        </w:rPr>
        <w:t xml:space="preserve"> is </w:t>
      </w:r>
      <w:r w:rsidR="00B01C0F" w:rsidRPr="00E91A88">
        <w:rPr>
          <w:rFonts w:ascii="Times New Roman" w:hAnsi="Times New Roman"/>
          <w:color w:val="231F20"/>
          <w:sz w:val="24"/>
          <w:szCs w:val="24"/>
        </w:rPr>
        <w:t xml:space="preserve">shown in Table 1.  </w:t>
      </w:r>
      <w:r w:rsidR="00057881" w:rsidRPr="00E91A88">
        <w:rPr>
          <w:rFonts w:ascii="Times New Roman" w:hAnsi="Times New Roman"/>
          <w:color w:val="231F20"/>
          <w:sz w:val="24"/>
          <w:szCs w:val="24"/>
        </w:rPr>
        <w:t xml:space="preserve">In 2018, a total of 972 hospitals were </w:t>
      </w:r>
      <w:r w:rsidR="00421918">
        <w:rPr>
          <w:rFonts w:ascii="Times New Roman" w:hAnsi="Times New Roman"/>
          <w:color w:val="231F20"/>
          <w:sz w:val="24"/>
          <w:szCs w:val="24"/>
        </w:rPr>
        <w:t>empaneled</w:t>
      </w:r>
      <w:r w:rsidR="00057881" w:rsidRPr="00E91A88">
        <w:rPr>
          <w:rFonts w:ascii="Times New Roman" w:hAnsi="Times New Roman"/>
          <w:color w:val="231F20"/>
          <w:sz w:val="24"/>
          <w:szCs w:val="24"/>
        </w:rPr>
        <w:t xml:space="preserve"> under CMCHIS in Tamilnadu. Of these, 239 (24.5%) and 733(75.4%) were</w:t>
      </w:r>
      <w:r w:rsidR="00DA1F07">
        <w:rPr>
          <w:rFonts w:ascii="Times New Roman" w:hAnsi="Times New Roman"/>
          <w:color w:val="231F20"/>
          <w:sz w:val="24"/>
          <w:szCs w:val="24"/>
        </w:rPr>
        <w:t xml:space="preserve"> public and</w:t>
      </w:r>
      <w:r w:rsidR="00057881" w:rsidRPr="00E91A88">
        <w:rPr>
          <w:rFonts w:ascii="Times New Roman" w:hAnsi="Times New Roman"/>
          <w:color w:val="231F20"/>
          <w:sz w:val="24"/>
          <w:szCs w:val="24"/>
        </w:rPr>
        <w:t xml:space="preserve"> private hospitals</w:t>
      </w:r>
      <w:r w:rsidR="00DA1F07">
        <w:rPr>
          <w:rFonts w:ascii="Times New Roman" w:hAnsi="Times New Roman"/>
          <w:color w:val="231F20"/>
          <w:sz w:val="24"/>
          <w:szCs w:val="24"/>
        </w:rPr>
        <w:t xml:space="preserve"> respectively</w:t>
      </w:r>
      <w:r w:rsidR="00057881" w:rsidRPr="00E91A88">
        <w:rPr>
          <w:rFonts w:ascii="Times New Roman" w:hAnsi="Times New Roman"/>
          <w:color w:val="231F20"/>
          <w:sz w:val="24"/>
          <w:szCs w:val="24"/>
        </w:rPr>
        <w:t xml:space="preserve">. </w:t>
      </w:r>
      <w:r w:rsidR="008F4FE0">
        <w:rPr>
          <w:rFonts w:ascii="Times New Roman" w:hAnsi="Times New Roman"/>
          <w:color w:val="231F20"/>
          <w:sz w:val="24"/>
          <w:szCs w:val="24"/>
        </w:rPr>
        <w:t xml:space="preserve">Among the 32 districts, </w:t>
      </w:r>
      <w:r w:rsidR="00811735" w:rsidRPr="00E91A88">
        <w:rPr>
          <w:rFonts w:ascii="Times New Roman" w:hAnsi="Times New Roman"/>
          <w:color w:val="231F20"/>
          <w:sz w:val="24"/>
          <w:szCs w:val="24"/>
        </w:rPr>
        <w:t>Kanyakumari topped in the overall HDI while Ariyalur had the least HDI. With respect to</w:t>
      </w:r>
      <w:r w:rsidR="008F4FE0">
        <w:rPr>
          <w:rFonts w:ascii="Times New Roman" w:hAnsi="Times New Roman"/>
          <w:color w:val="231F20"/>
          <w:sz w:val="24"/>
          <w:szCs w:val="24"/>
        </w:rPr>
        <w:t xml:space="preserve"> l</w:t>
      </w:r>
      <w:r w:rsidR="00811735" w:rsidRPr="00E91A88">
        <w:rPr>
          <w:rFonts w:ascii="Times New Roman" w:hAnsi="Times New Roman"/>
          <w:color w:val="231F20"/>
          <w:sz w:val="24"/>
          <w:szCs w:val="24"/>
        </w:rPr>
        <w:t xml:space="preserve">iving standards indicator, Kanyakumari </w:t>
      </w:r>
      <w:r w:rsidR="003D47F2">
        <w:rPr>
          <w:rFonts w:ascii="Times New Roman" w:hAnsi="Times New Roman"/>
          <w:color w:val="231F20"/>
          <w:sz w:val="24"/>
          <w:szCs w:val="24"/>
        </w:rPr>
        <w:t xml:space="preserve">and </w:t>
      </w:r>
      <w:r w:rsidR="003D47F2" w:rsidRPr="00E91A88">
        <w:rPr>
          <w:rFonts w:ascii="Times New Roman" w:hAnsi="Times New Roman"/>
          <w:color w:val="231F20"/>
          <w:sz w:val="24"/>
          <w:szCs w:val="24"/>
        </w:rPr>
        <w:t xml:space="preserve">Ariyalur </w:t>
      </w:r>
      <w:r w:rsidR="00811735" w:rsidRPr="00E91A88">
        <w:rPr>
          <w:rFonts w:ascii="Times New Roman" w:hAnsi="Times New Roman"/>
          <w:color w:val="231F20"/>
          <w:sz w:val="24"/>
          <w:szCs w:val="24"/>
        </w:rPr>
        <w:t xml:space="preserve">had the highest </w:t>
      </w:r>
      <w:r w:rsidR="003D47F2">
        <w:rPr>
          <w:rFonts w:ascii="Times New Roman" w:hAnsi="Times New Roman"/>
          <w:color w:val="231F20"/>
          <w:sz w:val="24"/>
          <w:szCs w:val="24"/>
        </w:rPr>
        <w:t>and</w:t>
      </w:r>
      <w:r w:rsidR="00811735" w:rsidRPr="00E91A88">
        <w:rPr>
          <w:rFonts w:ascii="Times New Roman" w:hAnsi="Times New Roman"/>
          <w:color w:val="231F20"/>
          <w:sz w:val="24"/>
          <w:szCs w:val="24"/>
        </w:rPr>
        <w:t xml:space="preserve"> least score</w:t>
      </w:r>
      <w:r w:rsidR="003D47F2">
        <w:rPr>
          <w:rFonts w:ascii="Times New Roman" w:hAnsi="Times New Roman"/>
          <w:color w:val="231F20"/>
          <w:sz w:val="24"/>
          <w:szCs w:val="24"/>
        </w:rPr>
        <w:t xml:space="preserve"> respectively</w:t>
      </w:r>
      <w:r w:rsidR="00811735" w:rsidRPr="00E91A88">
        <w:rPr>
          <w:rFonts w:ascii="Times New Roman" w:hAnsi="Times New Roman"/>
          <w:color w:val="231F20"/>
          <w:sz w:val="24"/>
          <w:szCs w:val="24"/>
        </w:rPr>
        <w:t>. Chennai had the highest score in health indicator and Ti</w:t>
      </w:r>
      <w:r w:rsidR="0079413D" w:rsidRPr="00E91A88">
        <w:rPr>
          <w:rFonts w:ascii="Times New Roman" w:hAnsi="Times New Roman"/>
          <w:color w:val="231F20"/>
          <w:sz w:val="24"/>
          <w:szCs w:val="24"/>
        </w:rPr>
        <w:t xml:space="preserve">ruppur the least. Kanyakumari </w:t>
      </w:r>
      <w:r w:rsidR="008F4FE0">
        <w:rPr>
          <w:rFonts w:ascii="Times New Roman" w:hAnsi="Times New Roman"/>
          <w:color w:val="231F20"/>
          <w:sz w:val="24"/>
          <w:szCs w:val="24"/>
        </w:rPr>
        <w:t xml:space="preserve">also </w:t>
      </w:r>
      <w:r w:rsidR="0079413D" w:rsidRPr="00E91A88">
        <w:rPr>
          <w:rFonts w:ascii="Times New Roman" w:hAnsi="Times New Roman"/>
          <w:color w:val="231F20"/>
          <w:sz w:val="24"/>
          <w:szCs w:val="24"/>
        </w:rPr>
        <w:t>had the highest score in education indi</w:t>
      </w:r>
      <w:r w:rsidR="008F4FE0">
        <w:rPr>
          <w:rFonts w:ascii="Times New Roman" w:hAnsi="Times New Roman"/>
          <w:color w:val="231F20"/>
          <w:sz w:val="24"/>
          <w:szCs w:val="24"/>
        </w:rPr>
        <w:t>cator and Erode the least score</w:t>
      </w:r>
      <w:r w:rsidR="0079413D" w:rsidRPr="00E91A88">
        <w:rPr>
          <w:rFonts w:ascii="Times New Roman" w:hAnsi="Times New Roman"/>
          <w:color w:val="231F20"/>
          <w:sz w:val="24"/>
          <w:szCs w:val="24"/>
        </w:rPr>
        <w:t xml:space="preserve">.  </w:t>
      </w:r>
    </w:p>
    <w:p w14:paraId="567CAC2B" w14:textId="77777777" w:rsidR="008B5959" w:rsidRDefault="008B5959" w:rsidP="008B5959">
      <w:pPr>
        <w:pStyle w:val="ColorfulList-Accent11"/>
        <w:autoSpaceDE w:val="0"/>
        <w:autoSpaceDN w:val="0"/>
        <w:adjustRightInd w:val="0"/>
        <w:spacing w:after="0" w:line="240" w:lineRule="auto"/>
        <w:ind w:left="-90" w:right="26" w:firstLine="90"/>
        <w:rPr>
          <w:rFonts w:ascii="Times New Roman" w:hAnsi="Times New Roman"/>
          <w:color w:val="231F20"/>
          <w:sz w:val="24"/>
          <w:szCs w:val="24"/>
        </w:rPr>
      </w:pPr>
    </w:p>
    <w:p w14:paraId="6C9DD8D6" w14:textId="04751F5F" w:rsidR="0079413D" w:rsidRPr="00E91A88" w:rsidRDefault="0079413D" w:rsidP="008B5959">
      <w:pPr>
        <w:pStyle w:val="ColorfulList-Accent11"/>
        <w:autoSpaceDE w:val="0"/>
        <w:autoSpaceDN w:val="0"/>
        <w:adjustRightInd w:val="0"/>
        <w:spacing w:after="0" w:line="240" w:lineRule="auto"/>
        <w:ind w:left="-90" w:right="26" w:firstLine="90"/>
        <w:rPr>
          <w:rFonts w:ascii="Times New Roman" w:hAnsi="Times New Roman"/>
          <w:color w:val="231F20"/>
          <w:sz w:val="24"/>
          <w:szCs w:val="24"/>
        </w:rPr>
      </w:pPr>
      <w:r w:rsidRPr="00E91A88">
        <w:rPr>
          <w:rFonts w:ascii="Times New Roman" w:hAnsi="Times New Roman"/>
          <w:color w:val="231F20"/>
          <w:sz w:val="24"/>
          <w:szCs w:val="24"/>
        </w:rPr>
        <w:t>Erode district had the highest proportion of population enrolled u</w:t>
      </w:r>
      <w:r w:rsidR="008F4FE0">
        <w:rPr>
          <w:rFonts w:ascii="Times New Roman" w:hAnsi="Times New Roman"/>
          <w:color w:val="231F20"/>
          <w:sz w:val="24"/>
          <w:szCs w:val="24"/>
        </w:rPr>
        <w:t>nder the scheme and Chennai had</w:t>
      </w:r>
      <w:r w:rsidRPr="00E91A88">
        <w:rPr>
          <w:rFonts w:ascii="Times New Roman" w:hAnsi="Times New Roman"/>
          <w:color w:val="231F20"/>
          <w:sz w:val="24"/>
          <w:szCs w:val="24"/>
        </w:rPr>
        <w:t xml:space="preserve"> the least proportion. With regard to hospital availability per 1 lakh enrolled </w:t>
      </w:r>
      <w:r w:rsidR="00954C68">
        <w:rPr>
          <w:rFonts w:ascii="Times New Roman" w:hAnsi="Times New Roman"/>
          <w:color w:val="231F20"/>
          <w:sz w:val="24"/>
          <w:szCs w:val="24"/>
        </w:rPr>
        <w:t xml:space="preserve">families </w:t>
      </w:r>
      <w:r w:rsidRPr="00E91A88">
        <w:rPr>
          <w:rFonts w:ascii="Times New Roman" w:hAnsi="Times New Roman"/>
          <w:color w:val="231F20"/>
          <w:sz w:val="24"/>
          <w:szCs w:val="24"/>
        </w:rPr>
        <w:t xml:space="preserve">under the scheme, Coimbatore had the highest number of hospitals </w:t>
      </w:r>
      <w:r w:rsidR="00421918">
        <w:rPr>
          <w:rFonts w:ascii="Times New Roman" w:hAnsi="Times New Roman"/>
          <w:color w:val="231F20"/>
          <w:sz w:val="24"/>
          <w:szCs w:val="24"/>
        </w:rPr>
        <w:t>empaneled</w:t>
      </w:r>
      <w:r w:rsidRPr="00E91A88">
        <w:rPr>
          <w:rFonts w:ascii="Times New Roman" w:hAnsi="Times New Roman"/>
          <w:color w:val="231F20"/>
          <w:sz w:val="24"/>
          <w:szCs w:val="24"/>
        </w:rPr>
        <w:t xml:space="preserve"> under the scheme and Thiruvannamalai</w:t>
      </w:r>
      <w:r w:rsidR="00954C68">
        <w:rPr>
          <w:rFonts w:ascii="Times New Roman" w:hAnsi="Times New Roman"/>
          <w:color w:val="231F20"/>
          <w:sz w:val="24"/>
          <w:szCs w:val="24"/>
        </w:rPr>
        <w:t xml:space="preserve"> the least. On further disaggregating, </w:t>
      </w:r>
      <w:r w:rsidR="00B324C5" w:rsidRPr="00E91A88">
        <w:rPr>
          <w:rFonts w:ascii="Times New Roman" w:hAnsi="Times New Roman"/>
          <w:color w:val="231F20"/>
          <w:sz w:val="24"/>
          <w:szCs w:val="24"/>
        </w:rPr>
        <w:t xml:space="preserve">Coimbatore had the highest number of private hospitals </w:t>
      </w:r>
      <w:r w:rsidR="00421918">
        <w:rPr>
          <w:rFonts w:ascii="Times New Roman" w:hAnsi="Times New Roman"/>
          <w:color w:val="231F20"/>
          <w:sz w:val="24"/>
          <w:szCs w:val="24"/>
        </w:rPr>
        <w:t>empaneled</w:t>
      </w:r>
      <w:r w:rsidR="00B324C5" w:rsidRPr="00E91A88">
        <w:rPr>
          <w:rFonts w:ascii="Times New Roman" w:hAnsi="Times New Roman"/>
          <w:color w:val="231F20"/>
          <w:sz w:val="24"/>
          <w:szCs w:val="24"/>
        </w:rPr>
        <w:t xml:space="preserve"> </w:t>
      </w:r>
      <w:r w:rsidR="002417CE" w:rsidRPr="00E91A88">
        <w:rPr>
          <w:rFonts w:ascii="Times New Roman" w:hAnsi="Times New Roman"/>
          <w:color w:val="231F20"/>
          <w:sz w:val="24"/>
          <w:szCs w:val="24"/>
        </w:rPr>
        <w:t xml:space="preserve">per 1 lakh </w:t>
      </w:r>
      <w:r w:rsidR="002417CE">
        <w:rPr>
          <w:rFonts w:ascii="Times New Roman" w:hAnsi="Times New Roman"/>
          <w:color w:val="231F20"/>
          <w:sz w:val="24"/>
          <w:szCs w:val="24"/>
        </w:rPr>
        <w:t xml:space="preserve">families </w:t>
      </w:r>
      <w:r w:rsidR="002417CE" w:rsidRPr="00E91A88">
        <w:rPr>
          <w:rFonts w:ascii="Times New Roman" w:hAnsi="Times New Roman"/>
          <w:color w:val="231F20"/>
          <w:sz w:val="24"/>
          <w:szCs w:val="24"/>
        </w:rPr>
        <w:t>enrolled,</w:t>
      </w:r>
      <w:r w:rsidR="002417CE">
        <w:rPr>
          <w:rFonts w:ascii="Times New Roman" w:hAnsi="Times New Roman"/>
          <w:color w:val="231F20"/>
          <w:sz w:val="24"/>
          <w:szCs w:val="24"/>
        </w:rPr>
        <w:t xml:space="preserve"> </w:t>
      </w:r>
      <w:r w:rsidR="00B324C5" w:rsidRPr="00E91A88">
        <w:rPr>
          <w:rFonts w:ascii="Times New Roman" w:hAnsi="Times New Roman"/>
          <w:color w:val="231F20"/>
          <w:sz w:val="24"/>
          <w:szCs w:val="24"/>
        </w:rPr>
        <w:t xml:space="preserve">and Ramanathapuram had the least number of private hospitals </w:t>
      </w:r>
      <w:r w:rsidR="00421918">
        <w:rPr>
          <w:rFonts w:ascii="Times New Roman" w:hAnsi="Times New Roman"/>
          <w:color w:val="231F20"/>
          <w:sz w:val="24"/>
          <w:szCs w:val="24"/>
        </w:rPr>
        <w:t>empaneled</w:t>
      </w:r>
      <w:r w:rsidR="00B324C5" w:rsidRPr="00E91A88">
        <w:rPr>
          <w:rFonts w:ascii="Times New Roman" w:hAnsi="Times New Roman"/>
          <w:color w:val="231F20"/>
          <w:sz w:val="24"/>
          <w:szCs w:val="24"/>
        </w:rPr>
        <w:t xml:space="preserve">. On the contrary, Ramanathapuram had the highest number of public hospitals </w:t>
      </w:r>
      <w:r w:rsidR="00421918">
        <w:rPr>
          <w:rFonts w:ascii="Times New Roman" w:hAnsi="Times New Roman"/>
          <w:color w:val="231F20"/>
          <w:sz w:val="24"/>
          <w:szCs w:val="24"/>
        </w:rPr>
        <w:t>empaneled</w:t>
      </w:r>
      <w:r w:rsidR="008F4FE0">
        <w:rPr>
          <w:rFonts w:ascii="Times New Roman" w:hAnsi="Times New Roman"/>
          <w:color w:val="231F20"/>
          <w:sz w:val="24"/>
          <w:szCs w:val="24"/>
        </w:rPr>
        <w:t xml:space="preserve"> per </w:t>
      </w:r>
      <w:r w:rsidR="008F4FE0" w:rsidRPr="00E91A88">
        <w:rPr>
          <w:rFonts w:ascii="Times New Roman" w:hAnsi="Times New Roman"/>
          <w:color w:val="231F20"/>
          <w:sz w:val="24"/>
          <w:szCs w:val="24"/>
        </w:rPr>
        <w:t xml:space="preserve">1 lakh </w:t>
      </w:r>
      <w:r w:rsidR="008F4FE0">
        <w:rPr>
          <w:rFonts w:ascii="Times New Roman" w:hAnsi="Times New Roman"/>
          <w:color w:val="231F20"/>
          <w:sz w:val="24"/>
          <w:szCs w:val="24"/>
        </w:rPr>
        <w:t xml:space="preserve">families </w:t>
      </w:r>
      <w:r w:rsidR="008F4FE0" w:rsidRPr="00E91A88">
        <w:rPr>
          <w:rFonts w:ascii="Times New Roman" w:hAnsi="Times New Roman"/>
          <w:color w:val="231F20"/>
          <w:sz w:val="24"/>
          <w:szCs w:val="24"/>
        </w:rPr>
        <w:t>enrolled</w:t>
      </w:r>
      <w:r w:rsidR="00B324C5" w:rsidRPr="00E91A88">
        <w:rPr>
          <w:rFonts w:ascii="Times New Roman" w:hAnsi="Times New Roman"/>
          <w:color w:val="231F20"/>
          <w:sz w:val="24"/>
          <w:szCs w:val="24"/>
        </w:rPr>
        <w:t xml:space="preserve"> under the scheme and Salem the least. </w:t>
      </w:r>
    </w:p>
    <w:p w14:paraId="179D0EF6" w14:textId="77777777" w:rsidR="008B5959" w:rsidRDefault="008B5959"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p>
    <w:p w14:paraId="7E947629" w14:textId="7F53B05B" w:rsidR="00176304" w:rsidRDefault="00B324C5"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r w:rsidRPr="00E91A88">
        <w:rPr>
          <w:rFonts w:ascii="Times New Roman" w:hAnsi="Times New Roman"/>
          <w:color w:val="231F20"/>
          <w:sz w:val="24"/>
          <w:szCs w:val="24"/>
        </w:rPr>
        <w:t xml:space="preserve">With regard to utilization of services under the scheme, which is measured in terms of claims made by the hospitals per district, </w:t>
      </w:r>
      <w:r w:rsidR="00954C68">
        <w:rPr>
          <w:rFonts w:ascii="Times New Roman" w:hAnsi="Times New Roman"/>
          <w:color w:val="231F20"/>
          <w:sz w:val="24"/>
          <w:szCs w:val="24"/>
        </w:rPr>
        <w:t>Chennai</w:t>
      </w:r>
      <w:r w:rsidR="008F4FE0">
        <w:rPr>
          <w:rFonts w:ascii="Times New Roman" w:hAnsi="Times New Roman"/>
          <w:color w:val="231F20"/>
          <w:sz w:val="24"/>
          <w:szCs w:val="24"/>
        </w:rPr>
        <w:t xml:space="preserve"> had the highest claims per</w:t>
      </w:r>
      <w:r w:rsidRPr="00E91A88">
        <w:rPr>
          <w:rFonts w:ascii="Times New Roman" w:hAnsi="Times New Roman"/>
          <w:color w:val="231F20"/>
          <w:sz w:val="24"/>
          <w:szCs w:val="24"/>
        </w:rPr>
        <w:t xml:space="preserve">1 lakh </w:t>
      </w:r>
      <w:r w:rsidR="00954C68">
        <w:rPr>
          <w:rFonts w:ascii="Times New Roman" w:hAnsi="Times New Roman"/>
          <w:color w:val="231F20"/>
          <w:sz w:val="24"/>
          <w:szCs w:val="24"/>
        </w:rPr>
        <w:t xml:space="preserve">families </w:t>
      </w:r>
      <w:r w:rsidRPr="00E91A88">
        <w:rPr>
          <w:rFonts w:ascii="Times New Roman" w:hAnsi="Times New Roman"/>
          <w:color w:val="231F20"/>
          <w:sz w:val="24"/>
          <w:szCs w:val="24"/>
        </w:rPr>
        <w:t xml:space="preserve">enrolled and </w:t>
      </w:r>
      <w:r w:rsidR="00954C68">
        <w:rPr>
          <w:rFonts w:ascii="Times New Roman" w:hAnsi="Times New Roman"/>
          <w:color w:val="231F20"/>
          <w:sz w:val="24"/>
          <w:szCs w:val="24"/>
        </w:rPr>
        <w:t>Nilgiris</w:t>
      </w:r>
      <w:r w:rsidRPr="00E91A88">
        <w:rPr>
          <w:rFonts w:ascii="Times New Roman" w:hAnsi="Times New Roman"/>
          <w:color w:val="231F20"/>
          <w:sz w:val="24"/>
          <w:szCs w:val="24"/>
        </w:rPr>
        <w:t xml:space="preserve"> the least.  On further </w:t>
      </w:r>
      <w:r w:rsidR="008F4FE0">
        <w:rPr>
          <w:rFonts w:ascii="Times New Roman" w:hAnsi="Times New Roman"/>
          <w:color w:val="231F20"/>
          <w:sz w:val="24"/>
          <w:szCs w:val="24"/>
        </w:rPr>
        <w:t>disaggregating the data,</w:t>
      </w:r>
      <w:r w:rsidRPr="00E91A88">
        <w:rPr>
          <w:rFonts w:ascii="Times New Roman" w:hAnsi="Times New Roman"/>
          <w:color w:val="231F20"/>
          <w:sz w:val="24"/>
          <w:szCs w:val="24"/>
        </w:rPr>
        <w:t xml:space="preserve"> </w:t>
      </w:r>
      <w:r w:rsidR="00954C68">
        <w:rPr>
          <w:rFonts w:ascii="Times New Roman" w:hAnsi="Times New Roman"/>
          <w:color w:val="231F20"/>
          <w:sz w:val="24"/>
          <w:szCs w:val="24"/>
        </w:rPr>
        <w:t>Madurai</w:t>
      </w:r>
      <w:r w:rsidR="008F4FE0">
        <w:rPr>
          <w:rFonts w:ascii="Times New Roman" w:hAnsi="Times New Roman"/>
          <w:color w:val="231F20"/>
          <w:sz w:val="24"/>
          <w:szCs w:val="24"/>
        </w:rPr>
        <w:t xml:space="preserve"> had the highest number of </w:t>
      </w:r>
      <w:r w:rsidRPr="00E91A88">
        <w:rPr>
          <w:rFonts w:ascii="Times New Roman" w:hAnsi="Times New Roman"/>
          <w:color w:val="231F20"/>
          <w:sz w:val="24"/>
          <w:szCs w:val="24"/>
        </w:rPr>
        <w:t>claims</w:t>
      </w:r>
      <w:r w:rsidR="008F4FE0">
        <w:rPr>
          <w:rFonts w:ascii="Times New Roman" w:hAnsi="Times New Roman"/>
          <w:color w:val="231F20"/>
          <w:sz w:val="24"/>
          <w:szCs w:val="24"/>
        </w:rPr>
        <w:t xml:space="preserve"> made by private hospitals per </w:t>
      </w:r>
      <w:r w:rsidRPr="00E91A88">
        <w:rPr>
          <w:rFonts w:ascii="Times New Roman" w:hAnsi="Times New Roman"/>
          <w:color w:val="231F20"/>
          <w:sz w:val="24"/>
          <w:szCs w:val="24"/>
        </w:rPr>
        <w:t xml:space="preserve">1 lakh </w:t>
      </w:r>
      <w:r w:rsidR="00954C68">
        <w:rPr>
          <w:rFonts w:ascii="Times New Roman" w:hAnsi="Times New Roman"/>
          <w:color w:val="231F20"/>
          <w:sz w:val="24"/>
          <w:szCs w:val="24"/>
        </w:rPr>
        <w:t>families enrolled while Nagapattinam</w:t>
      </w:r>
      <w:r w:rsidR="005924AF" w:rsidRPr="00E91A88">
        <w:rPr>
          <w:rFonts w:ascii="Times New Roman" w:hAnsi="Times New Roman"/>
          <w:color w:val="231F20"/>
          <w:sz w:val="24"/>
          <w:szCs w:val="24"/>
        </w:rPr>
        <w:t xml:space="preserve"> had the least. On the other hand,  </w:t>
      </w:r>
      <w:r w:rsidR="00954C68">
        <w:rPr>
          <w:rFonts w:ascii="Times New Roman" w:hAnsi="Times New Roman"/>
          <w:color w:val="231F20"/>
          <w:sz w:val="24"/>
          <w:szCs w:val="24"/>
        </w:rPr>
        <w:t>Chennai</w:t>
      </w:r>
      <w:r w:rsidR="005924AF" w:rsidRPr="00E91A88">
        <w:rPr>
          <w:rFonts w:ascii="Times New Roman" w:hAnsi="Times New Roman"/>
          <w:color w:val="231F20"/>
          <w:sz w:val="24"/>
          <w:szCs w:val="24"/>
        </w:rPr>
        <w:t xml:space="preserve"> had the highest </w:t>
      </w:r>
      <w:r w:rsidR="008F4FE0">
        <w:rPr>
          <w:rFonts w:ascii="Times New Roman" w:hAnsi="Times New Roman"/>
          <w:color w:val="231F20"/>
          <w:sz w:val="24"/>
          <w:szCs w:val="24"/>
        </w:rPr>
        <w:t>number of</w:t>
      </w:r>
      <w:r w:rsidR="005924AF" w:rsidRPr="00E91A88">
        <w:rPr>
          <w:rFonts w:ascii="Times New Roman" w:hAnsi="Times New Roman"/>
          <w:color w:val="231F20"/>
          <w:sz w:val="24"/>
          <w:szCs w:val="24"/>
        </w:rPr>
        <w:t xml:space="preserve"> claims</w:t>
      </w:r>
      <w:r w:rsidR="008F4FE0">
        <w:rPr>
          <w:rFonts w:ascii="Times New Roman" w:hAnsi="Times New Roman"/>
          <w:color w:val="231F20"/>
          <w:sz w:val="24"/>
          <w:szCs w:val="24"/>
        </w:rPr>
        <w:t xml:space="preserve"> made by public hospitals per</w:t>
      </w:r>
      <w:r w:rsidR="005924AF" w:rsidRPr="00E91A88">
        <w:rPr>
          <w:rFonts w:ascii="Times New Roman" w:hAnsi="Times New Roman"/>
          <w:color w:val="231F20"/>
          <w:sz w:val="24"/>
          <w:szCs w:val="24"/>
        </w:rPr>
        <w:t xml:space="preserve"> 1 lakh enrolled and </w:t>
      </w:r>
      <w:r w:rsidR="00954C68">
        <w:rPr>
          <w:rFonts w:ascii="Times New Roman" w:hAnsi="Times New Roman"/>
          <w:color w:val="231F20"/>
          <w:sz w:val="24"/>
          <w:szCs w:val="24"/>
        </w:rPr>
        <w:t xml:space="preserve">Erode </w:t>
      </w:r>
      <w:r w:rsidR="005924AF" w:rsidRPr="00E91A88">
        <w:rPr>
          <w:rFonts w:ascii="Times New Roman" w:hAnsi="Times New Roman"/>
          <w:color w:val="231F20"/>
          <w:sz w:val="24"/>
          <w:szCs w:val="24"/>
        </w:rPr>
        <w:t>the least.</w:t>
      </w:r>
      <w:r w:rsidR="008F4FE0">
        <w:rPr>
          <w:rFonts w:ascii="Times New Roman" w:hAnsi="Times New Roman"/>
          <w:color w:val="231F20"/>
          <w:sz w:val="24"/>
          <w:szCs w:val="24"/>
        </w:rPr>
        <w:t xml:space="preserve"> </w:t>
      </w:r>
    </w:p>
    <w:p w14:paraId="48A18DB7" w14:textId="77777777" w:rsidR="008B5959" w:rsidRDefault="008B5959"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p>
    <w:p w14:paraId="11555BBC" w14:textId="7B6C3645" w:rsidR="008F4FE0" w:rsidRPr="00E91A88" w:rsidRDefault="008F4FE0"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r>
        <w:rPr>
          <w:rFonts w:ascii="Times New Roman" w:hAnsi="Times New Roman"/>
          <w:color w:val="231F20"/>
          <w:sz w:val="24"/>
          <w:szCs w:val="24"/>
        </w:rPr>
        <w:t xml:space="preserve">Utilization as measured by the number of claims made by people in each district, depicts that Chennai had the highest number of claims made per 1 lakh families enrolled and Nilgiris had the least. With regards to Claims made in public hospitals, </w:t>
      </w:r>
      <w:r>
        <w:rPr>
          <w:rFonts w:ascii="Times New Roman" w:hAnsi="Times New Roman"/>
          <w:color w:val="231F20"/>
          <w:sz w:val="24"/>
          <w:szCs w:val="24"/>
        </w:rPr>
        <w:lastRenderedPageBreak/>
        <w:t>Chennai had the highest number and Erode had the least. Madurai had the highest number of claims made in private hospitals while Nagapattinam had the least.</w:t>
      </w:r>
    </w:p>
    <w:p w14:paraId="740EE770" w14:textId="77777777" w:rsidR="008B5959" w:rsidRDefault="008B5959"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p>
    <w:p w14:paraId="2085FCCE" w14:textId="78C68CA7" w:rsidR="00176304" w:rsidRPr="00E91A88" w:rsidRDefault="002417CE"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r>
        <w:rPr>
          <w:rFonts w:ascii="Times New Roman" w:hAnsi="Times New Roman"/>
          <w:color w:val="231F20"/>
          <w:sz w:val="24"/>
          <w:szCs w:val="24"/>
        </w:rPr>
        <w:t>Table 2, shows the 5 high performing and low performing</w:t>
      </w:r>
      <w:r w:rsidR="00933219" w:rsidRPr="00E91A88">
        <w:rPr>
          <w:rFonts w:ascii="Times New Roman" w:hAnsi="Times New Roman"/>
          <w:color w:val="231F20"/>
          <w:sz w:val="24"/>
          <w:szCs w:val="24"/>
        </w:rPr>
        <w:t xml:space="preserve"> districts which are further shaded based on their development </w:t>
      </w:r>
      <w:r w:rsidR="00362BA1" w:rsidRPr="00E91A88">
        <w:rPr>
          <w:rFonts w:ascii="Times New Roman" w:hAnsi="Times New Roman"/>
          <w:color w:val="231F20"/>
          <w:sz w:val="24"/>
          <w:szCs w:val="24"/>
        </w:rPr>
        <w:t>group</w:t>
      </w:r>
      <w:r w:rsidR="00933219" w:rsidRPr="00E91A88">
        <w:rPr>
          <w:rFonts w:ascii="Times New Roman" w:hAnsi="Times New Roman"/>
          <w:color w:val="231F20"/>
          <w:sz w:val="24"/>
          <w:szCs w:val="24"/>
        </w:rPr>
        <w:t>.</w:t>
      </w:r>
      <w:r>
        <w:rPr>
          <w:rFonts w:ascii="Times New Roman" w:hAnsi="Times New Roman"/>
          <w:color w:val="231F20"/>
          <w:sz w:val="24"/>
          <w:szCs w:val="24"/>
        </w:rPr>
        <w:t>(High performing and low performing is determined with respect to each insurance indicator and it varies for each indicator).</w:t>
      </w:r>
      <w:r w:rsidR="00933219" w:rsidRPr="00E91A88">
        <w:rPr>
          <w:rFonts w:ascii="Times New Roman" w:hAnsi="Times New Roman"/>
          <w:color w:val="231F20"/>
          <w:sz w:val="24"/>
          <w:szCs w:val="24"/>
        </w:rPr>
        <w:t xml:space="preserve"> With regard to Proportion of Population enrolled </w:t>
      </w:r>
      <w:r w:rsidR="00362BA1" w:rsidRPr="00E91A88">
        <w:rPr>
          <w:rFonts w:ascii="Times New Roman" w:hAnsi="Times New Roman"/>
          <w:color w:val="231F20"/>
          <w:sz w:val="24"/>
          <w:szCs w:val="24"/>
        </w:rPr>
        <w:t xml:space="preserve">in the scheme </w:t>
      </w:r>
      <w:r w:rsidR="00933219" w:rsidRPr="00E91A88">
        <w:rPr>
          <w:rFonts w:ascii="Times New Roman" w:hAnsi="Times New Roman"/>
          <w:color w:val="231F20"/>
          <w:sz w:val="24"/>
          <w:szCs w:val="24"/>
        </w:rPr>
        <w:t>a</w:t>
      </w:r>
      <w:r w:rsidR="00362BA1" w:rsidRPr="00E91A88">
        <w:rPr>
          <w:rFonts w:ascii="Times New Roman" w:hAnsi="Times New Roman"/>
          <w:color w:val="231F20"/>
          <w:sz w:val="24"/>
          <w:szCs w:val="24"/>
        </w:rPr>
        <w:t>ll the 5</w:t>
      </w:r>
      <w:r>
        <w:rPr>
          <w:rFonts w:ascii="Times New Roman" w:hAnsi="Times New Roman"/>
          <w:color w:val="231F20"/>
          <w:sz w:val="24"/>
          <w:szCs w:val="24"/>
        </w:rPr>
        <w:t xml:space="preserve"> low performing</w:t>
      </w:r>
      <w:r w:rsidR="00362BA1" w:rsidRPr="00E91A88">
        <w:rPr>
          <w:rFonts w:ascii="Times New Roman" w:hAnsi="Times New Roman"/>
          <w:color w:val="231F20"/>
          <w:sz w:val="24"/>
          <w:szCs w:val="24"/>
        </w:rPr>
        <w:t xml:space="preserve"> districts belonged to HDD, and 3 out of 5 </w:t>
      </w:r>
      <w:r>
        <w:rPr>
          <w:rFonts w:ascii="Times New Roman" w:hAnsi="Times New Roman"/>
          <w:color w:val="231F20"/>
          <w:sz w:val="24"/>
          <w:szCs w:val="24"/>
        </w:rPr>
        <w:t xml:space="preserve">high performing </w:t>
      </w:r>
      <w:r w:rsidR="00362BA1" w:rsidRPr="00E91A88">
        <w:rPr>
          <w:rFonts w:ascii="Times New Roman" w:hAnsi="Times New Roman"/>
          <w:color w:val="231F20"/>
          <w:sz w:val="24"/>
          <w:szCs w:val="24"/>
        </w:rPr>
        <w:t xml:space="preserve">districts belonged to LDD. Based on the hospital availability per 1 lakh </w:t>
      </w:r>
      <w:r w:rsidR="00DF5F11">
        <w:rPr>
          <w:rFonts w:ascii="Times New Roman" w:hAnsi="Times New Roman"/>
          <w:color w:val="231F20"/>
          <w:sz w:val="24"/>
          <w:szCs w:val="24"/>
        </w:rPr>
        <w:t xml:space="preserve">families </w:t>
      </w:r>
      <w:r w:rsidR="00362BA1" w:rsidRPr="00E91A88">
        <w:rPr>
          <w:rFonts w:ascii="Times New Roman" w:hAnsi="Times New Roman"/>
          <w:color w:val="231F20"/>
          <w:sz w:val="24"/>
          <w:szCs w:val="24"/>
        </w:rPr>
        <w:t>enrolled, 4 out of 5</w:t>
      </w:r>
      <w:r w:rsidR="00DF5F11">
        <w:rPr>
          <w:rFonts w:ascii="Times New Roman" w:hAnsi="Times New Roman"/>
          <w:color w:val="231F20"/>
          <w:sz w:val="24"/>
          <w:szCs w:val="24"/>
        </w:rPr>
        <w:t xml:space="preserve"> low performing</w:t>
      </w:r>
      <w:r w:rsidR="00362BA1" w:rsidRPr="00E91A88">
        <w:rPr>
          <w:rFonts w:ascii="Times New Roman" w:hAnsi="Times New Roman"/>
          <w:color w:val="231F20"/>
          <w:sz w:val="24"/>
          <w:szCs w:val="24"/>
        </w:rPr>
        <w:t xml:space="preserve"> districts belonged to LDD, which was very similar in the private hospitals availability. With regards to the claims </w:t>
      </w:r>
      <w:r w:rsidR="00DF5F11">
        <w:rPr>
          <w:rFonts w:ascii="Times New Roman" w:hAnsi="Times New Roman"/>
          <w:color w:val="231F20"/>
          <w:sz w:val="24"/>
          <w:szCs w:val="24"/>
        </w:rPr>
        <w:t xml:space="preserve">made by hospitals, of the </w:t>
      </w:r>
      <w:r w:rsidR="00362BA1" w:rsidRPr="00E91A88">
        <w:rPr>
          <w:rFonts w:ascii="Times New Roman" w:hAnsi="Times New Roman"/>
          <w:color w:val="231F20"/>
          <w:sz w:val="24"/>
          <w:szCs w:val="24"/>
        </w:rPr>
        <w:t>5</w:t>
      </w:r>
      <w:r w:rsidR="00DF5F11">
        <w:rPr>
          <w:rFonts w:ascii="Times New Roman" w:hAnsi="Times New Roman"/>
          <w:color w:val="231F20"/>
          <w:sz w:val="24"/>
          <w:szCs w:val="24"/>
        </w:rPr>
        <w:t xml:space="preserve"> high performing districts in </w:t>
      </w:r>
      <w:r w:rsidR="00362BA1" w:rsidRPr="00E91A88">
        <w:rPr>
          <w:rFonts w:ascii="Times New Roman" w:hAnsi="Times New Roman"/>
          <w:color w:val="231F20"/>
          <w:sz w:val="24"/>
          <w:szCs w:val="24"/>
        </w:rPr>
        <w:t xml:space="preserve">private claims </w:t>
      </w:r>
      <w:r w:rsidR="00560745" w:rsidRPr="00E91A88">
        <w:rPr>
          <w:rFonts w:ascii="Times New Roman" w:hAnsi="Times New Roman"/>
          <w:color w:val="231F20"/>
          <w:sz w:val="24"/>
          <w:szCs w:val="24"/>
        </w:rPr>
        <w:t>3</w:t>
      </w:r>
      <w:r w:rsidR="00362BA1" w:rsidRPr="00E91A88">
        <w:rPr>
          <w:rFonts w:ascii="Times New Roman" w:hAnsi="Times New Roman"/>
          <w:color w:val="231F20"/>
          <w:sz w:val="24"/>
          <w:szCs w:val="24"/>
        </w:rPr>
        <w:t xml:space="preserve"> belonged to LDD, whereas in public claims </w:t>
      </w:r>
      <w:r w:rsidR="00560745" w:rsidRPr="00E91A88">
        <w:rPr>
          <w:rFonts w:ascii="Times New Roman" w:hAnsi="Times New Roman"/>
          <w:color w:val="231F20"/>
          <w:sz w:val="24"/>
          <w:szCs w:val="24"/>
        </w:rPr>
        <w:t>3 out of 5</w:t>
      </w:r>
      <w:r w:rsidR="00DF5F11">
        <w:rPr>
          <w:rFonts w:ascii="Times New Roman" w:hAnsi="Times New Roman"/>
          <w:color w:val="231F20"/>
          <w:sz w:val="24"/>
          <w:szCs w:val="24"/>
        </w:rPr>
        <w:t>high performing districts</w:t>
      </w:r>
      <w:r w:rsidR="00560745" w:rsidRPr="00E91A88">
        <w:rPr>
          <w:rFonts w:ascii="Times New Roman" w:hAnsi="Times New Roman"/>
          <w:color w:val="231F20"/>
          <w:sz w:val="24"/>
          <w:szCs w:val="24"/>
        </w:rPr>
        <w:t xml:space="preserve"> belonged to HDD.</w:t>
      </w:r>
    </w:p>
    <w:p w14:paraId="592B8C5E" w14:textId="77777777" w:rsidR="008B5959" w:rsidRDefault="008B5959"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p>
    <w:p w14:paraId="4F4032B1" w14:textId="7AD1AECB" w:rsidR="00176304" w:rsidRPr="00E91A88" w:rsidRDefault="00560745"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r w:rsidRPr="00E91A88">
        <w:rPr>
          <w:rFonts w:ascii="Times New Roman" w:hAnsi="Times New Roman"/>
          <w:color w:val="231F20"/>
          <w:sz w:val="24"/>
          <w:szCs w:val="24"/>
        </w:rPr>
        <w:t xml:space="preserve">The Pearson Correlation between </w:t>
      </w:r>
      <w:r w:rsidR="000D450E" w:rsidRPr="00E91A88">
        <w:rPr>
          <w:rFonts w:ascii="Times New Roman" w:hAnsi="Times New Roman"/>
          <w:color w:val="231F20"/>
          <w:sz w:val="24"/>
          <w:szCs w:val="24"/>
        </w:rPr>
        <w:t xml:space="preserve">HDI and insurance indicators showed a negative correlation between proportion of population enrolled and the HDI, which was also similar in the individual 3 components of HDI as shown in Table 3. Hospital availability per 1 lakh </w:t>
      </w:r>
      <w:r w:rsidR="00DF5F11">
        <w:rPr>
          <w:rFonts w:ascii="Times New Roman" w:hAnsi="Times New Roman"/>
          <w:color w:val="231F20"/>
          <w:sz w:val="24"/>
          <w:szCs w:val="24"/>
        </w:rPr>
        <w:t xml:space="preserve">families </w:t>
      </w:r>
      <w:r w:rsidR="000D450E" w:rsidRPr="00E91A88">
        <w:rPr>
          <w:rFonts w:ascii="Times New Roman" w:hAnsi="Times New Roman"/>
          <w:color w:val="231F20"/>
          <w:sz w:val="24"/>
          <w:szCs w:val="24"/>
        </w:rPr>
        <w:t xml:space="preserve">enrolled depicted a significant positive correlation with Overall HDI, Health indicator and living standard indicator. </w:t>
      </w:r>
      <w:r w:rsidR="00FA7D9B" w:rsidRPr="00E91A88">
        <w:rPr>
          <w:rFonts w:ascii="Times New Roman" w:hAnsi="Times New Roman"/>
          <w:color w:val="231F20"/>
          <w:sz w:val="24"/>
          <w:szCs w:val="24"/>
        </w:rPr>
        <w:t xml:space="preserve"> The private hospitals availability per one lakh </w:t>
      </w:r>
      <w:r w:rsidR="00DF5F11">
        <w:rPr>
          <w:rFonts w:ascii="Times New Roman" w:hAnsi="Times New Roman"/>
          <w:color w:val="231F20"/>
          <w:sz w:val="24"/>
          <w:szCs w:val="24"/>
        </w:rPr>
        <w:t xml:space="preserve">families </w:t>
      </w:r>
      <w:r w:rsidR="00FA7D9B" w:rsidRPr="00E91A88">
        <w:rPr>
          <w:rFonts w:ascii="Times New Roman" w:hAnsi="Times New Roman"/>
          <w:color w:val="231F20"/>
          <w:sz w:val="24"/>
          <w:szCs w:val="24"/>
        </w:rPr>
        <w:t>enrolled was showing a significant positive correlation with overall HDI and living standard index, whereas public hospitals availability was significantly corre</w:t>
      </w:r>
      <w:r w:rsidR="00DF5F11">
        <w:rPr>
          <w:rFonts w:ascii="Times New Roman" w:hAnsi="Times New Roman"/>
          <w:color w:val="231F20"/>
          <w:sz w:val="24"/>
          <w:szCs w:val="24"/>
        </w:rPr>
        <w:t>lating with education index.</w:t>
      </w:r>
      <w:r w:rsidR="00FA7D9B" w:rsidRPr="00E91A88">
        <w:rPr>
          <w:rFonts w:ascii="Times New Roman" w:hAnsi="Times New Roman"/>
          <w:color w:val="231F20"/>
          <w:sz w:val="24"/>
          <w:szCs w:val="24"/>
        </w:rPr>
        <w:t xml:space="preserve"> T</w:t>
      </w:r>
      <w:r w:rsidR="000D450E" w:rsidRPr="00E91A88">
        <w:rPr>
          <w:rFonts w:ascii="Times New Roman" w:hAnsi="Times New Roman"/>
          <w:color w:val="231F20"/>
          <w:sz w:val="24"/>
          <w:szCs w:val="24"/>
        </w:rPr>
        <w:t xml:space="preserve">he claims made by hospitals per 1 lakh enrolled showed a negative correlation with </w:t>
      </w:r>
      <w:r w:rsidR="00FA7D9B" w:rsidRPr="00E91A88">
        <w:rPr>
          <w:rFonts w:ascii="Times New Roman" w:hAnsi="Times New Roman"/>
          <w:color w:val="231F20"/>
          <w:sz w:val="24"/>
          <w:szCs w:val="24"/>
        </w:rPr>
        <w:t>HDI and living standard indicator, though not statistically significant.</w:t>
      </w:r>
    </w:p>
    <w:p w14:paraId="13BFDB08" w14:textId="77777777" w:rsidR="008B5959" w:rsidRDefault="008B5959"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p>
    <w:p w14:paraId="6CE5918E" w14:textId="76B4DE44" w:rsidR="00FF676D" w:rsidRDefault="001572FD"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r w:rsidRPr="00E91A88">
        <w:rPr>
          <w:rFonts w:ascii="Times New Roman" w:hAnsi="Times New Roman"/>
          <w:color w:val="231F20"/>
          <w:sz w:val="24"/>
          <w:szCs w:val="24"/>
        </w:rPr>
        <w:t>Enrolment was highest in the LDDs (22.8%), followed by MDDs (</w:t>
      </w:r>
      <w:r w:rsidR="00244F4D">
        <w:rPr>
          <w:rFonts w:ascii="Times New Roman" w:hAnsi="Times New Roman"/>
          <w:color w:val="231F20"/>
          <w:sz w:val="24"/>
          <w:szCs w:val="24"/>
        </w:rPr>
        <w:t>21.9%) and LD</w:t>
      </w:r>
      <w:r w:rsidR="00057881" w:rsidRPr="00E91A88">
        <w:rPr>
          <w:rFonts w:ascii="Times New Roman" w:hAnsi="Times New Roman"/>
          <w:color w:val="231F20"/>
          <w:sz w:val="24"/>
          <w:szCs w:val="24"/>
        </w:rPr>
        <w:t>Ds (18.7</w:t>
      </w:r>
      <w:r w:rsidRPr="00E91A88">
        <w:rPr>
          <w:rFonts w:ascii="Times New Roman" w:hAnsi="Times New Roman"/>
          <w:color w:val="231F20"/>
          <w:sz w:val="24"/>
          <w:szCs w:val="24"/>
        </w:rPr>
        <w:t>%). The number of hospitals per 100,000</w:t>
      </w:r>
      <w:r w:rsidR="00DF5F11">
        <w:rPr>
          <w:rFonts w:ascii="Times New Roman" w:hAnsi="Times New Roman"/>
          <w:color w:val="231F20"/>
          <w:sz w:val="24"/>
          <w:szCs w:val="24"/>
        </w:rPr>
        <w:t xml:space="preserve"> families</w:t>
      </w:r>
      <w:r w:rsidRPr="00E91A88">
        <w:rPr>
          <w:rFonts w:ascii="Times New Roman" w:hAnsi="Times New Roman"/>
          <w:color w:val="231F20"/>
          <w:sz w:val="24"/>
          <w:szCs w:val="24"/>
        </w:rPr>
        <w:t xml:space="preserve"> enrolled was highest in the </w:t>
      </w:r>
      <w:r w:rsidR="00057881" w:rsidRPr="00E91A88">
        <w:rPr>
          <w:rFonts w:ascii="Times New Roman" w:hAnsi="Times New Roman"/>
          <w:color w:val="231F20"/>
          <w:sz w:val="24"/>
          <w:szCs w:val="24"/>
        </w:rPr>
        <w:t>HDDs (8.0</w:t>
      </w:r>
      <w:r w:rsidRPr="00E91A88">
        <w:rPr>
          <w:rFonts w:ascii="Times New Roman" w:hAnsi="Times New Roman"/>
          <w:color w:val="231F20"/>
          <w:sz w:val="24"/>
          <w:szCs w:val="24"/>
        </w:rPr>
        <w:t xml:space="preserve">) and lowest in the </w:t>
      </w:r>
      <w:r w:rsidR="00057881" w:rsidRPr="00E91A88">
        <w:rPr>
          <w:rFonts w:ascii="Times New Roman" w:hAnsi="Times New Roman"/>
          <w:color w:val="231F20"/>
          <w:sz w:val="24"/>
          <w:szCs w:val="24"/>
        </w:rPr>
        <w:t>LD</w:t>
      </w:r>
      <w:r w:rsidRPr="00E91A88">
        <w:rPr>
          <w:rFonts w:ascii="Times New Roman" w:hAnsi="Times New Roman"/>
          <w:color w:val="231F20"/>
          <w:sz w:val="24"/>
          <w:szCs w:val="24"/>
        </w:rPr>
        <w:t>Ds (</w:t>
      </w:r>
      <w:r w:rsidR="00057881" w:rsidRPr="00E91A88">
        <w:rPr>
          <w:rFonts w:ascii="Times New Roman" w:hAnsi="Times New Roman"/>
          <w:color w:val="231F20"/>
          <w:sz w:val="24"/>
          <w:szCs w:val="24"/>
        </w:rPr>
        <w:t>4.6)</w:t>
      </w:r>
      <w:r w:rsidRPr="00E91A88">
        <w:rPr>
          <w:rFonts w:ascii="Times New Roman" w:hAnsi="Times New Roman"/>
          <w:color w:val="231F20"/>
          <w:sz w:val="24"/>
          <w:szCs w:val="24"/>
        </w:rPr>
        <w:t xml:space="preserve">. The availability of public hospitals was similar across the </w:t>
      </w:r>
      <w:r w:rsidR="00057881" w:rsidRPr="00E91A88">
        <w:rPr>
          <w:rFonts w:ascii="Times New Roman" w:hAnsi="Times New Roman"/>
          <w:color w:val="231F20"/>
          <w:sz w:val="24"/>
          <w:szCs w:val="24"/>
        </w:rPr>
        <w:t xml:space="preserve">MDD and LDD </w:t>
      </w:r>
      <w:r w:rsidRPr="00E91A88">
        <w:rPr>
          <w:rFonts w:ascii="Times New Roman" w:hAnsi="Times New Roman"/>
          <w:color w:val="231F20"/>
          <w:sz w:val="24"/>
          <w:szCs w:val="24"/>
        </w:rPr>
        <w:t>district groups, with slightly higher avai</w:t>
      </w:r>
      <w:r w:rsidR="00057881" w:rsidRPr="00E91A88">
        <w:rPr>
          <w:rFonts w:ascii="Times New Roman" w:hAnsi="Times New Roman"/>
          <w:color w:val="231F20"/>
          <w:sz w:val="24"/>
          <w:szCs w:val="24"/>
        </w:rPr>
        <w:t>lability in HDDs (2.2 in HVDs, 1.6 in MDDs and LDD</w:t>
      </w:r>
      <w:r w:rsidRPr="00E91A88">
        <w:rPr>
          <w:rFonts w:ascii="Times New Roman" w:hAnsi="Times New Roman"/>
          <w:color w:val="231F20"/>
          <w:sz w:val="24"/>
          <w:szCs w:val="24"/>
        </w:rPr>
        <w:t>s per 100,000 enrolled). In contrast, there was variation in availab</w:t>
      </w:r>
      <w:r w:rsidR="00057881" w:rsidRPr="00E91A88">
        <w:rPr>
          <w:rFonts w:ascii="Times New Roman" w:hAnsi="Times New Roman"/>
          <w:color w:val="231F20"/>
          <w:sz w:val="24"/>
          <w:szCs w:val="24"/>
        </w:rPr>
        <w:t>ility of private hospitals (5.9 in HDDs, 4.8 in MDDs and 3.8 in LD</w:t>
      </w:r>
      <w:r w:rsidRPr="00E91A88">
        <w:rPr>
          <w:rFonts w:ascii="Times New Roman" w:hAnsi="Times New Roman"/>
          <w:color w:val="231F20"/>
          <w:sz w:val="24"/>
          <w:szCs w:val="24"/>
        </w:rPr>
        <w:t xml:space="preserve">Ds per 100,000 enrolled) (Table 5). The number of claims made by hospitals was also calculated across </w:t>
      </w:r>
      <w:r w:rsidR="00057881" w:rsidRPr="00E91A88">
        <w:rPr>
          <w:rFonts w:ascii="Times New Roman" w:hAnsi="Times New Roman"/>
          <w:color w:val="231F20"/>
          <w:sz w:val="24"/>
          <w:szCs w:val="24"/>
        </w:rPr>
        <w:t>district groups</w:t>
      </w:r>
      <w:r w:rsidRPr="00E91A88">
        <w:rPr>
          <w:rFonts w:ascii="Times New Roman" w:hAnsi="Times New Roman"/>
          <w:color w:val="231F20"/>
          <w:sz w:val="24"/>
          <w:szCs w:val="24"/>
        </w:rPr>
        <w:t>. The</w:t>
      </w:r>
      <w:r w:rsidR="00057881" w:rsidRPr="00E91A88">
        <w:rPr>
          <w:rFonts w:ascii="Times New Roman" w:hAnsi="Times New Roman"/>
          <w:color w:val="231F20"/>
          <w:sz w:val="24"/>
          <w:szCs w:val="24"/>
        </w:rPr>
        <w:t xml:space="preserve">re was no difference in </w:t>
      </w:r>
      <w:r w:rsidR="00F76872">
        <w:rPr>
          <w:rFonts w:ascii="Times New Roman" w:hAnsi="Times New Roman"/>
          <w:color w:val="231F20"/>
          <w:sz w:val="24"/>
          <w:szCs w:val="24"/>
        </w:rPr>
        <w:t>this indicator</w:t>
      </w:r>
      <w:r w:rsidR="00057881" w:rsidRPr="00E91A88">
        <w:rPr>
          <w:rFonts w:ascii="Times New Roman" w:hAnsi="Times New Roman"/>
          <w:color w:val="231F20"/>
          <w:sz w:val="24"/>
          <w:szCs w:val="24"/>
        </w:rPr>
        <w:t xml:space="preserve"> across district groups.</w:t>
      </w:r>
      <w:r w:rsidRPr="00E91A88">
        <w:rPr>
          <w:rFonts w:ascii="Times New Roman" w:hAnsi="Times New Roman"/>
          <w:color w:val="231F20"/>
          <w:sz w:val="24"/>
          <w:szCs w:val="24"/>
        </w:rPr>
        <w:t xml:space="preserve"> When disaggregated by sector, the number of claims (per 100,000 enrolled) made by the public sector across </w:t>
      </w:r>
      <w:r w:rsidR="00057881" w:rsidRPr="00E91A88">
        <w:rPr>
          <w:rFonts w:ascii="Times New Roman" w:hAnsi="Times New Roman"/>
          <w:color w:val="231F20"/>
          <w:sz w:val="24"/>
          <w:szCs w:val="24"/>
        </w:rPr>
        <w:t xml:space="preserve">was high among HDD and MDD compared to LDD, but the private claims across </w:t>
      </w:r>
      <w:r w:rsidR="00176304" w:rsidRPr="00E91A88">
        <w:rPr>
          <w:rFonts w:ascii="Times New Roman" w:hAnsi="Times New Roman"/>
          <w:color w:val="231F20"/>
          <w:sz w:val="24"/>
          <w:szCs w:val="24"/>
        </w:rPr>
        <w:t>district groups was similar.</w:t>
      </w:r>
      <w:r w:rsidR="00F76872">
        <w:rPr>
          <w:rFonts w:ascii="Times New Roman" w:hAnsi="Times New Roman"/>
          <w:color w:val="231F20"/>
          <w:sz w:val="24"/>
          <w:szCs w:val="24"/>
        </w:rPr>
        <w:t xml:space="preserve"> There was a significant difference in  number of claims made by people between the 3 groups of districts, with the highest number made by people living in HDD followed by MDD and LDD the least, This pattern was also observed in claims made in public hospitals. However, there was no such pattern observed in claims made in private hospitals. </w:t>
      </w:r>
    </w:p>
    <w:p w14:paraId="095C10C3" w14:textId="77777777" w:rsidR="008B5959" w:rsidRDefault="008B5959" w:rsidP="008B5959">
      <w:pPr>
        <w:pStyle w:val="ColorfulList-Accent11"/>
        <w:autoSpaceDE w:val="0"/>
        <w:autoSpaceDN w:val="0"/>
        <w:adjustRightInd w:val="0"/>
        <w:spacing w:after="0" w:line="240" w:lineRule="auto"/>
        <w:ind w:left="-90" w:right="26" w:firstLine="810"/>
        <w:rPr>
          <w:rFonts w:ascii="Times New Roman" w:hAnsi="Times New Roman"/>
          <w:color w:val="231F20"/>
          <w:sz w:val="24"/>
          <w:szCs w:val="24"/>
        </w:rPr>
      </w:pPr>
    </w:p>
    <w:p w14:paraId="6866B6BD" w14:textId="42426CFD" w:rsidR="00732891" w:rsidRPr="00E91A88" w:rsidRDefault="0064274A" w:rsidP="008B5959">
      <w:pPr>
        <w:pStyle w:val="ColorfulList-Accent11"/>
        <w:autoSpaceDE w:val="0"/>
        <w:autoSpaceDN w:val="0"/>
        <w:adjustRightInd w:val="0"/>
        <w:spacing w:after="0" w:line="240" w:lineRule="auto"/>
        <w:ind w:left="-90" w:right="26" w:firstLine="810"/>
        <w:rPr>
          <w:rFonts w:ascii="Times New Roman" w:hAnsi="Times New Roman"/>
          <w:sz w:val="24"/>
          <w:szCs w:val="24"/>
        </w:rPr>
        <w:sectPr w:rsidR="00732891" w:rsidRPr="00E91A88" w:rsidSect="008B5959">
          <w:pgSz w:w="15840" w:h="19100"/>
          <w:pgMar w:top="1440" w:right="1797" w:bottom="3260" w:left="1803" w:header="720" w:footer="720" w:gutter="0"/>
          <w:cols w:space="720"/>
          <w:noEndnote/>
          <w:docGrid w:linePitch="299"/>
        </w:sectPr>
      </w:pPr>
      <w:r>
        <w:rPr>
          <w:rFonts w:ascii="Times New Roman" w:hAnsi="Times New Roman"/>
          <w:color w:val="231F20"/>
          <w:sz w:val="24"/>
          <w:szCs w:val="24"/>
        </w:rPr>
        <w:t>Table 5 shows the correlation between availability of hospitals and the number of claims made in each district. There was a significant positive correlation between  the availability of private hospitals and the claims made in private hospitals. Figure 1 shows the mismatch between the demand( number of claims made by people) and supply (number of claims made by  hospitals)in the respective district. Districts like C</w:t>
      </w:r>
      <w:r w:rsidR="004C1E3B">
        <w:rPr>
          <w:rFonts w:ascii="Times New Roman" w:hAnsi="Times New Roman"/>
          <w:color w:val="231F20"/>
          <w:sz w:val="24"/>
          <w:szCs w:val="24"/>
        </w:rPr>
        <w:t>hennai, Madurai, Trichy had been supplying more than the demand. While most of the other districts, supplied lesser than the demand. On further exploration, in all the distr</w:t>
      </w:r>
      <w:r w:rsidR="0092687E">
        <w:rPr>
          <w:rFonts w:ascii="Times New Roman" w:hAnsi="Times New Roman"/>
          <w:color w:val="231F20"/>
          <w:sz w:val="24"/>
          <w:szCs w:val="24"/>
        </w:rPr>
        <w:t xml:space="preserve">icts there was a proportion of </w:t>
      </w:r>
      <w:r w:rsidR="004C1E3B">
        <w:rPr>
          <w:rFonts w:ascii="Times New Roman" w:hAnsi="Times New Roman"/>
          <w:color w:val="231F20"/>
          <w:sz w:val="24"/>
          <w:szCs w:val="24"/>
        </w:rPr>
        <w:t>claims made in districts other th</w:t>
      </w:r>
      <w:r w:rsidR="0092687E">
        <w:rPr>
          <w:rFonts w:ascii="Times New Roman" w:hAnsi="Times New Roman"/>
          <w:color w:val="231F20"/>
          <w:sz w:val="24"/>
          <w:szCs w:val="24"/>
        </w:rPr>
        <w:t xml:space="preserve">an their original district. In </w:t>
      </w:r>
      <w:r w:rsidR="004C1E3B">
        <w:rPr>
          <w:rFonts w:ascii="Times New Roman" w:hAnsi="Times New Roman"/>
          <w:color w:val="231F20"/>
          <w:sz w:val="24"/>
          <w:szCs w:val="24"/>
        </w:rPr>
        <w:t>Thiruvallur services for almost 80% of the claims made are obtained from other districts</w:t>
      </w:r>
    </w:p>
    <w:p w14:paraId="477D51D8" w14:textId="77777777" w:rsidR="00176304" w:rsidRPr="00E91A88" w:rsidRDefault="00176304" w:rsidP="008B5959">
      <w:pPr>
        <w:spacing w:line="240" w:lineRule="auto"/>
        <w:rPr>
          <w:rFonts w:ascii="Times New Roman" w:hAnsi="Times New Roman" w:cs="Times New Roman"/>
          <w:sz w:val="24"/>
          <w:szCs w:val="24"/>
        </w:rPr>
      </w:pPr>
      <w:r w:rsidRPr="00E91A88">
        <w:rPr>
          <w:rFonts w:ascii="Times New Roman" w:hAnsi="Times New Roman" w:cs="Times New Roman"/>
          <w:sz w:val="24"/>
          <w:szCs w:val="24"/>
        </w:rPr>
        <w:lastRenderedPageBreak/>
        <w:t>Discussion:</w:t>
      </w:r>
    </w:p>
    <w:p w14:paraId="2DB99580" w14:textId="0F02A66B" w:rsidR="00514923" w:rsidRDefault="006D04CD" w:rsidP="008B5959">
      <w:pPr>
        <w:spacing w:line="240" w:lineRule="auto"/>
        <w:ind w:firstLine="720"/>
        <w:rPr>
          <w:rFonts w:ascii="Times New Roman" w:hAnsi="Times New Roman" w:cs="Times New Roman"/>
          <w:sz w:val="24"/>
          <w:szCs w:val="24"/>
        </w:rPr>
      </w:pPr>
      <w:r w:rsidRPr="00E91A88">
        <w:rPr>
          <w:rFonts w:ascii="Times New Roman" w:hAnsi="Times New Roman" w:cs="Times New Roman"/>
          <w:sz w:val="24"/>
          <w:szCs w:val="24"/>
        </w:rPr>
        <w:t xml:space="preserve">It is observed from the above data that there exist difference in the proportion of population enrolled and hospitals </w:t>
      </w:r>
      <w:r w:rsidR="00421918">
        <w:rPr>
          <w:rFonts w:ascii="Times New Roman" w:hAnsi="Times New Roman" w:cs="Times New Roman"/>
          <w:sz w:val="24"/>
          <w:szCs w:val="24"/>
        </w:rPr>
        <w:t>empaneled</w:t>
      </w:r>
      <w:r w:rsidRPr="00E91A88">
        <w:rPr>
          <w:rFonts w:ascii="Times New Roman" w:hAnsi="Times New Roman" w:cs="Times New Roman"/>
          <w:sz w:val="24"/>
          <w:szCs w:val="24"/>
        </w:rPr>
        <w:t xml:space="preserve"> between different development groups</w:t>
      </w:r>
      <w:r w:rsidR="00182357" w:rsidRPr="00E91A88">
        <w:rPr>
          <w:rFonts w:ascii="Times New Roman" w:hAnsi="Times New Roman" w:cs="Times New Roman"/>
          <w:sz w:val="24"/>
          <w:szCs w:val="24"/>
        </w:rPr>
        <w:t xml:space="preserve">. Insurance enrolment was tended towards low development, with LDD districts having a high proportion of population enrolled under the scheme and HDD had the lowest proportion of people enrolled. CMCHIS is a scheme which is targeted </w:t>
      </w:r>
      <w:r w:rsidR="00A7105E">
        <w:rPr>
          <w:rFonts w:ascii="Times New Roman" w:hAnsi="Times New Roman" w:cs="Times New Roman"/>
          <w:sz w:val="24"/>
          <w:szCs w:val="24"/>
        </w:rPr>
        <w:t xml:space="preserve">towards poor people who have </w:t>
      </w:r>
      <w:r w:rsidR="00182357" w:rsidRPr="00E91A88">
        <w:rPr>
          <w:rFonts w:ascii="Times New Roman" w:hAnsi="Times New Roman" w:cs="Times New Roman"/>
          <w:sz w:val="24"/>
          <w:szCs w:val="24"/>
        </w:rPr>
        <w:t xml:space="preserve">yearly </w:t>
      </w:r>
      <w:r w:rsidR="00E51D79">
        <w:rPr>
          <w:rFonts w:ascii="Times New Roman" w:hAnsi="Times New Roman" w:cs="Times New Roman"/>
          <w:sz w:val="24"/>
          <w:szCs w:val="24"/>
        </w:rPr>
        <w:t>income of less than Rs.72,</w:t>
      </w:r>
      <w:r w:rsidR="00EC3209">
        <w:rPr>
          <w:rFonts w:ascii="Times New Roman" w:hAnsi="Times New Roman" w:cs="Times New Roman"/>
          <w:sz w:val="24"/>
          <w:szCs w:val="24"/>
        </w:rPr>
        <w:t xml:space="preserve"> </w:t>
      </w:r>
      <w:r w:rsidR="00E51D79">
        <w:rPr>
          <w:rFonts w:ascii="Times New Roman" w:hAnsi="Times New Roman" w:cs="Times New Roman"/>
          <w:sz w:val="24"/>
          <w:szCs w:val="24"/>
        </w:rPr>
        <w:t>000/-</w:t>
      </w:r>
      <w:r w:rsidR="00182357" w:rsidRPr="00E91A88">
        <w:rPr>
          <w:rFonts w:ascii="Times New Roman" w:hAnsi="Times New Roman" w:cs="Times New Roman"/>
          <w:sz w:val="24"/>
          <w:szCs w:val="24"/>
        </w:rPr>
        <w:t xml:space="preserve">. Therefore the difference observed between different district groups based on development is essential as the scheme itself is designed for being pro poor. In a similar </w:t>
      </w:r>
      <w:r w:rsidR="00614DA8" w:rsidRPr="00E91A88">
        <w:rPr>
          <w:rFonts w:ascii="Times New Roman" w:hAnsi="Times New Roman" w:cs="Times New Roman"/>
          <w:sz w:val="24"/>
          <w:szCs w:val="24"/>
        </w:rPr>
        <w:t xml:space="preserve">study conducted to look </w:t>
      </w:r>
      <w:r w:rsidR="00182357" w:rsidRPr="00E91A88">
        <w:rPr>
          <w:rFonts w:ascii="Times New Roman" w:hAnsi="Times New Roman" w:cs="Times New Roman"/>
          <w:sz w:val="24"/>
          <w:szCs w:val="24"/>
        </w:rPr>
        <w:t xml:space="preserve">at the geographical inequality in the universal insurance schemes in </w:t>
      </w:r>
      <w:r w:rsidR="005134CA" w:rsidRPr="00E91A88">
        <w:rPr>
          <w:rFonts w:ascii="Times New Roman" w:hAnsi="Times New Roman" w:cs="Times New Roman"/>
          <w:sz w:val="24"/>
          <w:szCs w:val="24"/>
        </w:rPr>
        <w:t>Chhattisgarh</w:t>
      </w:r>
      <w:r w:rsidR="00182357" w:rsidRPr="00E91A88">
        <w:rPr>
          <w:rFonts w:ascii="Times New Roman" w:hAnsi="Times New Roman" w:cs="Times New Roman"/>
          <w:sz w:val="24"/>
          <w:szCs w:val="24"/>
        </w:rPr>
        <w:t xml:space="preserve">, </w:t>
      </w:r>
      <w:r w:rsidR="00614DA8" w:rsidRPr="00E91A88">
        <w:rPr>
          <w:rFonts w:ascii="Times New Roman" w:hAnsi="Times New Roman" w:cs="Times New Roman"/>
          <w:sz w:val="24"/>
          <w:szCs w:val="24"/>
        </w:rPr>
        <w:t xml:space="preserve">the districts of </w:t>
      </w:r>
      <w:r w:rsidR="005134CA" w:rsidRPr="00E91A88">
        <w:rPr>
          <w:rFonts w:ascii="Times New Roman" w:hAnsi="Times New Roman" w:cs="Times New Roman"/>
          <w:sz w:val="24"/>
          <w:szCs w:val="24"/>
        </w:rPr>
        <w:t>Chhattisgarh</w:t>
      </w:r>
      <w:r w:rsidR="00614DA8" w:rsidRPr="00E91A88">
        <w:rPr>
          <w:rFonts w:ascii="Times New Roman" w:hAnsi="Times New Roman" w:cs="Times New Roman"/>
          <w:sz w:val="24"/>
          <w:szCs w:val="24"/>
        </w:rPr>
        <w:t xml:space="preserve"> were classified into vulnerability tertiles based on various criteria like  agricultural economy, caste, rural–urban divide, gender inequality and infrastructure availability.</w:t>
      </w:r>
      <w:r w:rsidR="00EC6297">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{"citationItems":[{"id":"ITEM-1","itemData":{"DOI":"10.1080/16549716.2018.1541220","ISSN":"16549880","abstract":"Background: Countries are increasingly adopting health insurance schemes for achieving Universal Health Coverage. India’s state-funded health insurance scheme covers hospital care provided by ‘empanelled’ private and public hospitals. Objective: This paper assesses geographical equity in availability of hospital services under the universal health insurance scheme in Chhattisgarh state. Methods: The study makes use of district data from the insurance scheme and government surveys. Selected socio-economic indicators are combined to form a composite vulnerability index, which is used to rank and group the state’s 27 districts into tertiles, named as highest, middle and lowest vulnerability districts (HVDs, MVDs, LVDs). Indicators of hospital service availability under the scheme – insurance coverage, number of empanelled private/public hospitals, numbers and amounts of claims – are compared across districts and tertiles. Two measures of inequality, difference and ratio, are used to compare availability between tertiles. Results: The study finds that there is a geographical pattern to vulnerability in Chhattisgarh state. Vulnerability increases with distance from the state’s centre towards the periphery. The highest vulnerability districts have the highest insurance coverage, but the lowest availability of empanelled hospitals (3.4 hospitals per 100,000 enrolled in HVDs, vs 8.2/100,000 enrolled in LVDs). While public sector hospitals are distributed equally, the distribution of private hospitals across tertiles is highly unequal, with higher availability in LVDs. The number of claims (per 100,000 enrolled) in the HVDs is 3.5-times less than that in the LVDs. The claim amounts show a similar pattern. Conclusions: Although insurance coverage is higher in the more vulnerable districts, avail- ability of hospital services is inversely proportional to vulnerability and, therefore, the need for these services. Equitable enrolment in health insurance schemes does not automatically translate into equitable access to healthcare, which is also dependent on availability and specific dynamics of service provision under the scheme","author":[{"dropping-particle":"","family":"Nandi","given":"Sulakshana","non-dropping-particle":"","parse-names":false,"suffix":""},{"dropping-particle":"","family":"Schneider","given":"Helen","non-dropping-particle":"","parse-names":false,"suffix":""},{"dropping-particle":"","family":"Garg","given":"Samir","non-dropping-particle":"","parse-names":false,"suffix":""}],"container-title":"Global Health Action","id":"ITEM-1","issue":"1","issued":{"date-parts":[["2018"]]},"publisher":"Taylor &amp; Francis","title":"Assessing geographical inequity in availability of hospital services under the state-funded universal health insurance scheme in Chhattisgarh state, India, using a composite vulnerability index","type":"article-journal","volume":"11"},"uris":["http://www.mendeley.com/documents/?uuid=eeb2806d-025c-4f21-998b-d5a86e034d04"]}],"mendeley":{"formattedCitation":"&lt;sup&gt;15&lt;/sup&gt;","plainTextFormattedCitation":"15","previouslyFormattedCitation":"&lt;sup&gt;15&lt;/sup&gt;"},"properties":{"noteIndex":0},"schema":"https://github.com/citation-style-language/schema/raw/master/csl-citation.json"}</w:instrText>
      </w:r>
      <w:r w:rsidR="00EC6297">
        <w:rPr>
          <w:rFonts w:ascii="Times New Roman" w:hAnsi="Times New Roman" w:cs="Times New Roman"/>
          <w:sz w:val="24"/>
          <w:szCs w:val="24"/>
        </w:rPr>
        <w:fldChar w:fldCharType="separate"/>
      </w:r>
      <w:r w:rsidR="00815AA9" w:rsidRPr="00815AA9">
        <w:rPr>
          <w:rFonts w:ascii="Times New Roman" w:hAnsi="Times New Roman" w:cs="Times New Roman"/>
          <w:noProof/>
          <w:sz w:val="24"/>
          <w:szCs w:val="24"/>
          <w:vertAlign w:val="superscript"/>
        </w:rPr>
        <w:t>15</w:t>
      </w:r>
      <w:r w:rsidR="00EC6297">
        <w:rPr>
          <w:rFonts w:ascii="Times New Roman" w:hAnsi="Times New Roman" w:cs="Times New Roman"/>
          <w:sz w:val="24"/>
          <w:szCs w:val="24"/>
        </w:rPr>
        <w:fldChar w:fldCharType="end"/>
      </w:r>
      <w:r w:rsidR="00E569BD" w:rsidRPr="00E91A88">
        <w:rPr>
          <w:rFonts w:ascii="Times New Roman" w:hAnsi="Times New Roman" w:cs="Times New Roman"/>
          <w:sz w:val="24"/>
          <w:szCs w:val="24"/>
        </w:rPr>
        <w:t xml:space="preserve"> In </w:t>
      </w:r>
      <w:r w:rsidR="00806C1C" w:rsidRPr="00E91A88">
        <w:rPr>
          <w:rFonts w:ascii="Times New Roman" w:hAnsi="Times New Roman" w:cs="Times New Roman"/>
          <w:sz w:val="24"/>
          <w:szCs w:val="24"/>
        </w:rPr>
        <w:t xml:space="preserve">this study also they found that the enrolment under insurance schemes to be pro poor with highly vulnerable districts having a high enrolment and vice versa. </w:t>
      </w:r>
    </w:p>
    <w:p w14:paraId="43A914A9" w14:textId="7A9389E7" w:rsidR="001D3812" w:rsidRDefault="00806C1C" w:rsidP="008B5959">
      <w:pPr>
        <w:spacing w:line="240" w:lineRule="auto"/>
        <w:ind w:firstLine="720"/>
        <w:rPr>
          <w:rFonts w:ascii="Times New Roman" w:hAnsi="Times New Roman" w:cs="Times New Roman"/>
          <w:sz w:val="24"/>
          <w:szCs w:val="24"/>
        </w:rPr>
      </w:pPr>
      <w:r w:rsidRPr="00E91A88">
        <w:rPr>
          <w:rFonts w:ascii="Times New Roman" w:hAnsi="Times New Roman" w:cs="Times New Roman"/>
          <w:sz w:val="24"/>
          <w:szCs w:val="24"/>
        </w:rPr>
        <w:t xml:space="preserve">While the enrolment under the scheme, seems to be pro poor, the availability of hospitals in the districts follow a regressive pattern. HDD had higher number of hospitals </w:t>
      </w:r>
      <w:r w:rsidR="00421918">
        <w:rPr>
          <w:rFonts w:ascii="Times New Roman" w:hAnsi="Times New Roman" w:cs="Times New Roman"/>
          <w:sz w:val="24"/>
          <w:szCs w:val="24"/>
        </w:rPr>
        <w:t>empaneled</w:t>
      </w:r>
      <w:r w:rsidRPr="00E91A88">
        <w:rPr>
          <w:rFonts w:ascii="Times New Roman" w:hAnsi="Times New Roman" w:cs="Times New Roman"/>
          <w:sz w:val="24"/>
          <w:szCs w:val="24"/>
        </w:rPr>
        <w:t xml:space="preserve"> compared to MDD and LDD. The difference was more pronounced with private hospitals</w:t>
      </w:r>
      <w:r w:rsidRPr="00732891">
        <w:rPr>
          <w:rFonts w:ascii="Times New Roman" w:hAnsi="Times New Roman" w:cs="Times New Roman"/>
          <w:sz w:val="24"/>
          <w:szCs w:val="24"/>
        </w:rPr>
        <w:t>. In districts whi</w:t>
      </w:r>
      <w:r w:rsidR="004C1E3B" w:rsidRPr="00732891">
        <w:rPr>
          <w:rFonts w:ascii="Times New Roman" w:hAnsi="Times New Roman" w:cs="Times New Roman"/>
          <w:sz w:val="24"/>
          <w:szCs w:val="24"/>
        </w:rPr>
        <w:t>ch are poorly developed there a</w:t>
      </w:r>
      <w:r w:rsidRPr="00732891">
        <w:rPr>
          <w:rFonts w:ascii="Times New Roman" w:hAnsi="Times New Roman" w:cs="Times New Roman"/>
          <w:sz w:val="24"/>
          <w:szCs w:val="24"/>
        </w:rPr>
        <w:t>re lesser number of</w:t>
      </w:r>
      <w:r w:rsidR="00732891" w:rsidRPr="00732891">
        <w:rPr>
          <w:rFonts w:ascii="Times New Roman" w:hAnsi="Times New Roman" w:cs="Times New Roman"/>
          <w:sz w:val="24"/>
          <w:szCs w:val="24"/>
        </w:rPr>
        <w:t xml:space="preserve"> </w:t>
      </w:r>
      <w:r w:rsidR="00421918">
        <w:rPr>
          <w:rFonts w:ascii="Times New Roman" w:hAnsi="Times New Roman" w:cs="Times New Roman"/>
          <w:sz w:val="24"/>
          <w:szCs w:val="24"/>
        </w:rPr>
        <w:t>empaneled</w:t>
      </w:r>
      <w:r w:rsidR="00732891" w:rsidRPr="00732891">
        <w:rPr>
          <w:rFonts w:ascii="Times New Roman" w:hAnsi="Times New Roman" w:cs="Times New Roman"/>
          <w:sz w:val="24"/>
          <w:szCs w:val="24"/>
        </w:rPr>
        <w:t xml:space="preserve"> hospitals in </w:t>
      </w:r>
      <w:r w:rsidRPr="00732891">
        <w:rPr>
          <w:rFonts w:ascii="Times New Roman" w:hAnsi="Times New Roman" w:cs="Times New Roman"/>
          <w:sz w:val="24"/>
          <w:szCs w:val="24"/>
        </w:rPr>
        <w:t xml:space="preserve"> both public an</w:t>
      </w:r>
      <w:r w:rsidR="00900055" w:rsidRPr="00732891">
        <w:rPr>
          <w:rFonts w:ascii="Times New Roman" w:hAnsi="Times New Roman" w:cs="Times New Roman"/>
          <w:sz w:val="24"/>
          <w:szCs w:val="24"/>
        </w:rPr>
        <w:t>d privat</w:t>
      </w:r>
      <w:r w:rsidR="00732891" w:rsidRPr="00732891">
        <w:rPr>
          <w:rFonts w:ascii="Times New Roman" w:hAnsi="Times New Roman" w:cs="Times New Roman"/>
          <w:sz w:val="24"/>
          <w:szCs w:val="24"/>
        </w:rPr>
        <w:t>e.</w:t>
      </w:r>
      <w:r w:rsidR="00732891">
        <w:rPr>
          <w:rFonts w:ascii="Times New Roman" w:hAnsi="Times New Roman" w:cs="Times New Roman"/>
          <w:sz w:val="24"/>
          <w:szCs w:val="24"/>
        </w:rPr>
        <w:t xml:space="preserve"> </w:t>
      </w:r>
      <w:r w:rsidR="009827E7">
        <w:rPr>
          <w:rFonts w:ascii="Times New Roman" w:hAnsi="Times New Roman" w:cs="Times New Roman"/>
          <w:sz w:val="24"/>
          <w:szCs w:val="24"/>
        </w:rPr>
        <w:t>However, in these districts the total</w:t>
      </w:r>
      <w:r w:rsidR="0048039B">
        <w:rPr>
          <w:rFonts w:ascii="Times New Roman" w:hAnsi="Times New Roman" w:cs="Times New Roman"/>
          <w:sz w:val="24"/>
          <w:szCs w:val="24"/>
        </w:rPr>
        <w:t xml:space="preserve"> </w:t>
      </w:r>
      <w:r w:rsidR="009827E7">
        <w:rPr>
          <w:rFonts w:ascii="Times New Roman" w:hAnsi="Times New Roman" w:cs="Times New Roman"/>
          <w:sz w:val="24"/>
          <w:szCs w:val="24"/>
        </w:rPr>
        <w:t>number of hospitals available itself was ve</w:t>
      </w:r>
      <w:r w:rsidR="00820F1D">
        <w:rPr>
          <w:rFonts w:ascii="Times New Roman" w:hAnsi="Times New Roman" w:cs="Times New Roman"/>
          <w:sz w:val="24"/>
          <w:szCs w:val="24"/>
        </w:rPr>
        <w:t>ry low, of which most of them wer</w:t>
      </w:r>
      <w:r w:rsidR="009827E7">
        <w:rPr>
          <w:rFonts w:ascii="Times New Roman" w:hAnsi="Times New Roman" w:cs="Times New Roman"/>
          <w:sz w:val="24"/>
          <w:szCs w:val="24"/>
        </w:rPr>
        <w:t xml:space="preserve">e </w:t>
      </w:r>
      <w:r w:rsidR="00421918">
        <w:rPr>
          <w:rFonts w:ascii="Times New Roman" w:hAnsi="Times New Roman" w:cs="Times New Roman"/>
          <w:sz w:val="24"/>
          <w:szCs w:val="24"/>
        </w:rPr>
        <w:t>empaneled</w:t>
      </w:r>
      <w:r w:rsidR="009827E7">
        <w:rPr>
          <w:rFonts w:ascii="Times New Roman" w:hAnsi="Times New Roman" w:cs="Times New Roman"/>
          <w:sz w:val="24"/>
          <w:szCs w:val="24"/>
        </w:rPr>
        <w:t xml:space="preserve"> under the scheme.</w:t>
      </w:r>
    </w:p>
    <w:p w14:paraId="002A135D" w14:textId="353D4E9A" w:rsidR="00526914" w:rsidRPr="00C405E6" w:rsidRDefault="00526914" w:rsidP="008B5959">
      <w:pPr>
        <w:spacing w:line="240" w:lineRule="auto"/>
        <w:ind w:firstLine="720"/>
        <w:rPr>
          <w:rFonts w:ascii="Times New Roman" w:hAnsi="Times New Roman" w:cs="Times New Roman"/>
          <w:sz w:val="24"/>
          <w:szCs w:val="24"/>
        </w:rPr>
      </w:pPr>
      <w:r w:rsidRPr="00E91A88">
        <w:rPr>
          <w:rFonts w:ascii="Times New Roman" w:hAnsi="Times New Roman" w:cs="Times New Roman"/>
          <w:sz w:val="24"/>
          <w:szCs w:val="24"/>
        </w:rPr>
        <w:t xml:space="preserve">It was also found in this study that hospital availability to be significantly correlating with overall HDI, health index and living standard index.  On further </w:t>
      </w:r>
      <w:r w:rsidR="009827E7">
        <w:rPr>
          <w:rFonts w:ascii="Times New Roman" w:hAnsi="Times New Roman" w:cs="Times New Roman"/>
          <w:sz w:val="24"/>
          <w:szCs w:val="24"/>
        </w:rPr>
        <w:t>disaggregating</w:t>
      </w:r>
      <w:r w:rsidRPr="00E91A88">
        <w:rPr>
          <w:rFonts w:ascii="Times New Roman" w:hAnsi="Times New Roman" w:cs="Times New Roman"/>
          <w:sz w:val="24"/>
          <w:szCs w:val="24"/>
        </w:rPr>
        <w:t xml:space="preserve"> sector wise, it showed that number of private hospitals </w:t>
      </w:r>
      <w:r w:rsidR="00421918">
        <w:rPr>
          <w:rFonts w:ascii="Times New Roman" w:hAnsi="Times New Roman" w:cs="Times New Roman"/>
          <w:sz w:val="24"/>
          <w:szCs w:val="24"/>
        </w:rPr>
        <w:t>empaneled</w:t>
      </w:r>
      <w:r w:rsidRPr="00E91A88">
        <w:rPr>
          <w:rFonts w:ascii="Times New Roman" w:hAnsi="Times New Roman" w:cs="Times New Roman"/>
          <w:sz w:val="24"/>
          <w:szCs w:val="24"/>
        </w:rPr>
        <w:t xml:space="preserve"> was found to be significantly correlated with overall HDI and living standard index, whereas public hospitals empanelment was found to significantly </w:t>
      </w:r>
      <w:r w:rsidR="005134CA" w:rsidRPr="00E91A88">
        <w:rPr>
          <w:rFonts w:ascii="Times New Roman" w:hAnsi="Times New Roman" w:cs="Times New Roman"/>
          <w:sz w:val="24"/>
          <w:szCs w:val="24"/>
        </w:rPr>
        <w:t>c</w:t>
      </w:r>
      <w:r w:rsidR="005134CA">
        <w:rPr>
          <w:rFonts w:ascii="Times New Roman" w:hAnsi="Times New Roman" w:cs="Times New Roman"/>
          <w:sz w:val="24"/>
          <w:szCs w:val="24"/>
        </w:rPr>
        <w:t>orrelate</w:t>
      </w:r>
      <w:r>
        <w:rPr>
          <w:rFonts w:ascii="Times New Roman" w:hAnsi="Times New Roman" w:cs="Times New Roman"/>
          <w:sz w:val="24"/>
          <w:szCs w:val="24"/>
        </w:rPr>
        <w:t xml:space="preserve"> with education index. </w:t>
      </w:r>
      <w:r w:rsidR="00514923">
        <w:rPr>
          <w:rFonts w:ascii="Times New Roman" w:hAnsi="Times New Roman" w:cs="Times New Roman"/>
          <w:sz w:val="24"/>
          <w:szCs w:val="24"/>
        </w:rPr>
        <w:t xml:space="preserve">Such </w:t>
      </w:r>
      <w:r w:rsidR="005134CA">
        <w:rPr>
          <w:rFonts w:ascii="Times New Roman" w:hAnsi="Times New Roman" w:cs="Times New Roman"/>
          <w:sz w:val="24"/>
          <w:szCs w:val="24"/>
        </w:rPr>
        <w:t>unequal</w:t>
      </w:r>
      <w:r w:rsidR="00514923">
        <w:rPr>
          <w:rFonts w:ascii="Times New Roman" w:hAnsi="Times New Roman" w:cs="Times New Roman"/>
          <w:sz w:val="24"/>
          <w:szCs w:val="24"/>
        </w:rPr>
        <w:t xml:space="preserve"> concentration of hospitals is not unique to Tamilnadu.</w:t>
      </w:r>
      <w:r w:rsidR="00514923" w:rsidRPr="004338C2">
        <w:rPr>
          <w:rFonts w:ascii="Times New Roman" w:hAnsi="Times New Roman" w:cs="Times New Roman"/>
          <w:color w:val="FF0000"/>
          <w:sz w:val="24"/>
          <w:szCs w:val="24"/>
        </w:rPr>
        <w:t xml:space="preserve"> </w:t>
      </w:r>
      <w:r w:rsidR="00514923" w:rsidRPr="00420F97">
        <w:rPr>
          <w:rFonts w:ascii="Times New Roman" w:hAnsi="Times New Roman" w:cs="Times New Roman"/>
          <w:sz w:val="24"/>
          <w:szCs w:val="24"/>
        </w:rPr>
        <w:t xml:space="preserve">Such </w:t>
      </w:r>
      <w:r w:rsidR="007C217B" w:rsidRPr="00420F97">
        <w:rPr>
          <w:rFonts w:ascii="Times New Roman" w:hAnsi="Times New Roman" w:cs="Times New Roman"/>
          <w:sz w:val="24"/>
          <w:szCs w:val="24"/>
        </w:rPr>
        <w:t xml:space="preserve">spatial inequities </w:t>
      </w:r>
      <w:r w:rsidR="00514923" w:rsidRPr="00420F97">
        <w:rPr>
          <w:rFonts w:ascii="Times New Roman" w:hAnsi="Times New Roman" w:cs="Times New Roman"/>
          <w:sz w:val="24"/>
          <w:szCs w:val="24"/>
        </w:rPr>
        <w:t xml:space="preserve">has also been established in </w:t>
      </w:r>
      <w:r w:rsidR="007C217B" w:rsidRPr="00420F97">
        <w:rPr>
          <w:rFonts w:ascii="Times New Roman" w:hAnsi="Times New Roman" w:cs="Times New Roman"/>
          <w:sz w:val="24"/>
          <w:szCs w:val="24"/>
        </w:rPr>
        <w:t>other developed and developing countries, wherein the most developed part of their re</w:t>
      </w:r>
      <w:r w:rsidR="001D3812">
        <w:rPr>
          <w:rFonts w:ascii="Times New Roman" w:hAnsi="Times New Roman" w:cs="Times New Roman"/>
          <w:sz w:val="24"/>
          <w:szCs w:val="24"/>
        </w:rPr>
        <w:t>gion has concentrated hospitals,</w:t>
      </w:r>
      <w:r w:rsidR="009827E7">
        <w:rPr>
          <w:rFonts w:ascii="Times New Roman" w:hAnsi="Times New Roman" w:cs="Times New Roman"/>
          <w:sz w:val="24"/>
          <w:szCs w:val="24"/>
        </w:rPr>
        <w:t xml:space="preserve"> </w:t>
      </w:r>
      <w:r w:rsidR="007C217B" w:rsidRPr="00420F97">
        <w:rPr>
          <w:rFonts w:ascii="Times New Roman" w:hAnsi="Times New Roman" w:cs="Times New Roman"/>
          <w:sz w:val="24"/>
          <w:szCs w:val="24"/>
        </w:rPr>
        <w:t>while less developed region has sparse distribution of hospitals.</w:t>
      </w:r>
      <w:r w:rsidR="00EC3209" w:rsidRPr="00420F97">
        <w:rPr>
          <w:rFonts w:ascii="Times New Roman" w:hAnsi="Times New Roman" w:cs="Times New Roman"/>
          <w:sz w:val="24"/>
          <w:szCs w:val="24"/>
        </w:rPr>
        <w:t xml:space="preserve"> </w:t>
      </w:r>
      <w:r w:rsidR="001C5D2D" w:rsidRPr="00420F97">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{"citationItems":[{"id":"ITEM-1","itemData":{"DOI":"10.1186/s12939-015-0195-6","ISSN":"14759276","abstract":"BACKGROUND: The inequities in healthcare services between regions, urban and rural, age groups and diverse income groups have been growing rapidly in China. Equal access to basic medical and healthcare services has been recognized as \"a basic right of the people\" by Chinese government. Spatial accessibility to healthcare facilities has received huge attention in Chinese case studies but been less studied particularly at a county level due to limited availability of high-resolution spatial data. This study is focused on measuring spatial accessibility to healthcare facilities in Deqing County. The spatial inequity between the urban (town) and rural is assessed and three scenarios are designed and built to examine which scenario is instrumental for better reducing the spatial inequity.\\n\\nMETHODS: This study utilizes highway network data, Digital Elevation Model (DEM), location of hospitals and clinics, 2010 census data at the finest level - village committee, residential building footprint and building height. Areal weighting method is used to disaggregate population data from village committee level to residential building cell level. Least cost path analysis is applied to calculate the travel time from each building cell to its closest healthcare facility. Then an integral accessibility will be calculated through weighting the travel time to the closest facility between three levels. The spatial inequity in healthcare accessibility between the town and rural areas is examined based on the coverages of areas and populations. The same method is used to compare three scenarios aimed at reducing such spatial inequity - relocation of hospitals, updates of weighting values, and the combination of both.\\n\\nRESULTS: 50.03% of residents can reach a county hospital within 15 min by driving, 95.77% and 100% within 30 and 60 min respectively. 55.14% of residents can reach a town hospital within 5 min, 98.04% and 100% within 15 and 30 min respectively. 57.86% of residential building areas can reach a village clinic within 5 min, 92.65% and 99.22% within 10 and 15 min. After weighting the travel time between the three-level facilities, 30.87% of residents can reach a facility within 5 min, 80.46%% and 99.88% within 15 and 30 min respectively.\\n\\nCONCLUSIONS: The healthcare accessibility pattern of Deqing County has exhibited spatial inequity between the town and rural areas, with the best accessibility in the capital of the county and poorest in the West of the coun…","author":[{"dropping-particle":"","family":"Jin","given":"Cheng","non-dropping-particle":"","parse-names":false,"suffix":""},{"dropping-particle":"","family":"Cheng","given":"Jianquan","non-dropping-particle":"","parse-names":false,"suffix":""},{"dropping-particle":"","family":"Lu","given":"Yuqi","non-dropping-particle":"","parse-names":false,"suffix":""},{"dropping-particle":"","family":"Huang","given":"Zhenfang","non-dropping-particle":"","parse-names":false,"suffix":""},{"dropping-particle":"","family":"Cao","given":"Fangdong","non-dropping-particle":"","parse-names":false,"suffix":""}],"container-title":"International Journal for Equity in Health","id":"ITEM-1","issue":"1","issued":{"date-parts":[["2015"]]},"page":"1-21","publisher":"International Journal for Equity in Health","title":"Spatial inequity in access to healthcare facilities at a county level in a developing country: A case study of Deqing County, Zhejiang, China","type":"article-journal","volume":"14"},"uris":["http://www.mendeley.com/documents/?uuid=85cfd80c-8e7a-4faa-a7a8-f20a98178f8b"]},{"id":"ITEM-2","itemData":{"DOI":"10.2471/BLT.10.076612","ISSN":"0042-9686","author":[{"dropping-particle":"","family":"Helble","given":"Matthias","non-dropping-particle":"","parse-names":false,"suffix":""}],"container-title":"Bulletin of the World Health Organization","id":"ITEM-2","issue":"1","issued":{"date-parts":[["2011","1","1"]]},"page":"68-72","title":"The movement of patients across borders: challenges and opportunities for public health","type":"article-journal","volume":"89"},"uris":["http://www.mendeley.com/documents/?uuid=4af1c0e0-7876-49f7-bd71-4f064b3b2270"]}],"mendeley":{"formattedCitation":"&lt;sup&gt;16,17&lt;/sup&gt;","plainTextFormattedCitation":"16,17","previouslyFormattedCitation":"&lt;sup&gt;16,17&lt;/sup&gt;"},"properties":{"noteIndex":0},"schema":"https://github.com/citation-style-language/schema/raw/master/csl-citation.json"}</w:instrText>
      </w:r>
      <w:r w:rsidR="001C5D2D" w:rsidRPr="00420F97">
        <w:rPr>
          <w:rFonts w:ascii="Times New Roman" w:hAnsi="Times New Roman" w:cs="Times New Roman"/>
          <w:sz w:val="24"/>
          <w:szCs w:val="24"/>
        </w:rPr>
        <w:fldChar w:fldCharType="separate"/>
      </w:r>
      <w:r w:rsidR="00815AA9" w:rsidRPr="00815AA9">
        <w:rPr>
          <w:rFonts w:ascii="Times New Roman" w:hAnsi="Times New Roman" w:cs="Times New Roman"/>
          <w:noProof/>
          <w:sz w:val="24"/>
          <w:szCs w:val="24"/>
          <w:vertAlign w:val="superscript"/>
        </w:rPr>
        <w:t>16,17</w:t>
      </w:r>
      <w:r w:rsidR="001C5D2D" w:rsidRPr="00420F97">
        <w:rPr>
          <w:rFonts w:ascii="Times New Roman" w:hAnsi="Times New Roman" w:cs="Times New Roman"/>
          <w:sz w:val="24"/>
          <w:szCs w:val="24"/>
        </w:rPr>
        <w:fldChar w:fldCharType="end"/>
      </w:r>
      <w:r w:rsidR="001C5D2D" w:rsidRPr="00420F97">
        <w:rPr>
          <w:rFonts w:ascii="Times New Roman" w:hAnsi="Times New Roman" w:cs="Times New Roman"/>
          <w:sz w:val="24"/>
          <w:szCs w:val="24"/>
        </w:rPr>
        <w:t xml:space="preserve"> </w:t>
      </w:r>
      <w:r w:rsidR="007C217B">
        <w:rPr>
          <w:rFonts w:ascii="Times New Roman" w:hAnsi="Times New Roman" w:cs="Times New Roman"/>
          <w:sz w:val="24"/>
          <w:szCs w:val="24"/>
        </w:rPr>
        <w:t xml:space="preserve">In </w:t>
      </w:r>
      <w:r w:rsidR="005134CA">
        <w:rPr>
          <w:rFonts w:ascii="Times New Roman" w:hAnsi="Times New Roman" w:cs="Times New Roman"/>
          <w:sz w:val="24"/>
          <w:szCs w:val="24"/>
        </w:rPr>
        <w:t xml:space="preserve">India, </w:t>
      </w:r>
      <w:r w:rsidR="005134CA" w:rsidRPr="00E91A88">
        <w:rPr>
          <w:rFonts w:ascii="Times New Roman" w:hAnsi="Times New Roman" w:cs="Times New Roman"/>
          <w:sz w:val="24"/>
          <w:szCs w:val="24"/>
        </w:rPr>
        <w:t>similar</w:t>
      </w:r>
      <w:r w:rsidR="00900055" w:rsidRPr="00E91A88">
        <w:rPr>
          <w:rFonts w:ascii="Times New Roman" w:hAnsi="Times New Roman" w:cs="Times New Roman"/>
          <w:sz w:val="24"/>
          <w:szCs w:val="24"/>
        </w:rPr>
        <w:t xml:space="preserve"> pattern was also observed in the study done in </w:t>
      </w:r>
      <w:r w:rsidR="005134CA" w:rsidRPr="00E91A88">
        <w:rPr>
          <w:rFonts w:ascii="Times New Roman" w:hAnsi="Times New Roman" w:cs="Times New Roman"/>
          <w:sz w:val="24"/>
          <w:szCs w:val="24"/>
        </w:rPr>
        <w:t>Chhattisgarh</w:t>
      </w:r>
      <w:r w:rsidR="00900055" w:rsidRPr="00E91A88">
        <w:rPr>
          <w:rFonts w:ascii="Times New Roman" w:hAnsi="Times New Roman" w:cs="Times New Roman"/>
          <w:sz w:val="24"/>
          <w:szCs w:val="24"/>
        </w:rPr>
        <w:t xml:space="preserve">, with less vulnerable districts having more number of hospitals </w:t>
      </w:r>
      <w:r w:rsidR="00421918">
        <w:rPr>
          <w:rFonts w:ascii="Times New Roman" w:hAnsi="Times New Roman" w:cs="Times New Roman"/>
          <w:sz w:val="24"/>
          <w:szCs w:val="24"/>
        </w:rPr>
        <w:t>empaneled</w:t>
      </w:r>
      <w:r w:rsidR="00900055" w:rsidRPr="00E91A88">
        <w:rPr>
          <w:rFonts w:ascii="Times New Roman" w:hAnsi="Times New Roman" w:cs="Times New Roman"/>
          <w:sz w:val="24"/>
          <w:szCs w:val="24"/>
        </w:rPr>
        <w:t xml:space="preserve"> while the highly vulnerable ones with lesser hospitals, wherein the</w:t>
      </w:r>
      <w:r w:rsidR="0006599E">
        <w:rPr>
          <w:rFonts w:ascii="Times New Roman" w:hAnsi="Times New Roman" w:cs="Times New Roman"/>
          <w:sz w:val="24"/>
          <w:szCs w:val="24"/>
        </w:rPr>
        <w:t>y have quoted this pattern as ‘</w:t>
      </w:r>
      <w:r w:rsidR="00900055" w:rsidRPr="00E91A88">
        <w:rPr>
          <w:rFonts w:ascii="Times New Roman" w:hAnsi="Times New Roman" w:cs="Times New Roman"/>
          <w:sz w:val="24"/>
          <w:szCs w:val="24"/>
        </w:rPr>
        <w:t>Inverse Care Law’</w:t>
      </w:r>
      <w:r w:rsidR="004338C2">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{"citationItems":[{"id":"ITEM-1","itemData":{"DOI":"10.1080/16549716.2018.1541220","ISSN":"16549880","abstract":"Background: Countries are increasingly adopting health insurance schemes for achieving Universal Health Coverage. India’s state-funded health insurance scheme covers hospital care provided by ‘empanelled’ private and public hospitals. Objective: This paper assesses geographical equity in availability of hospital services under the universal health insurance scheme in Chhattisgarh state. Methods: The study makes use of district data from the insurance scheme and government surveys. Selected socio-economic indicators are combined to form a composite vulnerability index, which is used to rank and group the state’s 27 districts into tertiles, named as highest, middle and lowest vulnerability districts (HVDs, MVDs, LVDs). Indicators of hospital service availability under the scheme – insurance coverage, number of empanelled private/public hospitals, numbers and amounts of claims – are compared across districts and tertiles. Two measures of inequality, difference and ratio, are used to compare availability between tertiles. Results: The study finds that there is a geographical pattern to vulnerability in Chhattisgarh state. Vulnerability increases with distance from the state’s centre towards the periphery. The highest vulnerability districts have the highest insurance coverage, but the lowest availability of empanelled hospitals (3.4 hospitals per 100,000 enrolled in HVDs, vs 8.2/100,000 enrolled in LVDs). While public sector hospitals are distributed equally, the distribution of private hospitals across tertiles is highly unequal, with higher availability in LVDs. The number of claims (per 100,000 enrolled) in the HVDs is 3.5-times less than that in the LVDs. The claim amounts show a similar pattern. Conclusions: Although insurance coverage is higher in the more vulnerable districts, avail- ability of hospital services is inversely proportional to vulnerability and, therefore, the need for these services. Equitable enrolment in health insurance schemes does not automatically translate into equitable access to healthcare, which is also dependent on availability and specific dynamics of service provision under the scheme","author":[{"dropping-particle":"","family":"Nandi","given":"Sulakshana","non-dropping-particle":"","parse-names":false,"suffix":""},{"dropping-particle":"","family":"Schneider","given":"Helen","non-dropping-particle":"","parse-names":false,"suffix":""},{"dropping-particle":"","family":"Garg","given":"Samir","non-dropping-particle":"","parse-names":false,"suffix":""}],"container-title":"Global Health Action","id":"ITEM-1","issue":"1","issued":{"date-parts":[["2018"]]},"publisher":"Taylor &amp; Francis","title":"Assessing geographical inequity in availability of hospital services under the state-funded universal health insurance scheme in Chhattisgarh state, India, using a composite vulnerability index","type":"article-journal","volume":"11"},"uris":["http://www.mendeley.com/documents/?uuid=eeb2806d-025c-4f21-998b-d5a86e034d04"]}],"mendeley":{"formattedCitation":"&lt;sup&gt;15&lt;/sup&gt;","plainTextFormattedCitation":"15","previouslyFormattedCitation":"&lt;sup&gt;15&lt;/sup&gt;"},"properties":{"noteIndex":0},"schema":"https://github.com/citation-style-language/schema/raw/master/csl-citation.json"}</w:instrText>
      </w:r>
      <w:r w:rsidR="004338C2">
        <w:rPr>
          <w:rFonts w:ascii="Times New Roman" w:hAnsi="Times New Roman" w:cs="Times New Roman"/>
          <w:sz w:val="24"/>
          <w:szCs w:val="24"/>
        </w:rPr>
        <w:fldChar w:fldCharType="separate"/>
      </w:r>
      <w:r w:rsidR="00815AA9" w:rsidRPr="00815AA9">
        <w:rPr>
          <w:rFonts w:ascii="Times New Roman" w:hAnsi="Times New Roman" w:cs="Times New Roman"/>
          <w:noProof/>
          <w:sz w:val="24"/>
          <w:szCs w:val="24"/>
          <w:vertAlign w:val="superscript"/>
        </w:rPr>
        <w:t>15</w:t>
      </w:r>
      <w:r w:rsidR="004338C2">
        <w:rPr>
          <w:rFonts w:ascii="Times New Roman" w:hAnsi="Times New Roman" w:cs="Times New Roman"/>
          <w:sz w:val="24"/>
          <w:szCs w:val="24"/>
        </w:rPr>
        <w:fldChar w:fldCharType="end"/>
      </w:r>
      <w:r w:rsidR="00900055" w:rsidRPr="00E91A88">
        <w:rPr>
          <w:rFonts w:ascii="Times New Roman" w:hAnsi="Times New Roman" w:cs="Times New Roman"/>
          <w:sz w:val="24"/>
          <w:szCs w:val="24"/>
        </w:rPr>
        <w:t>.</w:t>
      </w:r>
      <w:r w:rsidR="00B619CF" w:rsidRPr="00E91A88">
        <w:rPr>
          <w:rFonts w:ascii="Times New Roman" w:hAnsi="Times New Roman" w:cs="Times New Roman"/>
          <w:sz w:val="24"/>
          <w:szCs w:val="24"/>
        </w:rPr>
        <w:t>(ref)</w:t>
      </w:r>
      <w:r w:rsidR="00900055" w:rsidRPr="00E91A88">
        <w:rPr>
          <w:rFonts w:ascii="Times New Roman" w:hAnsi="Times New Roman" w:cs="Times New Roman"/>
          <w:sz w:val="24"/>
          <w:szCs w:val="24"/>
        </w:rPr>
        <w:t xml:space="preserve"> Inverse Care Law as </w:t>
      </w:r>
      <w:r w:rsidR="00B619CF" w:rsidRPr="00E91A88">
        <w:rPr>
          <w:rFonts w:ascii="Times New Roman" w:hAnsi="Times New Roman" w:cs="Times New Roman"/>
          <w:sz w:val="24"/>
          <w:szCs w:val="24"/>
        </w:rPr>
        <w:t xml:space="preserve">proposed by Hart </w:t>
      </w:r>
      <w:r w:rsidR="00E569BD" w:rsidRPr="00E91A88">
        <w:rPr>
          <w:rFonts w:ascii="Times New Roman" w:hAnsi="Times New Roman" w:cs="Times New Roman"/>
          <w:sz w:val="24"/>
          <w:szCs w:val="24"/>
        </w:rPr>
        <w:t>that the availability of good medical care tends to vary inversely with the need of the population served.</w:t>
      </w:r>
      <w:r w:rsidR="00B619CF" w:rsidRPr="00E91A88">
        <w:rPr>
          <w:rFonts w:ascii="Times New Roman" w:hAnsi="Times New Roman" w:cs="Times New Roman"/>
          <w:sz w:val="24"/>
          <w:szCs w:val="24"/>
        </w:rPr>
        <w:t xml:space="preserve"> </w:t>
      </w:r>
      <w:r w:rsidR="004338C2">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{"citationItems":[{"id":"ITEM-1","itemData":{"DOI":"10.1016/S0140-6736(71)92410-X","ISBN":"9781498780643","ISSN":"01406736","PMID":"4101254","abstract":"The availability of good medical care tends to vary inversely with the need for it in the population served. This inverse care law operates more completely where medical care is most exposed to market forces, and less so where such exposure is reduced. The market distribution of medical care is a primitive and historically outdated social form, and any return to it would further exaggerate the maldistribution of medical resources. © 1971.","author":[{"dropping-particle":"","family":"Tudor Hart","given":"Julian","non-dropping-particle":"","parse-names":false,"suffix":""}],"container-title":"The Lancet","id":"ITEM-1","issue":"7696","issued":{"date-parts":[["1971","2"]]},"page":"405-412","title":"THE INVERSE CARE LAW","type":"article-journal","volume":"297"},"uris":["http://www.mendeley.com/documents/?uuid=61336675-f3d8-46d4-8f58-1cd13e937343"]}],"mendeley":{"formattedCitation":"&lt;sup&gt;18&lt;/sup&gt;","plainTextFormattedCitation":"18","previouslyFormattedCitation":"&lt;sup&gt;18&lt;/sup&gt;"},"properties":{"noteIndex":0},"schema":"https://github.com/citation-style-language/schema/raw/master/csl-citation.json"}</w:instrText>
      </w:r>
      <w:r w:rsidR="004338C2">
        <w:rPr>
          <w:rFonts w:ascii="Times New Roman" w:hAnsi="Times New Roman" w:cs="Times New Roman"/>
          <w:sz w:val="24"/>
          <w:szCs w:val="24"/>
        </w:rPr>
        <w:fldChar w:fldCharType="separate"/>
      </w:r>
      <w:r w:rsidR="00815AA9" w:rsidRPr="00815AA9">
        <w:rPr>
          <w:rFonts w:ascii="Times New Roman" w:hAnsi="Times New Roman" w:cs="Times New Roman"/>
          <w:noProof/>
          <w:sz w:val="24"/>
          <w:szCs w:val="24"/>
          <w:vertAlign w:val="superscript"/>
        </w:rPr>
        <w:t>18</w:t>
      </w:r>
      <w:r w:rsidR="004338C2">
        <w:rPr>
          <w:rFonts w:ascii="Times New Roman" w:hAnsi="Times New Roman" w:cs="Times New Roman"/>
          <w:sz w:val="24"/>
          <w:szCs w:val="24"/>
        </w:rPr>
        <w:fldChar w:fldCharType="end"/>
      </w:r>
      <w:r w:rsidR="00E569BD" w:rsidRPr="00C405E6">
        <w:rPr>
          <w:rFonts w:ascii="Times New Roman" w:hAnsi="Times New Roman" w:cs="Times New Roman"/>
          <w:sz w:val="24"/>
          <w:szCs w:val="24"/>
        </w:rPr>
        <w:t>Literature had shown  that geographical areas with poor development usually have the worst health indicators, and, therefore, have higher health needs.</w:t>
      </w:r>
      <w:r w:rsidR="00420F97" w:rsidRPr="00C405E6">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{"citationItems":[{"id":"ITEM-1","itemData":{"ISBN":"0268-1080","abstract":"There is a growing interest in the use of small area analyses in investigating the relationship between socio-economic status and health, and in informing resource allocation decision-making. However, few such studies have been undertaken in low- and middle-income countries (LMICs). This paper reports on such a study undertaken in South Africa. It both looked at the feasibility of developing a broad-based area deprivation index in a data scarce context and considered the implications of such an index for geographic resource allocations. Despite certain data problems, it was possible to construct and compare three different indices: a general index of deprivation (GID), compiled from census data using principal component analysis; a policy-perspective index of deprivation (PID), based on groups identified as priorities within policy documents; and a single indicator of deprivation (SID), selected for relevance and feasibility of use. The findings demonstrate clearly that in South Africa deprivation is multi-faceted, is concentrated in specific areas within the country and is correlated with ill-health. However, the formula currently used by the National Treasury to allocate resources between geographic areas, biases these allocations towards less deprived areas within the country. The inclusion of the GID within this formula would dramatically alter allocations towards those areas suffering from human development deficits. The area in which analysis was undertaken was not, however, sufficiently small to identify pockets of deprivation within the less deprived metropolitan areas. These findings suggest that it is feasible to conduct small area analyses in LMICs but that specific attention needs to be given to the size of the geographic unit used in analysis. In addition, they highlight the importance of considering deprivation in resource allocation mechanisms if vertical equity goals are to be promoted through resource allocation, particularly within decentralized health systems.","author":[{"dropping-particle":"","family":"D.","given":"McIntyre","non-dropping-particle":"","parse-names":false,"suffix":""},{"dropping-particle":"","family":"D.","given":"Muirhead","non-dropping-particle":"","parse-names":false,"suffix":""},{"dropping-particle":"","family":"L.","given":"Gilson","non-dropping-particle":"","parse-names":false,"suffix":""}],"container-title":"Health Policy and Planning","id":"ITEM-1","issue":"SUPPL. 1","issued":{"date-parts":[["2002"]]},"page":"30-39","title":"Geographic patterns of deprivation in South Africa: Informing health equity analyses and public resource allocation strategies","type":"article-journal","volume":"17"},"uris":["http://www.mendeley.com/documents/?uuid=a3597a61-edec-45c0-bfd1-7ac293a95ce6"]},{"id":"ITEM-2","itemData":{"ISSN":"00129976","abstract":"This article utilises the National Family Health Survey-3 data and presents an empirical assessment of income-related health inequality in India. It undertakes a state-level analysis of inequities in child health by employing the widely accepted measures of concentration curves and concentration indices. It finds that the poorer sections of the population are beleaguered with ill health whether in the quest for child survival or due to anxieties pertaining to child nutrition. Further, an attempt is made to comprehend the relationship between income inequality and health status in the Indian context. The analysis reveals that the degree of health inequalities escalates when the rising average income levels of the population are accompanied by rising income inequalities. The income-poor sections have different needs and therefore, planning and intervention necessitates an understanding of the sources of inequality and recognition of the vulnerable groups to arrive at efficient resource allocation and policy decisions.","author":[{"dropping-particle":"","family":"Joe","given":"William","non-dropping-particle":"","parse-names":false,"suffix":""},{"dropping-particle":"","family":"Mishra","given":"U S","non-dropping-particle":"","parse-names":false,"suffix":""},{"dropping-particle":"","family":"Navaneetham","given":"K","non-dropping-particle":"","parse-names":false,"suffix":""}],"container-title":"Economic &amp; Political Weekly","id":"ITEM-2","issue":"31","issued":{"date-parts":[["2008"]]},"page":"41-48","title":"Health Inequality in India : Evidence from NFHS 3","type":"article-journal","volume":"XLIII"},"uris":["http://www.mendeley.com/documents/?uuid=4b3c431b-8a63-44b6-9527-d6bc9121c2b8"]},{"id":"ITEM-3","itemData":{"DOI":"10.1186/s12913-016-1868-6","ISSN":"14726963","abstract":"Health systems research is increasingly being conducted in low and middle-income countries (LMICs). Such research should aim to reduce health disparities between and within countries as a matter of global justice. For such research to do so, ethical guidance that is consistent with egalitarian theories of social justice proposes it ought to (amongst other things) focus on worst-off countries and research populations. Yet who constitutes the worst-off is not well-defined. By applying existing work on disadvantage from political philosophy, the paper demonstrates that (at least) two options exist for how to define the worst-off upon whom equity-oriented health systems research should focus: those who are worst-off in terms of health or those who are systematically disadvantaged. The paper describes in detail how both concepts can be understood and what metrics can be relied upon to identify worst-off countries and research populations at the sub-national level (groups, communities). To demonstrate how each can be used, the paper considers two real-world cases of health systems research and whether their choice of country (Uganda, India) and research population in 2011 would have been classified as amongst the worst-off according to the proposed concepts. The two proposed concepts can classify different countries and sub-national populations as worst-off. It is recommended that health researchers (or other actors) should use the concept that best reflects their moral commitments—namely, to perform research focused on reducing health inequalities or systematic disadvantage more broadly. If addressing the latter, it is recommended that they rely on the multidimensional poverty approach rather than the income approach to identify worst-off populations.","author":[{"dropping-particle":"","family":"Pratt","given":"Bridget","non-dropping-particle":"","parse-names":false,"suffix":""},{"dropping-particle":"","family":"Hyder","given":"Adnan A.","non-dropping-particle":"","parse-names":false,"suffix":""}],"container-title":"BMC Health Services Research","id":"ITEM-3","issue":"Suppl 7","issued":{"date-parts":[["2016"]]},"page":"143-154","publisher":"BMC Health Services Research","title":"How can health systems research reach the worst-off? A conceptual exploration","type":"article-journal","volume":"16"},"uris":["http://www.mendeley.com/documents/?uuid=b06d53d2-8453-4f5d-992c-d1dc3a281a20"]}],"mendeley":{"formattedCitation":"&lt;sup&gt;19–21&lt;/sup&gt;","plainTextFormattedCitation":"19–21","previouslyFormattedCitation":"&lt;sup&gt;19–21&lt;/sup&gt;"},"properties":{"noteIndex":0},"schema":"https://github.com/citation-style-language/schema/raw/master/csl-citation.json"}</w:instrText>
      </w:r>
      <w:r w:rsidR="00420F97" w:rsidRPr="00C405E6">
        <w:rPr>
          <w:rFonts w:ascii="Times New Roman" w:hAnsi="Times New Roman" w:cs="Times New Roman"/>
          <w:sz w:val="24"/>
          <w:szCs w:val="24"/>
        </w:rPr>
        <w:fldChar w:fldCharType="separate"/>
      </w:r>
      <w:r w:rsidR="00815AA9" w:rsidRPr="00815AA9">
        <w:rPr>
          <w:rFonts w:ascii="Times New Roman" w:hAnsi="Times New Roman" w:cs="Times New Roman"/>
          <w:noProof/>
          <w:sz w:val="24"/>
          <w:szCs w:val="24"/>
          <w:vertAlign w:val="superscript"/>
        </w:rPr>
        <w:t>19–21</w:t>
      </w:r>
      <w:r w:rsidR="00420F97" w:rsidRPr="00C405E6">
        <w:rPr>
          <w:rFonts w:ascii="Times New Roman" w:hAnsi="Times New Roman" w:cs="Times New Roman"/>
          <w:sz w:val="24"/>
          <w:szCs w:val="24"/>
        </w:rPr>
        <w:fldChar w:fldCharType="end"/>
      </w:r>
      <w:r w:rsidR="00E569BD" w:rsidRPr="00E91A88">
        <w:rPr>
          <w:rFonts w:ascii="Times New Roman" w:hAnsi="Times New Roman" w:cs="Times New Roman"/>
          <w:sz w:val="24"/>
          <w:szCs w:val="24"/>
        </w:rPr>
        <w:t xml:space="preserve">Hence in Tamilnadu also we can relate to this phenomenon of “Inverse Care Law” wherein districts which </w:t>
      </w:r>
      <w:r w:rsidR="00BC6E35">
        <w:rPr>
          <w:rFonts w:ascii="Times New Roman" w:hAnsi="Times New Roman" w:cs="Times New Roman"/>
          <w:sz w:val="24"/>
          <w:szCs w:val="24"/>
        </w:rPr>
        <w:t>having</w:t>
      </w:r>
      <w:r w:rsidR="00E569BD" w:rsidRPr="00E91A88">
        <w:rPr>
          <w:rFonts w:ascii="Times New Roman" w:hAnsi="Times New Roman" w:cs="Times New Roman"/>
          <w:sz w:val="24"/>
          <w:szCs w:val="24"/>
        </w:rPr>
        <w:t xml:space="preserve"> a high demand is provided with lesser supply.  Limited number of hospitals within the districts gives the people a limited choice to choose. </w:t>
      </w:r>
    </w:p>
    <w:p w14:paraId="7390FFCD" w14:textId="77777777" w:rsidR="008B5959" w:rsidRDefault="008B5959" w:rsidP="008B5959">
      <w:pPr>
        <w:spacing w:line="240" w:lineRule="auto"/>
        <w:ind w:firstLine="720"/>
        <w:rPr>
          <w:rFonts w:ascii="Times New Roman" w:hAnsi="Times New Roman" w:cs="Times New Roman"/>
          <w:sz w:val="24"/>
          <w:szCs w:val="24"/>
        </w:rPr>
      </w:pPr>
    </w:p>
    <w:p w14:paraId="70F417EE" w14:textId="2BFBBD11" w:rsidR="009827E7" w:rsidRPr="00420F97" w:rsidRDefault="00FB1199" w:rsidP="008B5959">
      <w:pPr>
        <w:spacing w:line="240" w:lineRule="auto"/>
        <w:ind w:firstLine="720"/>
        <w:rPr>
          <w:rFonts w:ascii="Times New Roman" w:hAnsi="Times New Roman" w:cs="Times New Roman"/>
          <w:sz w:val="24"/>
          <w:szCs w:val="24"/>
        </w:rPr>
      </w:pPr>
      <w:r>
        <w:rPr>
          <w:rFonts w:ascii="Times New Roman" w:hAnsi="Times New Roman" w:cs="Times New Roman"/>
          <w:sz w:val="24"/>
          <w:szCs w:val="24"/>
        </w:rPr>
        <w:t>Utilization of CMCHIS by population is measured as number of claims made by people per one lakh families</w:t>
      </w:r>
      <w:r w:rsidR="00526914">
        <w:rPr>
          <w:rFonts w:ascii="Times New Roman" w:hAnsi="Times New Roman" w:cs="Times New Roman"/>
          <w:sz w:val="24"/>
          <w:szCs w:val="24"/>
        </w:rPr>
        <w:t xml:space="preserve"> enrolled in each district.</w:t>
      </w:r>
      <w:r w:rsidR="00D4142B">
        <w:rPr>
          <w:rFonts w:ascii="Times New Roman" w:hAnsi="Times New Roman" w:cs="Times New Roman"/>
          <w:sz w:val="24"/>
          <w:szCs w:val="24"/>
        </w:rPr>
        <w:t xml:space="preserve"> </w:t>
      </w:r>
      <w:r w:rsidR="00D56F77">
        <w:rPr>
          <w:rFonts w:ascii="Times New Roman" w:hAnsi="Times New Roman" w:cs="Times New Roman"/>
          <w:sz w:val="24"/>
          <w:szCs w:val="24"/>
        </w:rPr>
        <w:t xml:space="preserve">HDD had significantly high number of average claims made per one lakh families compared to MDD and LDD. Similarly MDD also had high number of claims compared to LDD. This was very much similar to the pattern of availability of hospitals in the districts. </w:t>
      </w:r>
      <w:r w:rsidR="00213BBE">
        <w:rPr>
          <w:rFonts w:ascii="Times New Roman" w:hAnsi="Times New Roman" w:cs="Times New Roman"/>
          <w:sz w:val="24"/>
          <w:szCs w:val="24"/>
        </w:rPr>
        <w:t xml:space="preserve">It is evident from the literature available that </w:t>
      </w:r>
      <w:r w:rsidR="00F14C20" w:rsidRPr="00E91A88">
        <w:rPr>
          <w:rFonts w:ascii="Times New Roman" w:hAnsi="Times New Roman" w:cs="Times New Roman"/>
          <w:sz w:val="24"/>
          <w:szCs w:val="24"/>
        </w:rPr>
        <w:t>areas with poor development have the worst health indicators</w:t>
      </w:r>
      <w:r w:rsidR="00213BBE">
        <w:rPr>
          <w:rFonts w:ascii="Times New Roman" w:hAnsi="Times New Roman" w:cs="Times New Roman"/>
          <w:sz w:val="24"/>
          <w:szCs w:val="24"/>
        </w:rPr>
        <w:t>.</w:t>
      </w:r>
      <w:r w:rsidR="00584F98" w:rsidRPr="00C405E6">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{"citationItems":[{"id":"ITEM-1","itemData":{"ISBN":"0268-1080","abstract":"There is a growing interest in the use of small area analyses in investigating the relationship between socio-economic status and health, and in informing resource allocation decision-making. However, few such studies have been undertaken in low- and middle-income countries (LMICs). This paper reports on such a study undertaken in South Africa. It both looked at the feasibility of developing a broad-based area deprivation index in a data scarce context and considered the implications of such an index for geographic resource allocations. Despite certain data problems, it was possible to construct and compare three different indices: a general index of deprivation (GID), compiled from census data using principal component analysis; a policy-perspective index of deprivation (PID), based on groups identified as priorities within policy documents; and a single indicator of deprivation (SID), selected for relevance and feasibility of use. The findings demonstrate clearly that in South Africa deprivation is multi-faceted, is concentrated in specific areas within the country and is correlated with ill-health. However, the formula currently used by the National Treasury to allocate resources between geographic areas, biases these allocations towards less deprived areas within the country. The inclusion of the GID within this formula would dramatically alter allocations towards those areas suffering from human development deficits. The area in which analysis was undertaken was not, however, sufficiently small to identify pockets of deprivation within the less deprived metropolitan areas. These findings suggest that it is feasible to conduct small area analyses in LMICs but that specific attention needs to be given to the size of the geographic unit used in analysis. In addition, they highlight the importance of considering deprivation in resource allocation mechanisms if vertical equity goals are to be promoted through resource allocation, particularly within decentralized health systems.","author":[{"dropping-particle":"","family":"D.","given":"McIntyre","non-dropping-particle":"","parse-names":false,"suffix":""},{"dropping-particle":"","family":"D.","given":"Muirhead","non-dropping-particle":"","parse-names":false,"suffix":""},{"dropping-particle":"","family":"L.","given":"Gilson","non-dropping-particle":"","parse-names":false,"suffix":""}],"container-title":"Health Policy and Planning","id":"ITEM-1","issue":"SUPPL. 1","issued":{"date-parts":[["2002"]]},"page":"30-39","title":"Geographic patterns of deprivation in South Africa: Informing health equity analyses and public resource allocation strategies","type":"article-journal","volume":"17"},"uris":["http://www.mendeley.com/documents/?uuid=a3597a61-edec-45c0-bfd1-7ac293a95ce6"]},{"id":"ITEM-2","itemData":{"ISSN":"00129976","abstract":"This article utilises the National Family Health Survey-3 data and presents an empirical assessment of income-related health inequality in India. It undertakes a state-level analysis of inequities in child health by employing the widely accepted measures of concentration curves and concentration indices. It finds that the poorer sections of the population are beleaguered with ill health whether in the quest for child survival or due to anxieties pertaining to child nutrition. Further, an attempt is made to comprehend the relationship between income inequality and health status in the Indian context. The analysis reveals that the degree of health inequalities escalates when the rising average income levels of the population are accompanied by rising income inequalities. The income-poor sections have different needs and therefore, planning and intervention necessitates an understanding of the sources of inequality and recognition of the vulnerable groups to arrive at efficient resource allocation and policy decisions.","author":[{"dropping-particle":"","family":"Joe","given":"William","non-dropping-particle":"","parse-names":false,"suffix":""},{"dropping-particle":"","family":"Mishra","given":"U S","non-dropping-particle":"","parse-names":false,"suffix":""},{"dropping-particle":"","family":"Navaneetham","given":"K","non-dropping-particle":"","parse-names":false,"suffix":""}],"container-title":"Economic &amp; Political Weekly","id":"ITEM-2","issue":"31","issued":{"date-parts":[["2008"]]},"page":"41-48","title":"Health Inequality in India : Evidence from NFHS 3","type":"article-journal","volume":"XLIII"},"uris":["http://www.mendeley.com/documents/?uuid=4b3c431b-8a63-44b6-9527-d6bc9121c2b8"]},{"id":"ITEM-3","itemData":{"DOI":"10.1186/s12913-016-1868-6","ISSN":"14726963","abstract":"Health systems research is increasingly being conducted in low and middle-income countries (LMICs). Such research should aim to reduce health disparities between and within countries as a matter of global justice. For such research to do so, ethical guidance that is consistent with egalitarian theories of social justice proposes it ought to (amongst other things) focus on worst-off countries and research populations. Yet who constitutes the worst-off is not well-defined. By applying existing work on disadvantage from political philosophy, the paper demonstrates that (at least) two options exist for how to define the worst-off upon whom equity-oriented health systems research should focus: those who are worst-off in terms of health or those who are systematically disadvantaged. The paper describes in detail how both concepts can be understood and what metrics can be relied upon to identify worst-off countries and research populations at the sub-national level (groups, communities). To demonstrate how each can be used, the paper considers two real-world cases of health systems research and whether their choice of country (Uganda, India) and research population in 2011 would have been classified as amongst the worst-off according to the proposed concepts. The two proposed concepts can classify different countries and sub-national populations as worst-off. It is recommended that health researchers (or other actors) should use the concept that best reflects their moral commitments—namely, to perform research focused on reducing health inequalities or systematic disadvantage more broadly. If addressing the latter, it is recommended that they rely on the multidimensional poverty approach rather than the income approach to identify worst-off populations.","author":[{"dropping-particle":"","family":"Pratt","given":"Bridget","non-dropping-particle":"","parse-names":false,"suffix":""},{"dropping-particle":"","family":"Hyder","given":"Adnan A.","non-dropping-particle":"","parse-names":false,"suffix":""}],"container-title":"BMC Health Services Research","id":"ITEM-3","issue":"Suppl 7","issued":{"date-parts":[["2016"]]},"page":"143-154","publisher":"BMC Health Services Research","title":"How can health systems research reach the worst-off? A conceptual exploration","type":"article-journal","volume":"16"},"uris":["http://www.mendeley.com/documents/?uuid=b06d53d2-8453-4f5d-992c-d1dc3a281a20"]}],"mendeley":{"formattedCitation":"&lt;sup&gt;19–21&lt;/sup&gt;","plainTextFormattedCitation":"19–21","previouslyFormattedCitation":"&lt;sup&gt;19–21&lt;/sup&gt;"},"properties":{"noteIndex":0},"schema":"https://github.com/citation-style-language/schema/raw/master/csl-citation.json"}</w:instrText>
      </w:r>
      <w:r w:rsidR="00584F98" w:rsidRPr="00C405E6">
        <w:rPr>
          <w:rFonts w:ascii="Times New Roman" w:hAnsi="Times New Roman" w:cs="Times New Roman"/>
          <w:sz w:val="24"/>
          <w:szCs w:val="24"/>
        </w:rPr>
        <w:fldChar w:fldCharType="separate"/>
      </w:r>
      <w:r w:rsidR="00584F98" w:rsidRPr="00815AA9">
        <w:rPr>
          <w:rFonts w:ascii="Times New Roman" w:hAnsi="Times New Roman" w:cs="Times New Roman"/>
          <w:noProof/>
          <w:sz w:val="24"/>
          <w:szCs w:val="24"/>
          <w:vertAlign w:val="superscript"/>
        </w:rPr>
        <w:t>19–21</w:t>
      </w:r>
      <w:r w:rsidR="00584F98" w:rsidRPr="00C405E6">
        <w:rPr>
          <w:rFonts w:ascii="Times New Roman" w:hAnsi="Times New Roman" w:cs="Times New Roman"/>
          <w:sz w:val="24"/>
          <w:szCs w:val="24"/>
        </w:rPr>
        <w:fldChar w:fldCharType="end"/>
      </w:r>
      <w:r w:rsidR="00584F98">
        <w:rPr>
          <w:rFonts w:ascii="Times New Roman" w:hAnsi="Times New Roman" w:cs="Times New Roman"/>
          <w:sz w:val="24"/>
          <w:szCs w:val="24"/>
        </w:rPr>
        <w:t xml:space="preserve"> This is also evident</w:t>
      </w:r>
      <w:r w:rsidR="00526914">
        <w:rPr>
          <w:rFonts w:ascii="Times New Roman" w:hAnsi="Times New Roman" w:cs="Times New Roman"/>
          <w:sz w:val="24"/>
          <w:szCs w:val="24"/>
        </w:rPr>
        <w:t xml:space="preserve"> from the difference in health index</w:t>
      </w:r>
      <w:r w:rsidR="00584F98">
        <w:rPr>
          <w:rFonts w:ascii="Times New Roman" w:hAnsi="Times New Roman" w:cs="Times New Roman"/>
          <w:sz w:val="24"/>
          <w:szCs w:val="24"/>
        </w:rPr>
        <w:t>, which is one of the component used for computing HDI.</w:t>
      </w:r>
      <w:r w:rsidR="00526914">
        <w:rPr>
          <w:rFonts w:ascii="Times New Roman" w:hAnsi="Times New Roman" w:cs="Times New Roman"/>
          <w:sz w:val="24"/>
          <w:szCs w:val="24"/>
        </w:rPr>
        <w:t xml:space="preserve"> (The mean health index for HDD was 0.9, MDD- 0.6, LDD -0.5) </w:t>
      </w:r>
      <w:r w:rsidR="00584F98">
        <w:rPr>
          <w:rFonts w:ascii="Times New Roman" w:hAnsi="Times New Roman" w:cs="Times New Roman"/>
          <w:sz w:val="24"/>
          <w:szCs w:val="24"/>
        </w:rPr>
        <w:t>T</w:t>
      </w:r>
      <w:r w:rsidR="00F14C20" w:rsidRPr="00E91A88">
        <w:rPr>
          <w:rFonts w:ascii="Times New Roman" w:hAnsi="Times New Roman" w:cs="Times New Roman"/>
          <w:sz w:val="24"/>
          <w:szCs w:val="24"/>
        </w:rPr>
        <w:t>herefore</w:t>
      </w:r>
      <w:r w:rsidR="00F14C20">
        <w:rPr>
          <w:rFonts w:ascii="Times New Roman" w:hAnsi="Times New Roman" w:cs="Times New Roman"/>
          <w:sz w:val="24"/>
          <w:szCs w:val="24"/>
        </w:rPr>
        <w:t xml:space="preserve">, </w:t>
      </w:r>
      <w:r w:rsidR="00584F98">
        <w:rPr>
          <w:rFonts w:ascii="Times New Roman" w:hAnsi="Times New Roman" w:cs="Times New Roman"/>
          <w:sz w:val="24"/>
          <w:szCs w:val="24"/>
        </w:rPr>
        <w:t xml:space="preserve">these districts tend to have higher health needs. </w:t>
      </w:r>
      <w:r w:rsidR="00584F98" w:rsidRPr="00584F98">
        <w:rPr>
          <w:rFonts w:ascii="Times New Roman" w:hAnsi="Times New Roman" w:cs="Times New Roman"/>
          <w:sz w:val="24"/>
          <w:szCs w:val="24"/>
        </w:rPr>
        <w:t>However,</w:t>
      </w:r>
      <w:r w:rsidR="00584F98">
        <w:rPr>
          <w:rFonts w:ascii="Times New Roman" w:hAnsi="Times New Roman" w:cs="Times New Roman"/>
          <w:sz w:val="24"/>
          <w:szCs w:val="24"/>
        </w:rPr>
        <w:t xml:space="preserve"> these districts had lesser claims under</w:t>
      </w:r>
      <w:r w:rsidR="00C3051A">
        <w:rPr>
          <w:rFonts w:ascii="Times New Roman" w:hAnsi="Times New Roman" w:cs="Times New Roman"/>
          <w:sz w:val="24"/>
          <w:szCs w:val="24"/>
        </w:rPr>
        <w:t xml:space="preserve"> CMCHIS </w:t>
      </w:r>
      <w:r w:rsidR="00A55861">
        <w:rPr>
          <w:rFonts w:ascii="Times New Roman" w:hAnsi="Times New Roman" w:cs="Times New Roman"/>
          <w:sz w:val="24"/>
          <w:szCs w:val="24"/>
        </w:rPr>
        <w:t>compared to HDD</w:t>
      </w:r>
      <w:r w:rsidR="00F14C20">
        <w:rPr>
          <w:rFonts w:ascii="Times New Roman" w:hAnsi="Times New Roman" w:cs="Times New Roman"/>
          <w:sz w:val="24"/>
          <w:szCs w:val="24"/>
        </w:rPr>
        <w:t xml:space="preserve"> </w:t>
      </w:r>
      <w:r w:rsidR="00584F98">
        <w:rPr>
          <w:rFonts w:ascii="Times New Roman" w:hAnsi="Times New Roman" w:cs="Times New Roman"/>
          <w:sz w:val="24"/>
          <w:szCs w:val="24"/>
        </w:rPr>
        <w:t>which could be either</w:t>
      </w:r>
      <w:r w:rsidR="00F14C20">
        <w:rPr>
          <w:rFonts w:ascii="Times New Roman" w:hAnsi="Times New Roman" w:cs="Times New Roman"/>
          <w:sz w:val="24"/>
          <w:szCs w:val="24"/>
        </w:rPr>
        <w:t xml:space="preserve"> </w:t>
      </w:r>
      <w:r w:rsidR="00C3051A">
        <w:rPr>
          <w:rFonts w:ascii="Times New Roman" w:hAnsi="Times New Roman" w:cs="Times New Roman"/>
          <w:sz w:val="24"/>
          <w:szCs w:val="24"/>
        </w:rPr>
        <w:t>because</w:t>
      </w:r>
      <w:r w:rsidR="00820F1D">
        <w:rPr>
          <w:rFonts w:ascii="Times New Roman" w:hAnsi="Times New Roman" w:cs="Times New Roman"/>
          <w:sz w:val="24"/>
          <w:szCs w:val="24"/>
        </w:rPr>
        <w:t xml:space="preserve"> they were</w:t>
      </w:r>
      <w:r w:rsidR="00F14C20">
        <w:rPr>
          <w:rFonts w:ascii="Times New Roman" w:hAnsi="Times New Roman" w:cs="Times New Roman"/>
          <w:sz w:val="24"/>
          <w:szCs w:val="24"/>
        </w:rPr>
        <w:t xml:space="preserve"> not aware of ava</w:t>
      </w:r>
      <w:r w:rsidR="00D56F77">
        <w:rPr>
          <w:rFonts w:ascii="Times New Roman" w:hAnsi="Times New Roman" w:cs="Times New Roman"/>
          <w:sz w:val="24"/>
          <w:szCs w:val="24"/>
        </w:rPr>
        <w:t>iling services</w:t>
      </w:r>
      <w:r w:rsidR="00584F98">
        <w:rPr>
          <w:rFonts w:ascii="Times New Roman" w:hAnsi="Times New Roman" w:cs="Times New Roman"/>
          <w:sz w:val="24"/>
          <w:szCs w:val="24"/>
        </w:rPr>
        <w:t xml:space="preserve"> </w:t>
      </w:r>
      <w:r w:rsidR="00820F1D">
        <w:rPr>
          <w:rFonts w:ascii="Times New Roman" w:hAnsi="Times New Roman" w:cs="Times New Roman"/>
          <w:sz w:val="24"/>
          <w:szCs w:val="24"/>
        </w:rPr>
        <w:t xml:space="preserve">under CMCHIS or could be because they had difficulty in access owing to </w:t>
      </w:r>
      <w:r w:rsidR="00A55861">
        <w:rPr>
          <w:rFonts w:ascii="Times New Roman" w:hAnsi="Times New Roman" w:cs="Times New Roman"/>
          <w:sz w:val="24"/>
          <w:szCs w:val="24"/>
        </w:rPr>
        <w:t>less</w:t>
      </w:r>
      <w:r w:rsidR="00584F98">
        <w:rPr>
          <w:rFonts w:ascii="Times New Roman" w:hAnsi="Times New Roman" w:cs="Times New Roman"/>
          <w:sz w:val="24"/>
          <w:szCs w:val="24"/>
        </w:rPr>
        <w:t>er availability</w:t>
      </w:r>
      <w:r w:rsidR="00A55861">
        <w:rPr>
          <w:rFonts w:ascii="Times New Roman" w:hAnsi="Times New Roman" w:cs="Times New Roman"/>
          <w:sz w:val="24"/>
          <w:szCs w:val="24"/>
        </w:rPr>
        <w:t xml:space="preserve"> of hospitals </w:t>
      </w:r>
      <w:r w:rsidR="00584F98">
        <w:rPr>
          <w:rFonts w:ascii="Times New Roman" w:hAnsi="Times New Roman" w:cs="Times New Roman"/>
          <w:sz w:val="24"/>
          <w:szCs w:val="24"/>
        </w:rPr>
        <w:t xml:space="preserve">or the required </w:t>
      </w:r>
      <w:r w:rsidR="0065596F">
        <w:rPr>
          <w:rFonts w:ascii="Times New Roman" w:hAnsi="Times New Roman" w:cs="Times New Roman"/>
          <w:sz w:val="24"/>
          <w:szCs w:val="24"/>
        </w:rPr>
        <w:t>speciality</w:t>
      </w:r>
      <w:r w:rsidR="00820F1D" w:rsidRPr="00732891">
        <w:rPr>
          <w:rFonts w:ascii="Times New Roman" w:hAnsi="Times New Roman" w:cs="Times New Roman"/>
          <w:color w:val="000000" w:themeColor="text1"/>
          <w:sz w:val="24"/>
          <w:szCs w:val="24"/>
        </w:rPr>
        <w:t>.</w:t>
      </w:r>
      <w:r w:rsidR="005134CA" w:rsidRPr="00732891">
        <w:rPr>
          <w:rFonts w:ascii="Times New Roman" w:hAnsi="Times New Roman" w:cs="Times New Roman"/>
          <w:color w:val="000000" w:themeColor="text1"/>
          <w:sz w:val="24"/>
          <w:szCs w:val="24"/>
        </w:rPr>
        <w:t xml:space="preserve"> </w:t>
      </w:r>
      <w:r w:rsidR="00F14C20" w:rsidRPr="00732891">
        <w:rPr>
          <w:rFonts w:ascii="Times New Roman" w:hAnsi="Times New Roman" w:cs="Times New Roman"/>
          <w:color w:val="000000" w:themeColor="text1"/>
          <w:sz w:val="24"/>
          <w:szCs w:val="24"/>
        </w:rPr>
        <w:t>Other</w:t>
      </w:r>
      <w:r w:rsidR="00D56F77" w:rsidRPr="00732891">
        <w:rPr>
          <w:rFonts w:ascii="Times New Roman" w:hAnsi="Times New Roman" w:cs="Times New Roman"/>
          <w:color w:val="000000" w:themeColor="text1"/>
          <w:sz w:val="24"/>
          <w:szCs w:val="24"/>
        </w:rPr>
        <w:t xml:space="preserve">wise this could be because of </w:t>
      </w:r>
      <w:r w:rsidR="00F14C20" w:rsidRPr="00732891">
        <w:rPr>
          <w:rFonts w:ascii="Times New Roman" w:hAnsi="Times New Roman" w:cs="Times New Roman"/>
          <w:color w:val="000000" w:themeColor="text1"/>
          <w:sz w:val="24"/>
          <w:szCs w:val="24"/>
        </w:rPr>
        <w:t>overutilization of services by peop</w:t>
      </w:r>
      <w:r w:rsidR="00D56F77" w:rsidRPr="00732891">
        <w:rPr>
          <w:rFonts w:ascii="Times New Roman" w:hAnsi="Times New Roman" w:cs="Times New Roman"/>
          <w:color w:val="000000" w:themeColor="text1"/>
          <w:sz w:val="24"/>
          <w:szCs w:val="24"/>
        </w:rPr>
        <w:t>le in most developed districts</w:t>
      </w:r>
      <w:r w:rsidR="00B7581E" w:rsidRPr="00732891">
        <w:rPr>
          <w:rFonts w:ascii="Times New Roman" w:hAnsi="Times New Roman" w:cs="Times New Roman"/>
          <w:color w:val="000000" w:themeColor="text1"/>
          <w:sz w:val="24"/>
          <w:szCs w:val="24"/>
        </w:rPr>
        <w:t>.</w:t>
      </w:r>
      <w:r w:rsidR="00526914" w:rsidRPr="00732891">
        <w:rPr>
          <w:rFonts w:ascii="Times New Roman" w:hAnsi="Times New Roman" w:cs="Times New Roman"/>
          <w:color w:val="000000" w:themeColor="text1"/>
          <w:sz w:val="24"/>
          <w:szCs w:val="24"/>
        </w:rPr>
        <w:t xml:space="preserve"> </w:t>
      </w:r>
      <w:r w:rsidR="009827E7" w:rsidRPr="00732891">
        <w:rPr>
          <w:rFonts w:ascii="Times New Roman" w:hAnsi="Times New Roman" w:cs="Times New Roman"/>
          <w:color w:val="000000" w:themeColor="text1"/>
          <w:sz w:val="24"/>
          <w:szCs w:val="24"/>
        </w:rPr>
        <w:t>This unequal distribution could also be explained by a phenomenon called</w:t>
      </w:r>
      <w:r w:rsidR="009827E7" w:rsidRPr="00732891">
        <w:rPr>
          <w:rFonts w:ascii="Times New Roman" w:hAnsi="Times New Roman" w:cs="Times New Roman"/>
          <w:b/>
          <w:bCs/>
          <w:color w:val="000000" w:themeColor="text1"/>
          <w:sz w:val="24"/>
          <w:szCs w:val="24"/>
        </w:rPr>
        <w:t xml:space="preserve"> </w:t>
      </w:r>
      <w:r w:rsidR="009827E7" w:rsidRPr="00420F97">
        <w:rPr>
          <w:rFonts w:ascii="Times New Roman" w:hAnsi="Times New Roman" w:cs="Times New Roman"/>
          <w:sz w:val="24"/>
          <w:szCs w:val="24"/>
        </w:rPr>
        <w:t>‘inverse equity hypothesis’</w:t>
      </w:r>
      <w:r w:rsidR="00820F1D" w:rsidRPr="00820F1D">
        <w:rPr>
          <w:rFonts w:ascii="Times New Roman" w:hAnsi="Times New Roman" w:cs="Times New Roman"/>
          <w:sz w:val="24"/>
          <w:szCs w:val="24"/>
        </w:rPr>
        <w:t xml:space="preserve"> </w:t>
      </w:r>
      <w:r w:rsidR="00820F1D" w:rsidRPr="00420F97">
        <w:rPr>
          <w:rFonts w:ascii="Times New Roman" w:hAnsi="Times New Roman" w:cs="Times New Roman"/>
          <w:sz w:val="24"/>
          <w:szCs w:val="24"/>
        </w:rPr>
        <w:t>which states that any new interventions initially reach the socio-economically more well-off, while the majority of the poor benefit only later in time.</w:t>
      </w:r>
      <w:r w:rsidR="00820F1D" w:rsidRPr="00420F97">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{"citationItems":[{"id":"ITEM-1","itemData":{"DOI":"10.2471/BLT.10.076612","ISSN":"0042-9686","author":[{"dropping-particle":"","family":"Helble","given":"Matthias","non-dropping-particle":"","parse-names":false,"suffix":""}],"container-title":"Bulletin of the World Health Organization","id":"ITEM-1","issue":"1","issued":{"date-parts":[["2011","1","1"]]},"page":"68-72","title":"The movement of patients across borders: challenges and opportunities for public health","type":"article-journal","volume":"89"},"uris":["http://www.mendeley.com/documents/?uuid=4af1c0e0-7876-49f7-bd71-4f064b3b2270"]}],"mendeley":{"formattedCitation":"&lt;sup&gt;17&lt;/sup&gt;","plainTextFormattedCitation":"17","previouslyFormattedCitation":"&lt;sup&gt;17&lt;/sup&gt;"},"properties":{"noteIndex":0},"schema":"https://github.com/citation-style-language/schema/raw/master/csl-citation.json"}</w:instrText>
      </w:r>
      <w:r w:rsidR="00820F1D" w:rsidRPr="00420F97">
        <w:rPr>
          <w:rFonts w:ascii="Times New Roman" w:hAnsi="Times New Roman" w:cs="Times New Roman"/>
          <w:sz w:val="24"/>
          <w:szCs w:val="24"/>
        </w:rPr>
        <w:fldChar w:fldCharType="separate"/>
      </w:r>
      <w:r w:rsidR="00820F1D" w:rsidRPr="00815AA9">
        <w:rPr>
          <w:rFonts w:ascii="Times New Roman" w:hAnsi="Times New Roman" w:cs="Times New Roman"/>
          <w:noProof/>
          <w:sz w:val="24"/>
          <w:szCs w:val="24"/>
          <w:vertAlign w:val="superscript"/>
        </w:rPr>
        <w:t>17</w:t>
      </w:r>
      <w:r w:rsidR="00820F1D" w:rsidRPr="00420F97">
        <w:rPr>
          <w:rFonts w:ascii="Times New Roman" w:hAnsi="Times New Roman" w:cs="Times New Roman"/>
          <w:sz w:val="24"/>
          <w:szCs w:val="24"/>
        </w:rPr>
        <w:fldChar w:fldCharType="end"/>
      </w:r>
      <w:r w:rsidR="009827E7" w:rsidRPr="00420F97">
        <w:rPr>
          <w:rFonts w:ascii="Times New Roman" w:hAnsi="Times New Roman" w:cs="Times New Roman"/>
          <w:sz w:val="24"/>
          <w:szCs w:val="24"/>
        </w:rPr>
        <w:t xml:space="preserve">CMCHIS is less than a decade old scheme, therefore relatively a new one. Such unequal  distribution in the </w:t>
      </w:r>
      <w:r w:rsidR="009827E7">
        <w:rPr>
          <w:rFonts w:ascii="Times New Roman" w:hAnsi="Times New Roman" w:cs="Times New Roman"/>
          <w:sz w:val="24"/>
          <w:szCs w:val="24"/>
        </w:rPr>
        <w:t>utilization of services</w:t>
      </w:r>
      <w:r w:rsidR="009827E7" w:rsidRPr="00420F97">
        <w:rPr>
          <w:rFonts w:ascii="Times New Roman" w:hAnsi="Times New Roman" w:cs="Times New Roman"/>
          <w:sz w:val="24"/>
          <w:szCs w:val="24"/>
        </w:rPr>
        <w:t xml:space="preserve"> under the scheme could be explained by th</w:t>
      </w:r>
      <w:r w:rsidR="00820F1D">
        <w:rPr>
          <w:rFonts w:ascii="Times New Roman" w:hAnsi="Times New Roman" w:cs="Times New Roman"/>
          <w:sz w:val="24"/>
          <w:szCs w:val="24"/>
        </w:rPr>
        <w:t>is phenomenon and therefore it may take some years for the scheme to be have an equitable distribution.</w:t>
      </w:r>
    </w:p>
    <w:p w14:paraId="4608DDE2" w14:textId="0ED35F8C" w:rsidR="00B97705" w:rsidRPr="004338C2" w:rsidRDefault="00186CD8" w:rsidP="008B5959">
      <w:pPr>
        <w:spacing w:line="240" w:lineRule="auto"/>
        <w:ind w:firstLine="720"/>
        <w:rPr>
          <w:rFonts w:ascii="Times New Roman" w:hAnsi="Times New Roman" w:cs="Times New Roman"/>
          <w:color w:val="FF0000"/>
          <w:sz w:val="24"/>
          <w:szCs w:val="24"/>
        </w:rPr>
      </w:pPr>
      <w:r>
        <w:rPr>
          <w:rFonts w:ascii="Times New Roman" w:hAnsi="Times New Roman" w:cs="Times New Roman"/>
          <w:b/>
          <w:bCs/>
          <w:color w:val="FF0000"/>
          <w:sz w:val="24"/>
          <w:szCs w:val="24"/>
        </w:rPr>
        <w:t xml:space="preserve"> </w:t>
      </w:r>
      <w:r w:rsidR="00D4142B">
        <w:rPr>
          <w:rFonts w:ascii="Times New Roman" w:hAnsi="Times New Roman" w:cs="Times New Roman"/>
          <w:sz w:val="24"/>
          <w:szCs w:val="24"/>
        </w:rPr>
        <w:t xml:space="preserve">Under CMCHIS, there is no restriction to access services based on geographical area. Anyone can avail service from any </w:t>
      </w:r>
      <w:r w:rsidR="00421918">
        <w:rPr>
          <w:rFonts w:ascii="Times New Roman" w:hAnsi="Times New Roman" w:cs="Times New Roman"/>
          <w:sz w:val="24"/>
          <w:szCs w:val="24"/>
        </w:rPr>
        <w:t>empaneled</w:t>
      </w:r>
      <w:r w:rsidR="00D4142B">
        <w:rPr>
          <w:rFonts w:ascii="Times New Roman" w:hAnsi="Times New Roman" w:cs="Times New Roman"/>
          <w:sz w:val="24"/>
          <w:szCs w:val="24"/>
        </w:rPr>
        <w:t xml:space="preserve"> hospital under the scheme irrespective of which district they belong to. This gives people a choice to choose </w:t>
      </w:r>
      <w:r w:rsidR="0006599E">
        <w:rPr>
          <w:rFonts w:ascii="Times New Roman" w:hAnsi="Times New Roman" w:cs="Times New Roman"/>
          <w:sz w:val="24"/>
          <w:szCs w:val="24"/>
        </w:rPr>
        <w:t>services</w:t>
      </w:r>
      <w:r w:rsidR="00D4142B">
        <w:rPr>
          <w:rFonts w:ascii="Times New Roman" w:hAnsi="Times New Roman" w:cs="Times New Roman"/>
          <w:sz w:val="24"/>
          <w:szCs w:val="24"/>
        </w:rPr>
        <w:t xml:space="preserve"> from a wide range of ho</w:t>
      </w:r>
      <w:r w:rsidR="0006599E">
        <w:rPr>
          <w:rFonts w:ascii="Times New Roman" w:hAnsi="Times New Roman" w:cs="Times New Roman"/>
          <w:sz w:val="24"/>
          <w:szCs w:val="24"/>
        </w:rPr>
        <w:t xml:space="preserve">spitals across the state. This was also depicted in figure </w:t>
      </w:r>
      <w:r w:rsidR="00752C15">
        <w:rPr>
          <w:rFonts w:ascii="Times New Roman" w:hAnsi="Times New Roman" w:cs="Times New Roman"/>
          <w:sz w:val="24"/>
          <w:szCs w:val="24"/>
        </w:rPr>
        <w:t>1</w:t>
      </w:r>
      <w:r w:rsidR="0006599E">
        <w:rPr>
          <w:rFonts w:ascii="Times New Roman" w:hAnsi="Times New Roman" w:cs="Times New Roman"/>
          <w:sz w:val="24"/>
          <w:szCs w:val="24"/>
        </w:rPr>
        <w:t>, which shows the percentage of people who moved out of the di</w:t>
      </w:r>
      <w:r w:rsidR="00BC1C65">
        <w:rPr>
          <w:rFonts w:ascii="Times New Roman" w:hAnsi="Times New Roman" w:cs="Times New Roman"/>
          <w:sz w:val="24"/>
          <w:szCs w:val="24"/>
        </w:rPr>
        <w:t>strict for getting the services. Higher the development</w:t>
      </w:r>
      <w:r w:rsidR="00752C15">
        <w:rPr>
          <w:rFonts w:ascii="Times New Roman" w:hAnsi="Times New Roman" w:cs="Times New Roman"/>
          <w:sz w:val="24"/>
          <w:szCs w:val="24"/>
        </w:rPr>
        <w:t xml:space="preserve"> of the district, </w:t>
      </w:r>
      <w:r w:rsidR="00BC1C65">
        <w:rPr>
          <w:rFonts w:ascii="Times New Roman" w:hAnsi="Times New Roman" w:cs="Times New Roman"/>
          <w:sz w:val="24"/>
          <w:szCs w:val="24"/>
        </w:rPr>
        <w:t>there was a lesser</w:t>
      </w:r>
      <w:r w:rsidR="008B5959">
        <w:rPr>
          <w:rFonts w:ascii="Times New Roman" w:hAnsi="Times New Roman" w:cs="Times New Roman"/>
          <w:sz w:val="24"/>
          <w:szCs w:val="24"/>
        </w:rPr>
        <w:t xml:space="preserve"> </w:t>
      </w:r>
      <w:r w:rsidR="00BC1C65">
        <w:rPr>
          <w:rFonts w:ascii="Times New Roman" w:hAnsi="Times New Roman" w:cs="Times New Roman"/>
          <w:sz w:val="24"/>
          <w:szCs w:val="24"/>
        </w:rPr>
        <w:lastRenderedPageBreak/>
        <w:t>migrat</w:t>
      </w:r>
      <w:r w:rsidR="002F11C2">
        <w:rPr>
          <w:rFonts w:ascii="Times New Roman" w:hAnsi="Times New Roman" w:cs="Times New Roman"/>
          <w:sz w:val="24"/>
          <w:szCs w:val="24"/>
        </w:rPr>
        <w:t>ion of people to avail services.</w:t>
      </w:r>
      <w:r w:rsidR="0006599E">
        <w:rPr>
          <w:rFonts w:ascii="Times New Roman" w:hAnsi="Times New Roman" w:cs="Times New Roman"/>
          <w:sz w:val="24"/>
          <w:szCs w:val="24"/>
        </w:rPr>
        <w:t xml:space="preserve"> Seven of the top 10 districts which had higher proportion of people moving out was from less developed districts.   The reason for such migration seeking health care out of their districts could be </w:t>
      </w:r>
      <w:r w:rsidR="002F11C2">
        <w:rPr>
          <w:rFonts w:ascii="Times New Roman" w:hAnsi="Times New Roman" w:cs="Times New Roman"/>
          <w:sz w:val="24"/>
          <w:szCs w:val="24"/>
        </w:rPr>
        <w:t xml:space="preserve">due to  pull or </w:t>
      </w:r>
      <w:r w:rsidR="0006599E">
        <w:rPr>
          <w:rFonts w:ascii="Times New Roman" w:hAnsi="Times New Roman" w:cs="Times New Roman"/>
          <w:sz w:val="24"/>
          <w:szCs w:val="24"/>
        </w:rPr>
        <w:t xml:space="preserve">push factors. </w:t>
      </w:r>
      <w:r w:rsidR="00B97705">
        <w:rPr>
          <w:rFonts w:ascii="Times New Roman" w:hAnsi="Times New Roman" w:cs="Times New Roman"/>
          <w:sz w:val="24"/>
          <w:szCs w:val="24"/>
        </w:rPr>
        <w:t xml:space="preserve">World </w:t>
      </w:r>
      <w:r w:rsidR="002F11C2">
        <w:rPr>
          <w:rFonts w:ascii="Times New Roman" w:hAnsi="Times New Roman" w:cs="Times New Roman"/>
          <w:sz w:val="24"/>
          <w:szCs w:val="24"/>
        </w:rPr>
        <w:t>H</w:t>
      </w:r>
      <w:r w:rsidR="00B97705">
        <w:rPr>
          <w:rFonts w:ascii="Times New Roman" w:hAnsi="Times New Roman" w:cs="Times New Roman"/>
          <w:sz w:val="24"/>
          <w:szCs w:val="24"/>
        </w:rPr>
        <w:t xml:space="preserve">ealth Organization has identified the following pull and push factors that have facilitated movement of patients across national borders for availing medical services. The push factors include unavailability of appropriate services, poor quality services or shortage of health care providers. </w:t>
      </w:r>
      <w:r w:rsidR="00B97705" w:rsidRPr="00420F97">
        <w:rPr>
          <w:rFonts w:ascii="Times New Roman" w:hAnsi="Times New Roman" w:cs="Times New Roman"/>
          <w:sz w:val="24"/>
          <w:szCs w:val="24"/>
        </w:rPr>
        <w:t>Pull factors which attract patients to cross borders include availability of services at ease, with shorter waiting time, avail</w:t>
      </w:r>
      <w:r w:rsidR="008170CF">
        <w:rPr>
          <w:rFonts w:ascii="Times New Roman" w:hAnsi="Times New Roman" w:cs="Times New Roman"/>
          <w:sz w:val="24"/>
          <w:szCs w:val="24"/>
        </w:rPr>
        <w:t xml:space="preserve">ability of  advanced technology, availability of speciality health services </w:t>
      </w:r>
      <w:r w:rsidR="00B97705" w:rsidRPr="00420F97">
        <w:rPr>
          <w:rFonts w:ascii="Times New Roman" w:hAnsi="Times New Roman" w:cs="Times New Roman"/>
          <w:sz w:val="24"/>
          <w:szCs w:val="24"/>
        </w:rPr>
        <w:t>and skilled heath care providers.</w:t>
      </w:r>
      <w:r w:rsidR="001C5D2D" w:rsidRPr="00420F97">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{"citationItems":[{"id":"ITEM-1","itemData":{"DOI":"10.2471/BLT.10.076612","ISSN":"0042-9686","author":[{"dropping-particle":"","family":"Helble","given":"Matthias","non-dropping-particle":"","parse-names":false,"suffix":""}],"container-title":"Bulletin of the World Health Organization","id":"ITEM-1","issue":"1","issued":{"date-parts":[["2011","1","1"]]},"page":"68-72","title":"The movement of patients across borders: challenges and opportunities for public health","type":"article-journal","volume":"89"},"uris":["http://www.mendeley.com/documents/?uuid=4af1c0e0-7876-49f7-bd71-4f064b3b2270"]}],"mendeley":{"formattedCitation":"&lt;sup&gt;17&lt;/sup&gt;","plainTextFormattedCitation":"17","previouslyFormattedCitation":"&lt;sup&gt;17&lt;/sup&gt;"},"properties":{"noteIndex":0},"schema":"https://github.com/citation-style-language/schema/raw/master/csl-citation.json"}</w:instrText>
      </w:r>
      <w:r w:rsidR="001C5D2D" w:rsidRPr="00420F97">
        <w:rPr>
          <w:rFonts w:ascii="Times New Roman" w:hAnsi="Times New Roman" w:cs="Times New Roman"/>
          <w:sz w:val="24"/>
          <w:szCs w:val="24"/>
        </w:rPr>
        <w:fldChar w:fldCharType="separate"/>
      </w:r>
      <w:r w:rsidR="00815AA9" w:rsidRPr="00815AA9">
        <w:rPr>
          <w:rFonts w:ascii="Times New Roman" w:hAnsi="Times New Roman" w:cs="Times New Roman"/>
          <w:noProof/>
          <w:sz w:val="24"/>
          <w:szCs w:val="24"/>
          <w:vertAlign w:val="superscript"/>
        </w:rPr>
        <w:t>17</w:t>
      </w:r>
      <w:r w:rsidR="001C5D2D" w:rsidRPr="00420F97">
        <w:rPr>
          <w:rFonts w:ascii="Times New Roman" w:hAnsi="Times New Roman" w:cs="Times New Roman"/>
          <w:sz w:val="24"/>
          <w:szCs w:val="24"/>
        </w:rPr>
        <w:fldChar w:fldCharType="end"/>
      </w:r>
      <w:r w:rsidR="00B97705">
        <w:rPr>
          <w:rFonts w:ascii="Times New Roman" w:hAnsi="Times New Roman" w:cs="Times New Roman"/>
          <w:sz w:val="24"/>
          <w:szCs w:val="24"/>
        </w:rPr>
        <w:t xml:space="preserve">Thus availability of hospitals is considered as an important factor which either pull or push people out of their districts to avail services. This is also evident in this study as the number of claims made is positively correlating with the number of hospitals available. It should also be noted </w:t>
      </w:r>
      <w:r w:rsidR="00B97705" w:rsidRPr="007C217B">
        <w:rPr>
          <w:rFonts w:ascii="Times New Roman" w:hAnsi="Times New Roman" w:cs="Times New Roman"/>
          <w:sz w:val="24"/>
          <w:szCs w:val="24"/>
        </w:rPr>
        <w:t>that t</w:t>
      </w:r>
      <w:r w:rsidR="0006599E" w:rsidRPr="007C217B">
        <w:rPr>
          <w:rFonts w:ascii="Times New Roman" w:hAnsi="Times New Roman" w:cs="Times New Roman"/>
          <w:sz w:val="24"/>
          <w:szCs w:val="24"/>
        </w:rPr>
        <w:t xml:space="preserve">he </w:t>
      </w:r>
      <w:r w:rsidR="00EF5877">
        <w:rPr>
          <w:rFonts w:ascii="Times New Roman" w:hAnsi="Times New Roman" w:cs="Times New Roman"/>
          <w:sz w:val="24"/>
          <w:szCs w:val="24"/>
        </w:rPr>
        <w:t>location of health services</w:t>
      </w:r>
      <w:r w:rsidR="0006599E" w:rsidRPr="007C217B">
        <w:rPr>
          <w:rFonts w:ascii="Times New Roman" w:hAnsi="Times New Roman" w:cs="Times New Roman"/>
          <w:sz w:val="24"/>
          <w:szCs w:val="24"/>
        </w:rPr>
        <w:t xml:space="preserve"> is very important for a</w:t>
      </w:r>
      <w:r w:rsidR="008170CF">
        <w:rPr>
          <w:rFonts w:ascii="Times New Roman" w:hAnsi="Times New Roman" w:cs="Times New Roman"/>
          <w:sz w:val="24"/>
          <w:szCs w:val="24"/>
        </w:rPr>
        <w:t>ccess, especially for the poor</w:t>
      </w:r>
      <w:r w:rsidR="00820F1D">
        <w:rPr>
          <w:rFonts w:ascii="Times New Roman" w:hAnsi="Times New Roman" w:cs="Times New Roman"/>
          <w:sz w:val="24"/>
          <w:szCs w:val="24"/>
        </w:rPr>
        <w:t xml:space="preserve">, as transport </w:t>
      </w:r>
      <w:r w:rsidR="00820F1D" w:rsidRPr="007C217B">
        <w:rPr>
          <w:rFonts w:ascii="Times New Roman" w:hAnsi="Times New Roman" w:cs="Times New Roman"/>
          <w:sz w:val="24"/>
          <w:szCs w:val="24"/>
        </w:rPr>
        <w:t>cost and distance act as barriers to access</w:t>
      </w:r>
      <w:r w:rsidR="008170CF">
        <w:rPr>
          <w:rFonts w:ascii="Times New Roman" w:hAnsi="Times New Roman" w:cs="Times New Roman"/>
          <w:sz w:val="24"/>
          <w:szCs w:val="24"/>
        </w:rPr>
        <w:t>.</w:t>
      </w:r>
      <w:r w:rsidR="00EF5877" w:rsidRPr="00420F97">
        <w:rPr>
          <w:rFonts w:ascii="Times New Roman" w:hAnsi="Times New Roman" w:cs="Times New Roman"/>
          <w:sz w:val="24"/>
          <w:szCs w:val="24"/>
        </w:rPr>
        <w:t xml:space="preserve"> </w:t>
      </w:r>
      <w:r w:rsidR="00EF5877" w:rsidRPr="00420F97">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DOI":"10.1371/journal.pone.0177091","ISSN":"1932-6203","author":[{"dropping-particle":"","family":"Fujita","given":"Misuzu","non-dropping-particle":"","parse-names":false,"suffix":""},{"dropping-particle":"","family":"Sato","given":"Yasunori","non-dropping-particle":"","parse-names":false,"suffix":""},{"dropping-particle":"","family":"Nagashima","given":"Kengo","non-dropping-particle":"","parse-names":false,"suffix":""},{"dropping-particle":"","family":"Takahashi","given":"Sho","non-dropping-particle":"","parse-names":false,"suffix":""},{"dropping-particle":"","family":"Hata","given":"Akira","non-dropping-particle":"","parse-names":false,"suffix":""}],"container-title":"PLOS ONE","editor":[{"dropping-particle":"","family":"Shah","given":"Tayyab Ikram","non-dropping-particle":"","parse-names":false,"suffix":""}],"id":"ITEM-1","issue":"5","issued":{"date-parts":[["2017","5","9"]]},"page":"e0177091","title":"Impact of geographic accessibility on utilization of the annual health check-ups by income level in Japan: A multilevel analysis","type":"article-journal","volume":"12"},"uris":["http://www.mendeley.com/documents/?uuid=903d09d7-8447-4e45-b529-fd547fc971b9"]}],"mendeley":{"formattedCitation":"&lt;sup&gt;22&lt;/sup&gt;","plainTextFormattedCitation":"22","previouslyFormattedCitation":"&lt;sup&gt;24&lt;/sup&gt;"},"properties":{"noteIndex":0},"schema":"https://github.com/citation-style-language/schema/raw/master/csl-citation.json"}</w:instrText>
      </w:r>
      <w:r w:rsidR="00EF5877" w:rsidRPr="00420F97">
        <w:rPr>
          <w:rFonts w:ascii="Times New Roman" w:hAnsi="Times New Roman" w:cs="Times New Roman"/>
          <w:sz w:val="24"/>
          <w:szCs w:val="24"/>
        </w:rPr>
        <w:fldChar w:fldCharType="separate"/>
      </w:r>
      <w:r w:rsidR="00EF5877" w:rsidRPr="00EF5877">
        <w:rPr>
          <w:rFonts w:ascii="Times New Roman" w:hAnsi="Times New Roman" w:cs="Times New Roman"/>
          <w:noProof/>
          <w:sz w:val="24"/>
          <w:szCs w:val="24"/>
          <w:vertAlign w:val="superscript"/>
        </w:rPr>
        <w:t>22</w:t>
      </w:r>
      <w:r w:rsidR="00EF5877" w:rsidRPr="00420F97">
        <w:rPr>
          <w:rFonts w:ascii="Times New Roman" w:hAnsi="Times New Roman" w:cs="Times New Roman"/>
          <w:sz w:val="24"/>
          <w:szCs w:val="24"/>
        </w:rPr>
        <w:fldChar w:fldCharType="end"/>
      </w:r>
      <w:r w:rsidR="008170CF">
        <w:rPr>
          <w:rFonts w:ascii="Times New Roman" w:hAnsi="Times New Roman" w:cs="Times New Roman"/>
          <w:sz w:val="24"/>
          <w:szCs w:val="24"/>
        </w:rPr>
        <w:t xml:space="preserve"> </w:t>
      </w:r>
      <w:r w:rsidR="00820F1D">
        <w:rPr>
          <w:rFonts w:ascii="Times New Roman" w:hAnsi="Times New Roman" w:cs="Times New Roman"/>
          <w:sz w:val="24"/>
          <w:szCs w:val="24"/>
        </w:rPr>
        <w:t xml:space="preserve"> At present the scheme is trying to bear the transport cost, as it reimburses the </w:t>
      </w:r>
      <w:r w:rsidR="00EF5877">
        <w:rPr>
          <w:rFonts w:ascii="Times New Roman" w:hAnsi="Times New Roman" w:cs="Times New Roman"/>
          <w:sz w:val="24"/>
          <w:szCs w:val="24"/>
        </w:rPr>
        <w:t xml:space="preserve">cost incurred towards transport. </w:t>
      </w:r>
      <w:r w:rsidR="008170CF">
        <w:rPr>
          <w:rFonts w:ascii="Times New Roman" w:hAnsi="Times New Roman" w:cs="Times New Roman"/>
          <w:sz w:val="24"/>
          <w:szCs w:val="24"/>
        </w:rPr>
        <w:t xml:space="preserve">However this </w:t>
      </w:r>
      <w:r w:rsidR="00971A4F" w:rsidRPr="007C217B">
        <w:rPr>
          <w:rFonts w:ascii="Times New Roman" w:hAnsi="Times New Roman" w:cs="Times New Roman"/>
          <w:sz w:val="24"/>
          <w:szCs w:val="24"/>
        </w:rPr>
        <w:t>which will reflect in the form of reduced number of claims made by people.</w:t>
      </w:r>
      <w:r w:rsidR="00814503" w:rsidRPr="00420F97">
        <w:rPr>
          <w:rFonts w:ascii="Times New Roman" w:hAnsi="Times New Roman" w:cs="Times New Roman"/>
          <w:sz w:val="24"/>
          <w:szCs w:val="24"/>
        </w:rPr>
        <w:t xml:space="preserve"> </w:t>
      </w:r>
      <w:r w:rsidR="00EF5877">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{"citationItems":[{"id":"ITEM-1","itemData":{"author":[{"dropping-particle":"","family":"Government of Tamilnadu","given":"","non-dropping-particle":"","parse-names":false,"suffix":""}],"id":"ITEM-1","issued":{"date-parts":[["0"]]},"page":"122","publisher":"Project DIrector, Tamilnadu Health Systems Society","title":"TENDER DOCUMENT TO SELECT INSURANCE COMPANY TO IMPLEMENT “CHIEF MINISTER’S COMPREHENSIVE HEALTH INSURANCE SCHEME”","type":"article"},"uris":["http://www.mendeley.com/documents/?uuid=074e6cd0-2ec8-426e-bcc8-724d842a2340"]}],"mendeley":{"formattedCitation":"&lt;sup&gt;6&lt;/sup&gt;","plainTextFormattedCitation":"6"},"properties":{"noteIndex":0},"schema":"https://github.com/citation-style-language/schema/raw/master/csl-citation.json"}</w:instrText>
      </w:r>
      <w:r w:rsidR="00EF5877">
        <w:rPr>
          <w:rFonts w:ascii="Times New Roman" w:hAnsi="Times New Roman" w:cs="Times New Roman"/>
          <w:sz w:val="24"/>
          <w:szCs w:val="24"/>
        </w:rPr>
        <w:fldChar w:fldCharType="separate"/>
      </w:r>
      <w:r w:rsidR="00EF5877" w:rsidRPr="00EF5877">
        <w:rPr>
          <w:rFonts w:ascii="Times New Roman" w:hAnsi="Times New Roman" w:cs="Times New Roman"/>
          <w:noProof/>
          <w:sz w:val="24"/>
          <w:szCs w:val="24"/>
          <w:vertAlign w:val="superscript"/>
        </w:rPr>
        <w:t>6</w:t>
      </w:r>
      <w:r w:rsidR="00EF5877">
        <w:rPr>
          <w:rFonts w:ascii="Times New Roman" w:hAnsi="Times New Roman" w:cs="Times New Roman"/>
          <w:sz w:val="24"/>
          <w:szCs w:val="24"/>
        </w:rPr>
        <w:fldChar w:fldCharType="end"/>
      </w:r>
    </w:p>
    <w:p w14:paraId="56EA7E48" w14:textId="77777777" w:rsidR="00971A4F" w:rsidRDefault="00B7581E" w:rsidP="008B595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clearly states that there is an unequal distribution of hospitals across districts which is correlating with the development status. </w:t>
      </w:r>
      <w:r w:rsidR="00971A4F">
        <w:rPr>
          <w:rFonts w:ascii="Times New Roman" w:hAnsi="Times New Roman" w:cs="Times New Roman"/>
          <w:sz w:val="24"/>
          <w:szCs w:val="24"/>
        </w:rPr>
        <w:t xml:space="preserve">There is also an unequal distribution of claims made by people under CMCHIS which also follows a </w:t>
      </w:r>
      <w:r w:rsidR="00971A4F" w:rsidRPr="00732891">
        <w:rPr>
          <w:rFonts w:ascii="Times New Roman" w:hAnsi="Times New Roman" w:cs="Times New Roman"/>
          <w:color w:val="000000" w:themeColor="text1"/>
          <w:sz w:val="24"/>
          <w:szCs w:val="24"/>
        </w:rPr>
        <w:t>regressive</w:t>
      </w:r>
      <w:r w:rsidR="00971A4F">
        <w:rPr>
          <w:rFonts w:ascii="Times New Roman" w:hAnsi="Times New Roman" w:cs="Times New Roman"/>
          <w:sz w:val="24"/>
          <w:szCs w:val="24"/>
        </w:rPr>
        <w:t xml:space="preserve"> pattern.  </w:t>
      </w:r>
      <w:r>
        <w:rPr>
          <w:rFonts w:ascii="Times New Roman" w:hAnsi="Times New Roman" w:cs="Times New Roman"/>
          <w:sz w:val="24"/>
          <w:szCs w:val="24"/>
        </w:rPr>
        <w:t xml:space="preserve">This unequal distribution of claims from the districts is further perpetuating the inequity across districts. </w:t>
      </w:r>
    </w:p>
    <w:p w14:paraId="7CFB66C5" w14:textId="0ABF945D" w:rsidR="00DE46DE" w:rsidRDefault="004338C2" w:rsidP="008B5959">
      <w:pPr>
        <w:spacing w:line="240" w:lineRule="auto"/>
        <w:ind w:firstLine="720"/>
        <w:rPr>
          <w:rFonts w:ascii="Times New Roman" w:hAnsi="Times New Roman" w:cs="Times New Roman"/>
          <w:sz w:val="24"/>
          <w:szCs w:val="24"/>
        </w:rPr>
      </w:pPr>
      <w:r>
        <w:rPr>
          <w:rFonts w:ascii="Times New Roman" w:hAnsi="Times New Roman" w:cs="Times New Roman"/>
          <w:sz w:val="24"/>
          <w:szCs w:val="24"/>
        </w:rPr>
        <w:t>“Close to client services” has been established as an effective intervention in providing universal coverage and Thailand has been successful in implementing the same.</w:t>
      </w:r>
      <w:r>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{"citationItems":[{"id":"ITEM-1","itemData":{"abstract":"International Health Policy Program Ministry of Public Health Thailand 2 ABOUT CREHS The Consortium for Research on Equitable Health Systems (CREHS) is a five year DFID funded Research Programme Consortium that is made up of eight organisations based in Kenya, India, Nigeria, South Africa, Tanzania, Thailand and the United Kingdom. It aims to generate knowledge about how to strengthen health systems, policies and interventions in ways which preferentially benefit the poorest. The research is organised in four themes: health sector reform, financial risk protection, health workforce performance and scaling up. The consortium will achieve its aim by: • working in partnership to develop research • strengthening the capacity of partners to undertake relevant research and of policymakers to use research effectively • communicating findings in a timely, accessible and appropriate manner so as to influence local and global policy development For more information about CREHS please contact:","author":[{"dropping-particle":"","family":"Limwattananon","given":"S","non-dropping-particle":"","parse-names":false,"suffix":""},{"dropping-particle":"","family":"Vongmongkol","given":"V","non-dropping-particle":"","parse-names":false,"suffix":""},{"dropping-particle":"","family":"Prakongsai","given":"P","non-dropping-particle":"","parse-names":false,"suffix":""}],"container-title":"Consortium for Research on Equitable Health Systems (CREHS)","id":"ITEM-1","issued":{"date-parts":[["2011"]]},"title":"The equity impact of Universal Coverage: health care finance, catastrophic health expenditure, utilization and government subsidies in Thailand","type":"article-journal"},"uris":["http://www.mendeley.com/documents/?uuid=60b01c75-88a4-4ce3-a824-0aa29515aa1a"]}],"mendeley":{"formattedCitation":"&lt;sup&gt;23&lt;/sup&gt;","plainTextFormattedCitation":"23","previouslyFormattedCitation":"&lt;sup&gt;25&lt;/sup&gt;"},"properties":{"noteIndex":0},"schema":"https://github.com/citation-style-language/schema/raw/master/csl-citation.json"}</w:instrText>
      </w:r>
      <w:r>
        <w:rPr>
          <w:rFonts w:ascii="Times New Roman" w:hAnsi="Times New Roman" w:cs="Times New Roman"/>
          <w:sz w:val="24"/>
          <w:szCs w:val="24"/>
        </w:rPr>
        <w:fldChar w:fldCharType="separate"/>
      </w:r>
      <w:r w:rsidR="00EF5877" w:rsidRPr="00EF5877">
        <w:rPr>
          <w:rFonts w:ascii="Times New Roman" w:hAnsi="Times New Roman" w:cs="Times New Roman"/>
          <w:noProof/>
          <w:sz w:val="24"/>
          <w:szCs w:val="24"/>
          <w:vertAlign w:val="superscript"/>
        </w:rPr>
        <w:t>23</w:t>
      </w:r>
      <w:r>
        <w:rPr>
          <w:rFonts w:ascii="Times New Roman" w:hAnsi="Times New Roman" w:cs="Times New Roman"/>
          <w:sz w:val="24"/>
          <w:szCs w:val="24"/>
        </w:rPr>
        <w:fldChar w:fldCharType="end"/>
      </w:r>
      <w:r>
        <w:rPr>
          <w:rFonts w:ascii="Times New Roman" w:hAnsi="Times New Roman" w:cs="Times New Roman"/>
          <w:sz w:val="24"/>
          <w:szCs w:val="24"/>
        </w:rPr>
        <w:t xml:space="preserve"> Hence, it is clear that spatial equity is essential for UHC and t</w:t>
      </w:r>
      <w:r w:rsidR="00971A4F">
        <w:rPr>
          <w:rFonts w:ascii="Times New Roman" w:hAnsi="Times New Roman" w:cs="Times New Roman"/>
          <w:sz w:val="24"/>
          <w:szCs w:val="24"/>
        </w:rPr>
        <w:t xml:space="preserve">his study highlights the potential area in which the Government should focus to reduce inequity and promote universal coverage. </w:t>
      </w:r>
      <w:r w:rsidR="008170CF">
        <w:rPr>
          <w:rFonts w:ascii="Times New Roman" w:hAnsi="Times New Roman" w:cs="Times New Roman"/>
          <w:sz w:val="24"/>
          <w:szCs w:val="24"/>
        </w:rPr>
        <w:t xml:space="preserve">To address this </w:t>
      </w:r>
      <w:r w:rsidR="00DE46DE" w:rsidRPr="00420F97">
        <w:rPr>
          <w:rFonts w:ascii="Times New Roman" w:hAnsi="Times New Roman" w:cs="Times New Roman"/>
          <w:sz w:val="24"/>
          <w:szCs w:val="24"/>
        </w:rPr>
        <w:t>inverse equity, targeting is identified as a potential strategy.</w:t>
      </w:r>
      <w:r w:rsidR="00420F97" w:rsidRPr="00420F97">
        <w:rPr>
          <w:rFonts w:ascii="Times New Roman" w:hAnsi="Times New Roman" w:cs="Times New Roman"/>
          <w:sz w:val="24"/>
          <w:szCs w:val="24"/>
        </w:rPr>
        <w:fldChar w:fldCharType="begin" w:fldLock="1"/>
      </w:r>
      <w:r w:rsidR="00EF5877">
        <w:rPr>
          <w:rFonts w:ascii="Times New Roman" w:hAnsi="Times New Roman" w:cs="Times New Roman"/>
          <w:sz w:val="24"/>
          <w:szCs w:val="24"/>
        </w:rPr>
        <w:instrText>ADDIN CSL_CITATION {"citationItems":[{"id":"ITEM-1","itemData":{"author":[{"dropping-particle":"","family":"Gwatkin","given":"Davidson R","non-dropping-particle":"","parse-names":false,"suffix":""},{"dropping-particle":"","family":"Yazbeck","given":"Abdo S","non-dropping-particle":"","parse-names":false,"suffix":""}],"container-title":"Population (English Edition)","id":"ITEM-1","issued":{"date-parts":[["0"]]},"title":"Health Population Programs","type":"article-journal"},"uris":["http://www.mendeley.com/documents/?uuid=ce0a8430-c9a8-4c9b-816d-496e95decdb7"]},{"id":"ITEM-2","itemData":{"DOI":"10.1016/S0140-6736(03)13917-7","ISSN":"1474-547X","PMID":"12885488","abstract":"Gaps in child mortality between rich and poor countries are unacceptably wide and in some areas are becoming wider, as are the gaps between wealthy and poor children within most countries. Poor children are more likely than their better-off peers to be exposed to health risks, and they have less resistance to disease because of undernutrition and other hazards typical in poor communities. These inequities are compounded by reduced access to preventive and curative interventions. Even public subsidies for health frequently benefit rich people more than poor people. Experience and evidence about how to reach poor populations are growing, albeit largely through small-scale case studies. Successful approaches include those that improve geographic access to health interventions in poor communities, subsidized health care and health inputs, and social marketing. Targeting of health interventions to poor people and ensuring universal coverage are promising approaches for improvement of equity, but both have limitations that necessitate planning for child survival and effective delivery at national level and below. Regular monitoring of inequities and use of the resulting information for education, advocacy, and increased accountability among the general public and decision makers is urgently needed, but will not be sufficient. Equity must be a priority in the design of child survival interventions and delivery strategies, and mechanisms to ensure accountability at national and international levels must be developed.","author":[{"dropping-particle":"","family":"Victora","given":"Cesar G","non-dropping-particle":"","parse-names":false,"suffix":""},{"dropping-particle":"","family":"Wagstaff","given":"Adam","non-dropping-particle":"","parse-names":false,"suffix":""},{"dropping-particle":"","family":"Schellenberg","given":"Joanna Armstrong","non-dropping-particle":"","parse-names":false,"suffix":""},{"dropping-particle":"","family":"Gwatkin","given":"Davidson","non-dropping-particle":"","parse-names":false,"suffix":""},{"dropping-particle":"","family":"Claeson","given":"Mariam","non-dropping-particle":"","parse-names":false,"suffix":""},{"dropping-particle":"","family":"Habicht","given":"Jean-Pierre","non-dropping-particle":"","parse-names":false,"suffix":""}],"container-title":"Lancet (London, England)","id":"ITEM-2","issue":"9379","issued":{"date-parts":[["2003","7","19"]]},"page":"233-41","title":"Applying an equity lens to child health and mortality: more of the same is not enough.","type":"article-journal","volume":"362"},"uris":["http://www.mendeley.com/documents/?uuid=b8ab049e-d2f7-4f1e-9e9c-03677ea0467a"]}],"mendeley":{"formattedCitation":"&lt;sup&gt;24,25&lt;/sup&gt;","plainTextFormattedCitation":"24,25","previouslyFormattedCitation":"&lt;sup&gt;26,27&lt;/sup&gt;"},"properties":{"noteIndex":0},"schema":"https://github.com/citation-style-language/schema/raw/master/csl-citation.json"}</w:instrText>
      </w:r>
      <w:r w:rsidR="00420F97" w:rsidRPr="00420F97">
        <w:rPr>
          <w:rFonts w:ascii="Times New Roman" w:hAnsi="Times New Roman" w:cs="Times New Roman"/>
          <w:sz w:val="24"/>
          <w:szCs w:val="24"/>
        </w:rPr>
        <w:fldChar w:fldCharType="separate"/>
      </w:r>
      <w:r w:rsidR="00EF5877" w:rsidRPr="00EF5877">
        <w:rPr>
          <w:rFonts w:ascii="Times New Roman" w:hAnsi="Times New Roman" w:cs="Times New Roman"/>
          <w:noProof/>
          <w:sz w:val="24"/>
          <w:szCs w:val="24"/>
          <w:vertAlign w:val="superscript"/>
        </w:rPr>
        <w:t>24,25</w:t>
      </w:r>
      <w:r w:rsidR="00420F97" w:rsidRPr="00420F97">
        <w:rPr>
          <w:rFonts w:ascii="Times New Roman" w:hAnsi="Times New Roman" w:cs="Times New Roman"/>
          <w:sz w:val="24"/>
          <w:szCs w:val="24"/>
        </w:rPr>
        <w:fldChar w:fldCharType="end"/>
      </w:r>
      <w:r w:rsidR="00DE46DE" w:rsidRPr="00420F97">
        <w:rPr>
          <w:rFonts w:ascii="Times New Roman" w:hAnsi="Times New Roman" w:cs="Times New Roman"/>
          <w:sz w:val="24"/>
          <w:szCs w:val="24"/>
        </w:rPr>
        <w:t xml:space="preserve"> </w:t>
      </w:r>
      <w:r w:rsidR="00DE46DE">
        <w:rPr>
          <w:rFonts w:ascii="Times New Roman" w:hAnsi="Times New Roman" w:cs="Times New Roman"/>
          <w:sz w:val="24"/>
          <w:szCs w:val="24"/>
        </w:rPr>
        <w:t xml:space="preserve">Hence, the scheme may take up targeting approach </w:t>
      </w:r>
      <w:r w:rsidR="008170CF">
        <w:rPr>
          <w:rFonts w:ascii="Times New Roman" w:hAnsi="Times New Roman" w:cs="Times New Roman"/>
          <w:sz w:val="24"/>
          <w:szCs w:val="24"/>
        </w:rPr>
        <w:t xml:space="preserve">by </w:t>
      </w:r>
      <w:r w:rsidR="00B7581E">
        <w:rPr>
          <w:rFonts w:ascii="Times New Roman" w:hAnsi="Times New Roman" w:cs="Times New Roman"/>
          <w:sz w:val="24"/>
          <w:szCs w:val="24"/>
        </w:rPr>
        <w:t>giv</w:t>
      </w:r>
      <w:r w:rsidR="008170CF">
        <w:rPr>
          <w:rFonts w:ascii="Times New Roman" w:hAnsi="Times New Roman" w:cs="Times New Roman"/>
          <w:sz w:val="24"/>
          <w:szCs w:val="24"/>
        </w:rPr>
        <w:t>ing</w:t>
      </w:r>
      <w:r w:rsidR="00DE46DE">
        <w:rPr>
          <w:rFonts w:ascii="Times New Roman" w:hAnsi="Times New Roman" w:cs="Times New Roman"/>
          <w:sz w:val="24"/>
          <w:szCs w:val="24"/>
        </w:rPr>
        <w:t xml:space="preserve"> </w:t>
      </w:r>
      <w:r w:rsidR="00B7581E">
        <w:rPr>
          <w:rFonts w:ascii="Times New Roman" w:hAnsi="Times New Roman" w:cs="Times New Roman"/>
          <w:sz w:val="24"/>
          <w:szCs w:val="24"/>
        </w:rPr>
        <w:t xml:space="preserve">priorities to empanelling hospitals </w:t>
      </w:r>
      <w:r w:rsidR="008170CF">
        <w:rPr>
          <w:rFonts w:ascii="Times New Roman" w:hAnsi="Times New Roman" w:cs="Times New Roman"/>
          <w:sz w:val="24"/>
          <w:szCs w:val="24"/>
        </w:rPr>
        <w:t>in the less developed districts if available.</w:t>
      </w:r>
      <w:r w:rsidR="00B7581E">
        <w:rPr>
          <w:rFonts w:ascii="Times New Roman" w:hAnsi="Times New Roman" w:cs="Times New Roman"/>
          <w:sz w:val="24"/>
          <w:szCs w:val="24"/>
        </w:rPr>
        <w:t xml:space="preserve"> In case of less private providers available in these districts, government has the responsibility of establishing these services</w:t>
      </w:r>
      <w:r w:rsidR="008170CF">
        <w:rPr>
          <w:rFonts w:ascii="Times New Roman" w:hAnsi="Times New Roman" w:cs="Times New Roman"/>
          <w:sz w:val="24"/>
          <w:szCs w:val="24"/>
        </w:rPr>
        <w:t xml:space="preserve"> including required specialities</w:t>
      </w:r>
      <w:r w:rsidR="00B7581E">
        <w:rPr>
          <w:rFonts w:ascii="Times New Roman" w:hAnsi="Times New Roman" w:cs="Times New Roman"/>
          <w:sz w:val="24"/>
          <w:szCs w:val="24"/>
        </w:rPr>
        <w:t xml:space="preserve"> in these less developed districts. Such measure may reduce the inequity in terms of utilization and further reduce the burden of these population from moving out of their own district for availing services.</w:t>
      </w:r>
      <w:r>
        <w:rPr>
          <w:rFonts w:ascii="Times New Roman" w:hAnsi="Times New Roman" w:cs="Times New Roman"/>
          <w:sz w:val="24"/>
          <w:szCs w:val="24"/>
        </w:rPr>
        <w:t xml:space="preserve">  </w:t>
      </w:r>
    </w:p>
    <w:p w14:paraId="53A292DE" w14:textId="0987534E" w:rsidR="00B7581E" w:rsidRDefault="00B7581E" w:rsidP="008B5959">
      <w:pPr>
        <w:spacing w:line="240" w:lineRule="auto"/>
        <w:ind w:firstLine="720"/>
        <w:rPr>
          <w:rFonts w:ascii="Times New Roman" w:hAnsi="Times New Roman" w:cs="Times New Roman"/>
          <w:sz w:val="24"/>
          <w:szCs w:val="24"/>
        </w:rPr>
      </w:pPr>
      <w:r>
        <w:rPr>
          <w:rFonts w:ascii="Times New Roman" w:hAnsi="Times New Roman" w:cs="Times New Roman"/>
          <w:sz w:val="24"/>
          <w:szCs w:val="24"/>
        </w:rPr>
        <w:t>In this study number of hospitals were considered as an indicator of availability of services. This might be a crude measurement, because this does not take into consideration the number of beds available in the hospitals,</w:t>
      </w:r>
      <w:r w:rsidR="00514923">
        <w:rPr>
          <w:rFonts w:ascii="Times New Roman" w:hAnsi="Times New Roman" w:cs="Times New Roman"/>
          <w:sz w:val="24"/>
          <w:szCs w:val="24"/>
        </w:rPr>
        <w:t xml:space="preserve"> </w:t>
      </w:r>
      <w:r>
        <w:rPr>
          <w:rFonts w:ascii="Times New Roman" w:hAnsi="Times New Roman" w:cs="Times New Roman"/>
          <w:sz w:val="24"/>
          <w:szCs w:val="24"/>
        </w:rPr>
        <w:t>which may vary with each hospitals.</w:t>
      </w:r>
      <w:r w:rsidR="00954392">
        <w:rPr>
          <w:rFonts w:ascii="Times New Roman" w:hAnsi="Times New Roman" w:cs="Times New Roman"/>
          <w:sz w:val="24"/>
          <w:szCs w:val="24"/>
        </w:rPr>
        <w:t xml:space="preserve"> </w:t>
      </w:r>
      <w:r>
        <w:rPr>
          <w:rFonts w:ascii="Times New Roman" w:hAnsi="Times New Roman" w:cs="Times New Roman"/>
          <w:sz w:val="24"/>
          <w:szCs w:val="24"/>
        </w:rPr>
        <w:t>Similarly, availability of hospitals does not mean that they are a</w:t>
      </w:r>
      <w:r w:rsidR="00514923">
        <w:rPr>
          <w:rFonts w:ascii="Times New Roman" w:hAnsi="Times New Roman" w:cs="Times New Roman"/>
          <w:sz w:val="24"/>
          <w:szCs w:val="24"/>
        </w:rPr>
        <w:t xml:space="preserve">vailable for providing all the services </w:t>
      </w:r>
      <w:r>
        <w:rPr>
          <w:rFonts w:ascii="Times New Roman" w:hAnsi="Times New Roman" w:cs="Times New Roman"/>
          <w:sz w:val="24"/>
          <w:szCs w:val="24"/>
        </w:rPr>
        <w:t xml:space="preserve">under CMCHIS. There are hospitals which are </w:t>
      </w:r>
      <w:r w:rsidR="00421918">
        <w:rPr>
          <w:rFonts w:ascii="Times New Roman" w:hAnsi="Times New Roman" w:cs="Times New Roman"/>
          <w:sz w:val="24"/>
          <w:szCs w:val="24"/>
        </w:rPr>
        <w:t>empaneled</w:t>
      </w:r>
      <w:r>
        <w:rPr>
          <w:rFonts w:ascii="Times New Roman" w:hAnsi="Times New Roman" w:cs="Times New Roman"/>
          <w:sz w:val="24"/>
          <w:szCs w:val="24"/>
        </w:rPr>
        <w:t xml:space="preserve"> for single speciality. Therefore there is a possibility that the indicator that has be</w:t>
      </w:r>
      <w:r w:rsidR="00954392">
        <w:rPr>
          <w:rFonts w:ascii="Times New Roman" w:hAnsi="Times New Roman" w:cs="Times New Roman"/>
          <w:sz w:val="24"/>
          <w:szCs w:val="24"/>
        </w:rPr>
        <w:t xml:space="preserve">en used in this study could be an over estimation. </w:t>
      </w:r>
    </w:p>
    <w:p w14:paraId="1EE93FDE" w14:textId="77777777" w:rsidR="00954392" w:rsidRPr="00F041A3" w:rsidRDefault="00954392" w:rsidP="008B5959">
      <w:pPr>
        <w:spacing w:line="240" w:lineRule="auto"/>
        <w:rPr>
          <w:rFonts w:ascii="Times New Roman" w:hAnsi="Times New Roman" w:cs="Times New Roman"/>
          <w:b/>
          <w:bCs/>
          <w:sz w:val="24"/>
          <w:szCs w:val="24"/>
        </w:rPr>
      </w:pPr>
      <w:r w:rsidRPr="00F041A3">
        <w:rPr>
          <w:rFonts w:ascii="Times New Roman" w:hAnsi="Times New Roman" w:cs="Times New Roman"/>
          <w:b/>
          <w:bCs/>
          <w:sz w:val="24"/>
          <w:szCs w:val="24"/>
        </w:rPr>
        <w:t>Conclusion:</w:t>
      </w:r>
    </w:p>
    <w:p w14:paraId="7543ECBB" w14:textId="1ACD0B4D" w:rsidR="007C6293" w:rsidRDefault="00954392" w:rsidP="008B5959">
      <w:pPr>
        <w:spacing w:line="240" w:lineRule="auto"/>
        <w:ind w:firstLine="720"/>
        <w:rPr>
          <w:rFonts w:ascii="Times New Roman" w:hAnsi="Times New Roman" w:cs="Times New Roman"/>
          <w:sz w:val="24"/>
          <w:szCs w:val="24"/>
        </w:rPr>
      </w:pPr>
      <w:r>
        <w:rPr>
          <w:rFonts w:ascii="Times New Roman" w:hAnsi="Times New Roman" w:cs="Times New Roman"/>
          <w:sz w:val="24"/>
          <w:szCs w:val="24"/>
        </w:rPr>
        <w:t>Tamilnadu in its goal towards achieving Universal Health Coverage, should adopt a targeted approach</w:t>
      </w:r>
      <w:r w:rsidR="00514923">
        <w:rPr>
          <w:rFonts w:ascii="Times New Roman" w:hAnsi="Times New Roman" w:cs="Times New Roman"/>
          <w:sz w:val="24"/>
          <w:szCs w:val="24"/>
        </w:rPr>
        <w:t xml:space="preserve"> in empanelling hospitals under CMCHIS </w:t>
      </w:r>
      <w:r>
        <w:rPr>
          <w:rFonts w:ascii="Times New Roman" w:hAnsi="Times New Roman" w:cs="Times New Roman"/>
          <w:sz w:val="24"/>
          <w:szCs w:val="24"/>
        </w:rPr>
        <w:t xml:space="preserve"> </w:t>
      </w:r>
      <w:r w:rsidR="00514923">
        <w:rPr>
          <w:rFonts w:ascii="Times New Roman" w:hAnsi="Times New Roman" w:cs="Times New Roman"/>
          <w:sz w:val="24"/>
          <w:szCs w:val="24"/>
        </w:rPr>
        <w:t>to make sure that the scheme</w:t>
      </w:r>
      <w:r w:rsidR="00F041A3">
        <w:rPr>
          <w:rFonts w:ascii="Times New Roman" w:hAnsi="Times New Roman" w:cs="Times New Roman"/>
          <w:sz w:val="24"/>
          <w:szCs w:val="24"/>
        </w:rPr>
        <w:t xml:space="preserve"> is reaching the unserved.</w:t>
      </w:r>
      <w:r w:rsidR="00406BA1">
        <w:rPr>
          <w:rFonts w:ascii="Times New Roman" w:hAnsi="Times New Roman" w:cs="Times New Roman"/>
          <w:sz w:val="24"/>
          <w:szCs w:val="24"/>
        </w:rPr>
        <w:t xml:space="preserve">Overall development is essential for heakth development. </w:t>
      </w:r>
    </w:p>
    <w:p w14:paraId="49DDADE8" w14:textId="4E13E531" w:rsidR="006E17F9" w:rsidRDefault="006E17F9" w:rsidP="008B5959">
      <w:pPr>
        <w:spacing w:line="360" w:lineRule="auto"/>
        <w:rPr>
          <w:rFonts w:ascii="Times New Roman" w:hAnsi="Times New Roman" w:cs="Times New Roman"/>
          <w:sz w:val="24"/>
          <w:szCs w:val="24"/>
        </w:rPr>
      </w:pPr>
    </w:p>
    <w:p w14:paraId="6C4C76DE" w14:textId="4C791C55" w:rsidR="008B5959" w:rsidRDefault="008B5959" w:rsidP="008B5959">
      <w:pPr>
        <w:spacing w:line="360" w:lineRule="auto"/>
        <w:rPr>
          <w:rFonts w:ascii="Times New Roman" w:hAnsi="Times New Roman" w:cs="Times New Roman"/>
          <w:sz w:val="24"/>
          <w:szCs w:val="24"/>
        </w:rPr>
      </w:pPr>
    </w:p>
    <w:p w14:paraId="5D40C21E" w14:textId="1863DF8E" w:rsidR="008B5959" w:rsidRDefault="008B5959" w:rsidP="008B5959">
      <w:pPr>
        <w:spacing w:line="360" w:lineRule="auto"/>
        <w:rPr>
          <w:rFonts w:ascii="Times New Roman" w:hAnsi="Times New Roman" w:cs="Times New Roman"/>
          <w:sz w:val="24"/>
          <w:szCs w:val="24"/>
        </w:rPr>
      </w:pPr>
    </w:p>
    <w:p w14:paraId="4A83F838" w14:textId="43D64792" w:rsidR="008B5959" w:rsidRDefault="008B5959" w:rsidP="008B5959">
      <w:pPr>
        <w:spacing w:line="360" w:lineRule="auto"/>
        <w:rPr>
          <w:rFonts w:ascii="Times New Roman" w:hAnsi="Times New Roman" w:cs="Times New Roman"/>
          <w:sz w:val="24"/>
          <w:szCs w:val="24"/>
        </w:rPr>
      </w:pPr>
    </w:p>
    <w:p w14:paraId="0E8493F8" w14:textId="0F2D421A" w:rsidR="008B5959" w:rsidRDefault="008B5959" w:rsidP="008B5959">
      <w:pPr>
        <w:spacing w:line="360" w:lineRule="auto"/>
        <w:rPr>
          <w:rFonts w:ascii="Times New Roman" w:hAnsi="Times New Roman" w:cs="Times New Roman"/>
          <w:sz w:val="24"/>
          <w:szCs w:val="24"/>
        </w:rPr>
      </w:pPr>
    </w:p>
    <w:p w14:paraId="564D8AFA" w14:textId="77D9871D" w:rsidR="008B5959" w:rsidRDefault="008B5959" w:rsidP="008B5959">
      <w:pPr>
        <w:spacing w:line="360" w:lineRule="auto"/>
        <w:rPr>
          <w:rFonts w:ascii="Times New Roman" w:hAnsi="Times New Roman" w:cs="Times New Roman"/>
          <w:sz w:val="24"/>
          <w:szCs w:val="24"/>
        </w:rPr>
      </w:pPr>
    </w:p>
    <w:p w14:paraId="6F214BC2" w14:textId="6B6444CA" w:rsidR="008B5959" w:rsidRDefault="008B5959" w:rsidP="008B5959">
      <w:pPr>
        <w:spacing w:line="360" w:lineRule="auto"/>
        <w:rPr>
          <w:rFonts w:ascii="Times New Roman" w:hAnsi="Times New Roman" w:cs="Times New Roman"/>
          <w:sz w:val="24"/>
          <w:szCs w:val="24"/>
        </w:rPr>
      </w:pPr>
    </w:p>
    <w:p w14:paraId="00AFE835" w14:textId="776BDF3D" w:rsidR="008B5959" w:rsidRDefault="008B5959" w:rsidP="008B5959">
      <w:pPr>
        <w:spacing w:line="360" w:lineRule="auto"/>
        <w:rPr>
          <w:rFonts w:ascii="Times New Roman" w:hAnsi="Times New Roman" w:cs="Times New Roman"/>
          <w:sz w:val="24"/>
          <w:szCs w:val="24"/>
        </w:rPr>
      </w:pPr>
    </w:p>
    <w:p w14:paraId="00602AE4" w14:textId="045A11EC" w:rsidR="008B5959" w:rsidRDefault="008B5959" w:rsidP="008B5959">
      <w:pPr>
        <w:spacing w:line="360" w:lineRule="auto"/>
        <w:rPr>
          <w:rFonts w:ascii="Times New Roman" w:hAnsi="Times New Roman" w:cs="Times New Roman"/>
          <w:sz w:val="24"/>
          <w:szCs w:val="24"/>
        </w:rPr>
      </w:pPr>
    </w:p>
    <w:p w14:paraId="0E6E3AD8" w14:textId="77777777" w:rsidR="008B5959" w:rsidRDefault="008B5959" w:rsidP="008B5959">
      <w:pPr>
        <w:spacing w:line="360" w:lineRule="auto"/>
        <w:rPr>
          <w:rFonts w:ascii="Times New Roman" w:hAnsi="Times New Roman" w:cs="Times New Roman"/>
          <w:sz w:val="24"/>
          <w:szCs w:val="24"/>
        </w:rPr>
      </w:pPr>
    </w:p>
    <w:p w14:paraId="58656D61" w14:textId="77777777" w:rsidR="006E17F9" w:rsidRDefault="006E17F9" w:rsidP="008B5959">
      <w:pPr>
        <w:spacing w:line="360" w:lineRule="auto"/>
        <w:rPr>
          <w:rFonts w:ascii="Times New Roman" w:hAnsi="Times New Roman" w:cs="Times New Roman"/>
          <w:sz w:val="24"/>
          <w:szCs w:val="24"/>
        </w:rPr>
      </w:pPr>
      <w:r>
        <w:rPr>
          <w:rFonts w:ascii="Times New Roman" w:hAnsi="Times New Roman" w:cs="Times New Roman"/>
          <w:sz w:val="24"/>
          <w:szCs w:val="24"/>
        </w:rPr>
        <w:t>References</w:t>
      </w:r>
    </w:p>
    <w:p w14:paraId="462202BF" w14:textId="77777777" w:rsidR="006E17F9" w:rsidRDefault="006E17F9" w:rsidP="008B5959">
      <w:pPr>
        <w:spacing w:line="360" w:lineRule="auto"/>
        <w:rPr>
          <w:rFonts w:ascii="Times New Roman" w:hAnsi="Times New Roman" w:cs="Times New Roman"/>
          <w:sz w:val="24"/>
          <w:szCs w:val="24"/>
        </w:rPr>
      </w:pPr>
    </w:p>
    <w:p w14:paraId="1118915B" w14:textId="1A0B9629" w:rsidR="00EF5877" w:rsidRPr="00EF5877" w:rsidRDefault="006E17F9"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F5877" w:rsidRPr="00EF5877">
        <w:rPr>
          <w:rFonts w:ascii="Times New Roman" w:hAnsi="Times New Roman" w:cs="Times New Roman"/>
          <w:noProof/>
          <w:sz w:val="24"/>
          <w:szCs w:val="24"/>
        </w:rPr>
        <w:t xml:space="preserve">1. </w:t>
      </w:r>
      <w:r w:rsidR="00EF5877" w:rsidRPr="00EF5877">
        <w:rPr>
          <w:rFonts w:ascii="Times New Roman" w:hAnsi="Times New Roman" w:cs="Times New Roman"/>
          <w:noProof/>
          <w:sz w:val="24"/>
          <w:szCs w:val="24"/>
        </w:rPr>
        <w:tab/>
        <w:t>Ministry of Health and Family Welfare, The World Bank. Healthy States, Progressive India [Internet]. 2017. Available from: http://social.niti.gov.in/</w:t>
      </w:r>
    </w:p>
    <w:p w14:paraId="768CFE10"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2. </w:t>
      </w:r>
      <w:r w:rsidRPr="00EF5877">
        <w:rPr>
          <w:rFonts w:ascii="Times New Roman" w:hAnsi="Times New Roman" w:cs="Times New Roman"/>
          <w:noProof/>
          <w:sz w:val="24"/>
          <w:szCs w:val="24"/>
        </w:rPr>
        <w:tab/>
        <w:t xml:space="preserve">U.S.Mishra, T.R.Dilip. Health inequalities in Tamilnadu: Some NSSO Based Evidence. </w:t>
      </w:r>
    </w:p>
    <w:p w14:paraId="19FB99E3"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3. </w:t>
      </w:r>
      <w:r w:rsidRPr="00EF5877">
        <w:rPr>
          <w:rFonts w:ascii="Times New Roman" w:hAnsi="Times New Roman" w:cs="Times New Roman"/>
          <w:noProof/>
          <w:sz w:val="24"/>
          <w:szCs w:val="24"/>
        </w:rPr>
        <w:tab/>
        <w:t>V R Muraleedharan, Umakanth Dash, S D vaishnavi RM. Universal Health Coverage-Pilot in Tamil Nadu: Has it delivered what was expected? [Internet]. 2018. Available from: http://www.nrhmtn.gov.in/adv/UHC Pilot Report_Tamilnadu_IITM_24Feb2018.pdf</w:t>
      </w:r>
    </w:p>
    <w:p w14:paraId="644B467F"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4. </w:t>
      </w:r>
      <w:r w:rsidRPr="00EF5877">
        <w:rPr>
          <w:rFonts w:ascii="Times New Roman" w:hAnsi="Times New Roman" w:cs="Times New Roman"/>
          <w:noProof/>
          <w:sz w:val="24"/>
          <w:szCs w:val="24"/>
        </w:rPr>
        <w:tab/>
        <w:t xml:space="preserve">World Health Organization. Arguing for Universal Health Coverage. World Health Organization. 2013. p. 39. </w:t>
      </w:r>
    </w:p>
    <w:p w14:paraId="36DC5658"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5. </w:t>
      </w:r>
      <w:r w:rsidRPr="00EF5877">
        <w:rPr>
          <w:rFonts w:ascii="Times New Roman" w:hAnsi="Times New Roman" w:cs="Times New Roman"/>
          <w:noProof/>
          <w:sz w:val="24"/>
          <w:szCs w:val="24"/>
        </w:rPr>
        <w:tab/>
        <w:t>World Health Organization. Universal Health Coverage : Lessons To Guide Country Actions on Health Financing. 2014;21(2007):2012–3. Available from: http://www.who.int/health_financing/UHCandHealthFinancing-final.pdf?ua=1</w:t>
      </w:r>
    </w:p>
    <w:p w14:paraId="3DE95080"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6. </w:t>
      </w:r>
      <w:r w:rsidRPr="00EF5877">
        <w:rPr>
          <w:rFonts w:ascii="Times New Roman" w:hAnsi="Times New Roman" w:cs="Times New Roman"/>
          <w:noProof/>
          <w:sz w:val="24"/>
          <w:szCs w:val="24"/>
        </w:rPr>
        <w:tab/>
        <w:t xml:space="preserve">Government of Tamilnadu. TENDER DOCUMENT TO SELECT INSURANCE COMPANY TO IMPLEMENT “CHIEF MINISTER’S COMPREHENSIVE HEALTH INSURANCE SCHEME”. Project DIrector, Tamilnadu Health Systems Society; p. 122. </w:t>
      </w:r>
    </w:p>
    <w:p w14:paraId="3AC212DF"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7. </w:t>
      </w:r>
      <w:r w:rsidRPr="00EF5877">
        <w:rPr>
          <w:rFonts w:ascii="Times New Roman" w:hAnsi="Times New Roman" w:cs="Times New Roman"/>
          <w:noProof/>
          <w:sz w:val="24"/>
          <w:szCs w:val="24"/>
        </w:rPr>
        <w:tab/>
        <w:t>Chief Minister’s Comprehensive Health Insurance Scheme [Internet]. [cited 2019 Mar 27]. Available from: https://www.cmchistn.com/hospitalList.php</w:t>
      </w:r>
    </w:p>
    <w:p w14:paraId="425ABCB8"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8. </w:t>
      </w:r>
      <w:r w:rsidRPr="00EF5877">
        <w:rPr>
          <w:rFonts w:ascii="Times New Roman" w:hAnsi="Times New Roman" w:cs="Times New Roman"/>
          <w:noProof/>
          <w:sz w:val="24"/>
          <w:szCs w:val="24"/>
        </w:rPr>
        <w:tab/>
        <w:t>Patient Access Parternship. 5A′s of Access [Internet]. [cited 2019 Apr 8]. Available from: http://www.eupatientaccess.eu/page.php?i_id=19</w:t>
      </w:r>
    </w:p>
    <w:p w14:paraId="2E06B22A"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9. </w:t>
      </w:r>
      <w:r w:rsidRPr="00EF5877">
        <w:rPr>
          <w:rFonts w:ascii="Times New Roman" w:hAnsi="Times New Roman" w:cs="Times New Roman"/>
          <w:noProof/>
          <w:sz w:val="24"/>
          <w:szCs w:val="24"/>
        </w:rPr>
        <w:tab/>
        <w:t>Gulliford M, Figueroa-Munoz J, Morgan M, Hughes D, Gibson B, Beech R, et al. What does “access to health care” mean? J Health Serv Res Policy [Internet]. 2002 Jul;7(3):186–8. Available from: http://www.ncbi.nlm.nih.gov/pubmed/12171751</w:t>
      </w:r>
    </w:p>
    <w:p w14:paraId="51EDCE7F"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10. </w:t>
      </w:r>
      <w:r w:rsidRPr="00EF5877">
        <w:rPr>
          <w:rFonts w:ascii="Times New Roman" w:hAnsi="Times New Roman" w:cs="Times New Roman"/>
          <w:noProof/>
          <w:sz w:val="24"/>
          <w:szCs w:val="24"/>
        </w:rPr>
        <w:tab/>
        <w:t xml:space="preserve">Bose M, Dutta A. Health financing strategies to reduce out-of-pocket burden in India: a comparative study of three states. BMC Health Serv Res. 2018;18(1):1–10. </w:t>
      </w:r>
    </w:p>
    <w:p w14:paraId="2B17C4CA"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11. </w:t>
      </w:r>
      <w:r w:rsidRPr="00EF5877">
        <w:rPr>
          <w:rFonts w:ascii="Times New Roman" w:hAnsi="Times New Roman" w:cs="Times New Roman"/>
          <w:noProof/>
          <w:sz w:val="24"/>
          <w:szCs w:val="24"/>
        </w:rPr>
        <w:tab/>
        <w:t xml:space="preserve">CHAPTER 11 Summary of Findings. South West Region Climate Change Impacts Scoping Study. </w:t>
      </w:r>
    </w:p>
    <w:p w14:paraId="49E54D61"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12. </w:t>
      </w:r>
      <w:r w:rsidRPr="00EF5877">
        <w:rPr>
          <w:rFonts w:ascii="Times New Roman" w:hAnsi="Times New Roman" w:cs="Times New Roman"/>
          <w:noProof/>
          <w:sz w:val="24"/>
          <w:szCs w:val="24"/>
        </w:rPr>
        <w:tab/>
        <w:t xml:space="preserve">Service Coverage and Financial Risk Protection Among Urban Poor Under Tamil Nadu ’ s Voluntary Government-sponsored Health Insurance Scheme. 2012;120–39. </w:t>
      </w:r>
    </w:p>
    <w:p w14:paraId="7CD64D77"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lastRenderedPageBreak/>
        <w:t xml:space="preserve">13. </w:t>
      </w:r>
      <w:r w:rsidRPr="00EF5877">
        <w:rPr>
          <w:rFonts w:ascii="Times New Roman" w:hAnsi="Times New Roman" w:cs="Times New Roman"/>
          <w:noProof/>
          <w:sz w:val="24"/>
          <w:szCs w:val="24"/>
        </w:rPr>
        <w:tab/>
        <w:t>Human Development Index (HDI) | Human Development Reports [Internet]. [cited 2019 Mar 27]. Available from: http://hdr.undp.org/en/content/human-development-index-hdi</w:t>
      </w:r>
    </w:p>
    <w:p w14:paraId="4466B628"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14. </w:t>
      </w:r>
      <w:r w:rsidRPr="00EF5877">
        <w:rPr>
          <w:rFonts w:ascii="Times New Roman" w:hAnsi="Times New Roman" w:cs="Times New Roman"/>
          <w:noProof/>
          <w:sz w:val="24"/>
          <w:szCs w:val="24"/>
        </w:rPr>
        <w:tab/>
        <w:t xml:space="preserve">State Planning Comission ; Government of Tamilnadu. Status of Human Development. 2017. </w:t>
      </w:r>
    </w:p>
    <w:p w14:paraId="3366F3F9"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15. </w:t>
      </w:r>
      <w:r w:rsidRPr="00EF5877">
        <w:rPr>
          <w:rFonts w:ascii="Times New Roman" w:hAnsi="Times New Roman" w:cs="Times New Roman"/>
          <w:noProof/>
          <w:sz w:val="24"/>
          <w:szCs w:val="24"/>
        </w:rPr>
        <w:tab/>
        <w:t>Nandi S, Schneider H, Garg S. Assessing geographical inequity in availability of hospital services under the state-funded universal health insurance scheme in Chhattisgarh state, India, using a composite vulnerability index. Glob Health Action [Internet]. 2018;11(1). Available from: https://doi.org/10.1080/16549716.2018.1541220</w:t>
      </w:r>
    </w:p>
    <w:p w14:paraId="0FAA7053"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16. </w:t>
      </w:r>
      <w:r w:rsidRPr="00EF5877">
        <w:rPr>
          <w:rFonts w:ascii="Times New Roman" w:hAnsi="Times New Roman" w:cs="Times New Roman"/>
          <w:noProof/>
          <w:sz w:val="24"/>
          <w:szCs w:val="24"/>
        </w:rPr>
        <w:tab/>
        <w:t>Jin C, Cheng J, Lu Y, Huang Z, Cao F. Spatial inequity in access to healthcare facilities at a county level in a developing country: A case study of Deqing County, Zhejiang, China. Int J Equity Health [Internet]. 2015;14(1):1–21. Available from: http://dx.doi.org/10.1186/s12939-015-0195-6</w:t>
      </w:r>
    </w:p>
    <w:p w14:paraId="18A3E3F7"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17. </w:t>
      </w:r>
      <w:r w:rsidRPr="00EF5877">
        <w:rPr>
          <w:rFonts w:ascii="Times New Roman" w:hAnsi="Times New Roman" w:cs="Times New Roman"/>
          <w:noProof/>
          <w:sz w:val="24"/>
          <w:szCs w:val="24"/>
        </w:rPr>
        <w:tab/>
        <w:t>Helble M. The movement of patients across borders: challenges and opportunities for public health. Bull World Health Organ [Internet]. 2011 Jan 1;89(1):68–72. Available from: http://www.who.int/bulletin/volumes/89/1/10-076612.pdf</w:t>
      </w:r>
    </w:p>
    <w:p w14:paraId="626D3CF7"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18. </w:t>
      </w:r>
      <w:r w:rsidRPr="00EF5877">
        <w:rPr>
          <w:rFonts w:ascii="Times New Roman" w:hAnsi="Times New Roman" w:cs="Times New Roman"/>
          <w:noProof/>
          <w:sz w:val="24"/>
          <w:szCs w:val="24"/>
        </w:rPr>
        <w:tab/>
        <w:t>Tudor Hart J. THE INVERSE CARE LAW. Lancet [Internet]. 1971 Feb;297(7696):405–12. Available from: https://linkinghub.elsevier.com/retrieve/pii/S014067367192410X</w:t>
      </w:r>
    </w:p>
    <w:p w14:paraId="13C8BF74"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19. </w:t>
      </w:r>
      <w:r w:rsidRPr="00EF5877">
        <w:rPr>
          <w:rFonts w:ascii="Times New Roman" w:hAnsi="Times New Roman" w:cs="Times New Roman"/>
          <w:noProof/>
          <w:sz w:val="24"/>
          <w:szCs w:val="24"/>
        </w:rPr>
        <w:tab/>
        <w:t>D. M, D. M, L. G. Geographic patterns of deprivation in South Africa: Informing health equity analyses and public resource allocation strategies. Health Policy Plan [Internet]. 2002;17(SUPPL. 1):30–9. Available from: http://ovidsp.ovid.com/ovidweb.cgi?T=JS&amp;PAGE=reference&amp;D=emed5&amp;NEWS=N&amp;AN=2003014853</w:t>
      </w:r>
    </w:p>
    <w:p w14:paraId="176571F3"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20. </w:t>
      </w:r>
      <w:r w:rsidRPr="00EF5877">
        <w:rPr>
          <w:rFonts w:ascii="Times New Roman" w:hAnsi="Times New Roman" w:cs="Times New Roman"/>
          <w:noProof/>
          <w:sz w:val="24"/>
          <w:szCs w:val="24"/>
        </w:rPr>
        <w:tab/>
        <w:t>Joe W, Mishra US, Navaneetham K. Health Inequality in India : Evidence from NFHS 3. Econ Polit Wkly [Internet]. 2008;XLIII(31):41–8. Available from: http://www.epw.in/special-articles/health-inequality-india-evidence-nfhs-3.html</w:t>
      </w:r>
    </w:p>
    <w:p w14:paraId="29D14295"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21. </w:t>
      </w:r>
      <w:r w:rsidRPr="00EF5877">
        <w:rPr>
          <w:rFonts w:ascii="Times New Roman" w:hAnsi="Times New Roman" w:cs="Times New Roman"/>
          <w:noProof/>
          <w:sz w:val="24"/>
          <w:szCs w:val="24"/>
        </w:rPr>
        <w:tab/>
        <w:t>Pratt B, Hyder AA. How can health systems research reach the worst-off? A conceptual exploration. BMC Health Serv Res [Internet]. 2016;16(Suppl 7):143–54. Available from: http://dx.doi.org/10.1186/s12913-016-1868-6</w:t>
      </w:r>
    </w:p>
    <w:p w14:paraId="5BF416A8"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22. </w:t>
      </w:r>
      <w:r w:rsidRPr="00EF5877">
        <w:rPr>
          <w:rFonts w:ascii="Times New Roman" w:hAnsi="Times New Roman" w:cs="Times New Roman"/>
          <w:noProof/>
          <w:sz w:val="24"/>
          <w:szCs w:val="24"/>
        </w:rPr>
        <w:tab/>
        <w:t>Fujita M, Sato Y, Nagashima K, Takahashi S, Hata A. Impact of geographic accessibility on utilization of the annual health check-ups by income level in Japan: A multilevel analysis. Shah TI, editor. PLoS One [Internet]. 2017 May 9;12(5):e0177091. Available from: https://dx.plos.org/10.1371/journal.pone.0177091</w:t>
      </w:r>
    </w:p>
    <w:p w14:paraId="3E1624A4"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23. </w:t>
      </w:r>
      <w:r w:rsidRPr="00EF5877">
        <w:rPr>
          <w:rFonts w:ascii="Times New Roman" w:hAnsi="Times New Roman" w:cs="Times New Roman"/>
          <w:noProof/>
          <w:sz w:val="24"/>
          <w:szCs w:val="24"/>
        </w:rPr>
        <w:tab/>
        <w:t>Limwattananon S, Vongmongkol V, Prakongsai P. The equity impact of Universal Coverage: health care finance, catastrophic health expenditure, utilization and government subsidies in Thailand. Consort Res Equitable Heal Syst [Internet]. 2011; Available from: www.crehs.lshtm.ac.uk</w:t>
      </w:r>
    </w:p>
    <w:p w14:paraId="728879D9"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szCs w:val="24"/>
        </w:rPr>
      </w:pPr>
      <w:r w:rsidRPr="00EF5877">
        <w:rPr>
          <w:rFonts w:ascii="Times New Roman" w:hAnsi="Times New Roman" w:cs="Times New Roman"/>
          <w:noProof/>
          <w:sz w:val="24"/>
          <w:szCs w:val="24"/>
        </w:rPr>
        <w:t xml:space="preserve">24. </w:t>
      </w:r>
      <w:r w:rsidRPr="00EF5877">
        <w:rPr>
          <w:rFonts w:ascii="Times New Roman" w:hAnsi="Times New Roman" w:cs="Times New Roman"/>
          <w:noProof/>
          <w:sz w:val="24"/>
          <w:szCs w:val="24"/>
        </w:rPr>
        <w:tab/>
        <w:t xml:space="preserve">Gwatkin DR, Yazbeck AS. Health Population Programs. Popul (English Ed. </w:t>
      </w:r>
    </w:p>
    <w:p w14:paraId="78B7649A" w14:textId="77777777" w:rsidR="00EF5877" w:rsidRPr="00EF5877" w:rsidRDefault="00EF5877" w:rsidP="008B5959">
      <w:pPr>
        <w:widowControl w:val="0"/>
        <w:autoSpaceDE w:val="0"/>
        <w:autoSpaceDN w:val="0"/>
        <w:adjustRightInd w:val="0"/>
        <w:spacing w:line="360" w:lineRule="auto"/>
        <w:ind w:left="640" w:hanging="640"/>
        <w:rPr>
          <w:rFonts w:ascii="Times New Roman" w:hAnsi="Times New Roman" w:cs="Times New Roman"/>
          <w:noProof/>
          <w:sz w:val="24"/>
        </w:rPr>
      </w:pPr>
      <w:r w:rsidRPr="00EF5877">
        <w:rPr>
          <w:rFonts w:ascii="Times New Roman" w:hAnsi="Times New Roman" w:cs="Times New Roman"/>
          <w:noProof/>
          <w:sz w:val="24"/>
          <w:szCs w:val="24"/>
        </w:rPr>
        <w:t xml:space="preserve">25. </w:t>
      </w:r>
      <w:r w:rsidRPr="00EF5877">
        <w:rPr>
          <w:rFonts w:ascii="Times New Roman" w:hAnsi="Times New Roman" w:cs="Times New Roman"/>
          <w:noProof/>
          <w:sz w:val="24"/>
          <w:szCs w:val="24"/>
        </w:rPr>
        <w:tab/>
        <w:t>Victora CG, Wagstaff A, Schellenberg JA, Gwatkin D, Claeson M, Habicht J-P. Applying an equity lens to child health and mortality: more of the same is not enough. Lancet (London, England) [Internet]. 2003 Jul 19;362(9379):233–41. Available from: http://www.ncbi.nlm.nih.gov/pubmed/12885488</w:t>
      </w:r>
    </w:p>
    <w:p w14:paraId="75B14E78" w14:textId="77777777" w:rsidR="008B5959" w:rsidRDefault="006E17F9" w:rsidP="008B5959">
      <w:pPr>
        <w:spacing w:line="360" w:lineRule="auto"/>
        <w:rPr>
          <w:rFonts w:ascii="Times New Roman" w:hAnsi="Times New Roman" w:cs="Times New Roman"/>
          <w:sz w:val="24"/>
          <w:szCs w:val="24"/>
        </w:rPr>
        <w:sectPr w:rsidR="008B5959" w:rsidSect="008B5959">
          <w:pgSz w:w="15840" w:h="19100"/>
          <w:pgMar w:top="1440" w:right="1797" w:bottom="3260" w:left="1803" w:header="720" w:footer="720" w:gutter="0"/>
          <w:cols w:space="720"/>
          <w:noEndnote/>
          <w:docGrid w:linePitch="299"/>
        </w:sectPr>
      </w:pPr>
      <w:r>
        <w:rPr>
          <w:rFonts w:ascii="Times New Roman" w:hAnsi="Times New Roman" w:cs="Times New Roman"/>
          <w:sz w:val="24"/>
          <w:szCs w:val="24"/>
        </w:rPr>
        <w:lastRenderedPageBreak/>
        <w:fldChar w:fldCharType="end"/>
      </w:r>
    </w:p>
    <w:p w14:paraId="057F9AE5" w14:textId="4AEA9C2F" w:rsidR="00937546" w:rsidRPr="00E91A88" w:rsidRDefault="00937546" w:rsidP="008B5959">
      <w:pPr>
        <w:pStyle w:val="ColorfulList-Accent11"/>
        <w:autoSpaceDE w:val="0"/>
        <w:autoSpaceDN w:val="0"/>
        <w:adjustRightInd w:val="0"/>
        <w:spacing w:after="0" w:line="240" w:lineRule="auto"/>
        <w:ind w:left="0" w:right="26"/>
        <w:jc w:val="both"/>
        <w:rPr>
          <w:rFonts w:ascii="Times New Roman" w:hAnsi="Times New Roman"/>
          <w:color w:val="231F20"/>
          <w:sz w:val="24"/>
          <w:szCs w:val="24"/>
        </w:rPr>
      </w:pPr>
      <w:r w:rsidRPr="00E91A88">
        <w:rPr>
          <w:rFonts w:ascii="Times New Roman" w:hAnsi="Times New Roman"/>
          <w:color w:val="231F20"/>
          <w:sz w:val="24"/>
          <w:szCs w:val="24"/>
        </w:rPr>
        <w:lastRenderedPageBreak/>
        <w:t>Table 1. District wise details on Development and insurance indicator</w:t>
      </w:r>
    </w:p>
    <w:tbl>
      <w:tblPr>
        <w:tblStyle w:val="TableGrid"/>
        <w:tblW w:w="6373" w:type="pct"/>
        <w:tblInd w:w="-2888" w:type="dxa"/>
        <w:tblLayout w:type="fixed"/>
        <w:tblLook w:val="04A0" w:firstRow="1" w:lastRow="0" w:firstColumn="1" w:lastColumn="0" w:noHBand="0" w:noVBand="1"/>
      </w:tblPr>
      <w:tblGrid>
        <w:gridCol w:w="2740"/>
        <w:gridCol w:w="1141"/>
        <w:gridCol w:w="1434"/>
        <w:gridCol w:w="1295"/>
        <w:gridCol w:w="1148"/>
        <w:gridCol w:w="1295"/>
        <w:gridCol w:w="1291"/>
        <w:gridCol w:w="1005"/>
        <w:gridCol w:w="1005"/>
        <w:gridCol w:w="858"/>
        <w:gridCol w:w="1148"/>
        <w:gridCol w:w="998"/>
        <w:gridCol w:w="998"/>
        <w:gridCol w:w="998"/>
        <w:gridCol w:w="987"/>
      </w:tblGrid>
      <w:tr w:rsidR="008B5959" w:rsidRPr="00E91A88" w14:paraId="37B87008" w14:textId="77777777" w:rsidTr="00447817">
        <w:trPr>
          <w:trHeight w:val="248"/>
        </w:trPr>
        <w:tc>
          <w:tcPr>
            <w:tcW w:w="747" w:type="pct"/>
            <w:noWrap/>
            <w:hideMark/>
          </w:tcPr>
          <w:p w14:paraId="0B65ED01" w14:textId="77777777" w:rsidR="00937546" w:rsidRPr="00E91A88" w:rsidRDefault="00937546" w:rsidP="00447817">
            <w:pPr>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district</w:t>
            </w:r>
          </w:p>
        </w:tc>
        <w:tc>
          <w:tcPr>
            <w:tcW w:w="311" w:type="pct"/>
            <w:noWrap/>
          </w:tcPr>
          <w:p w14:paraId="60420079"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 xml:space="preserve">Living </w:t>
            </w:r>
          </w:p>
          <w:p w14:paraId="5F191C3D"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Standard</w:t>
            </w:r>
          </w:p>
          <w:p w14:paraId="615D3AC8"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 xml:space="preserve"> Index</w:t>
            </w:r>
          </w:p>
        </w:tc>
        <w:tc>
          <w:tcPr>
            <w:tcW w:w="391" w:type="pct"/>
            <w:noWrap/>
          </w:tcPr>
          <w:p w14:paraId="50A4F6B4"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 xml:space="preserve">Health </w:t>
            </w:r>
          </w:p>
          <w:p w14:paraId="63992E61"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Index</w:t>
            </w:r>
          </w:p>
        </w:tc>
        <w:tc>
          <w:tcPr>
            <w:tcW w:w="353" w:type="pct"/>
            <w:noWrap/>
          </w:tcPr>
          <w:p w14:paraId="06953B06"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Education</w:t>
            </w:r>
          </w:p>
          <w:p w14:paraId="26060B5B"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 xml:space="preserve"> Index</w:t>
            </w:r>
          </w:p>
        </w:tc>
        <w:tc>
          <w:tcPr>
            <w:tcW w:w="313" w:type="pct"/>
          </w:tcPr>
          <w:p w14:paraId="50EE620C"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Overall Index</w:t>
            </w:r>
          </w:p>
        </w:tc>
        <w:tc>
          <w:tcPr>
            <w:tcW w:w="353" w:type="pct"/>
          </w:tcPr>
          <w:p w14:paraId="643444D8"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 xml:space="preserve">Proportion Of Population Enrolled </w:t>
            </w:r>
          </w:p>
          <w:p w14:paraId="4441EE2E" w14:textId="77777777" w:rsidR="00937546" w:rsidRPr="00E91A88" w:rsidRDefault="00937546" w:rsidP="00447817">
            <w:pPr>
              <w:jc w:val="both"/>
              <w:rPr>
                <w:rFonts w:ascii="Times New Roman" w:hAnsi="Times New Roman" w:cs="Times New Roman"/>
                <w:color w:val="000000"/>
                <w:sz w:val="24"/>
                <w:szCs w:val="24"/>
              </w:rPr>
            </w:pPr>
          </w:p>
        </w:tc>
        <w:tc>
          <w:tcPr>
            <w:tcW w:w="352" w:type="pct"/>
          </w:tcPr>
          <w:p w14:paraId="305B4124"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Hospital Availability</w:t>
            </w:r>
          </w:p>
          <w:p w14:paraId="37DEC12B"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 xml:space="preserve">/1lakh </w:t>
            </w:r>
            <w:r>
              <w:rPr>
                <w:rFonts w:ascii="Times New Roman" w:hAnsi="Times New Roman" w:cs="Times New Roman"/>
                <w:color w:val="000000"/>
                <w:sz w:val="24"/>
                <w:szCs w:val="24"/>
              </w:rPr>
              <w:t xml:space="preserve">Families </w:t>
            </w:r>
            <w:r w:rsidRPr="00E91A88">
              <w:rPr>
                <w:rFonts w:ascii="Times New Roman" w:hAnsi="Times New Roman" w:cs="Times New Roman"/>
                <w:color w:val="000000"/>
                <w:sz w:val="24"/>
                <w:szCs w:val="24"/>
              </w:rPr>
              <w:t>Enrolled</w:t>
            </w:r>
          </w:p>
        </w:tc>
        <w:tc>
          <w:tcPr>
            <w:tcW w:w="274" w:type="pct"/>
          </w:tcPr>
          <w:p w14:paraId="77A56636"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Public</w:t>
            </w:r>
            <w:r>
              <w:rPr>
                <w:rFonts w:ascii="Times New Roman" w:hAnsi="Times New Roman" w:cs="Times New Roman"/>
                <w:color w:val="000000"/>
                <w:sz w:val="24"/>
                <w:szCs w:val="24"/>
              </w:rPr>
              <w:t xml:space="preserve"> Hospital Availability </w:t>
            </w:r>
            <w:r w:rsidRPr="00E91A88">
              <w:rPr>
                <w:rFonts w:ascii="Times New Roman" w:hAnsi="Times New Roman" w:cs="Times New Roman"/>
                <w:color w:val="000000"/>
                <w:sz w:val="24"/>
                <w:szCs w:val="24"/>
              </w:rPr>
              <w:t xml:space="preserve">/ 1 Lakh </w:t>
            </w:r>
            <w:r>
              <w:rPr>
                <w:rFonts w:ascii="Times New Roman" w:hAnsi="Times New Roman" w:cs="Times New Roman"/>
                <w:color w:val="000000"/>
                <w:sz w:val="24"/>
                <w:szCs w:val="24"/>
              </w:rPr>
              <w:t xml:space="preserve">Families </w:t>
            </w:r>
            <w:r w:rsidRPr="00E91A88">
              <w:rPr>
                <w:rFonts w:ascii="Times New Roman" w:hAnsi="Times New Roman" w:cs="Times New Roman"/>
                <w:color w:val="000000"/>
                <w:sz w:val="24"/>
                <w:szCs w:val="24"/>
              </w:rPr>
              <w:t>enrolled</w:t>
            </w:r>
          </w:p>
        </w:tc>
        <w:tc>
          <w:tcPr>
            <w:tcW w:w="274" w:type="pct"/>
          </w:tcPr>
          <w:p w14:paraId="1F4F0C6C" w14:textId="77777777" w:rsidR="00937546" w:rsidRPr="00E91A88" w:rsidRDefault="00937546" w:rsidP="00447817">
            <w:pPr>
              <w:jc w:val="both"/>
              <w:rPr>
                <w:rFonts w:ascii="Times New Roman" w:hAnsi="Times New Roman" w:cs="Times New Roman"/>
                <w:color w:val="000000"/>
                <w:sz w:val="24"/>
                <w:szCs w:val="24"/>
              </w:rPr>
            </w:pPr>
            <w:r>
              <w:rPr>
                <w:rFonts w:ascii="Times New Roman" w:hAnsi="Times New Roman" w:cs="Times New Roman"/>
                <w:color w:val="000000"/>
                <w:sz w:val="24"/>
                <w:szCs w:val="24"/>
              </w:rPr>
              <w:t>Private Hospital Availability</w:t>
            </w:r>
            <w:r w:rsidRPr="00E91A88">
              <w:rPr>
                <w:rFonts w:ascii="Times New Roman" w:hAnsi="Times New Roman" w:cs="Times New Roman"/>
                <w:color w:val="000000"/>
                <w:sz w:val="24"/>
                <w:szCs w:val="24"/>
              </w:rPr>
              <w:t>/</w:t>
            </w:r>
          </w:p>
          <w:p w14:paraId="369C46CE"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1 Lakh</w:t>
            </w:r>
            <w:r>
              <w:rPr>
                <w:rFonts w:ascii="Times New Roman" w:hAnsi="Times New Roman" w:cs="Times New Roman"/>
                <w:color w:val="000000"/>
                <w:sz w:val="24"/>
                <w:szCs w:val="24"/>
              </w:rPr>
              <w:t xml:space="preserve"> Families</w:t>
            </w:r>
            <w:r w:rsidRPr="00E91A88">
              <w:rPr>
                <w:rFonts w:ascii="Times New Roman" w:hAnsi="Times New Roman" w:cs="Times New Roman"/>
                <w:color w:val="000000"/>
                <w:sz w:val="24"/>
                <w:szCs w:val="24"/>
              </w:rPr>
              <w:t xml:space="preserve"> Enrolled</w:t>
            </w:r>
          </w:p>
        </w:tc>
        <w:tc>
          <w:tcPr>
            <w:tcW w:w="234" w:type="pct"/>
          </w:tcPr>
          <w:p w14:paraId="24550FD3"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Claims</w:t>
            </w:r>
            <w:r>
              <w:rPr>
                <w:rFonts w:ascii="Times New Roman" w:hAnsi="Times New Roman" w:cs="Times New Roman"/>
                <w:color w:val="000000"/>
                <w:sz w:val="24"/>
                <w:szCs w:val="24"/>
              </w:rPr>
              <w:t xml:space="preserve"> Made By Population</w:t>
            </w:r>
            <w:r w:rsidRPr="00E91A88">
              <w:rPr>
                <w:rFonts w:ascii="Times New Roman" w:hAnsi="Times New Roman" w:cs="Times New Roman"/>
                <w:color w:val="000000"/>
                <w:sz w:val="24"/>
                <w:szCs w:val="24"/>
              </w:rPr>
              <w:t xml:space="preserve"> /1 Lakh Enrolled</w:t>
            </w:r>
          </w:p>
        </w:tc>
        <w:tc>
          <w:tcPr>
            <w:tcW w:w="313" w:type="pct"/>
          </w:tcPr>
          <w:p w14:paraId="6E4CD3F6"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Public Claims/1 Lakh Enrolled</w:t>
            </w:r>
          </w:p>
        </w:tc>
        <w:tc>
          <w:tcPr>
            <w:tcW w:w="272" w:type="pct"/>
          </w:tcPr>
          <w:p w14:paraId="146C7B0E"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Pvt Claims/Enrolled</w:t>
            </w:r>
          </w:p>
        </w:tc>
        <w:tc>
          <w:tcPr>
            <w:tcW w:w="272" w:type="pct"/>
          </w:tcPr>
          <w:p w14:paraId="20B99723"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 xml:space="preserve">Claims </w:t>
            </w:r>
            <w:r>
              <w:rPr>
                <w:rFonts w:ascii="Times New Roman" w:hAnsi="Times New Roman" w:cs="Times New Roman"/>
                <w:color w:val="000000"/>
                <w:sz w:val="24"/>
                <w:szCs w:val="24"/>
              </w:rPr>
              <w:t xml:space="preserve">Made By Hospital </w:t>
            </w:r>
            <w:r w:rsidRPr="00E91A88">
              <w:rPr>
                <w:rFonts w:ascii="Times New Roman" w:hAnsi="Times New Roman" w:cs="Times New Roman"/>
                <w:color w:val="000000"/>
                <w:sz w:val="24"/>
                <w:szCs w:val="24"/>
              </w:rPr>
              <w:t xml:space="preserve">/1 Lakh </w:t>
            </w:r>
            <w:r>
              <w:rPr>
                <w:rFonts w:ascii="Times New Roman" w:hAnsi="Times New Roman" w:cs="Times New Roman"/>
                <w:color w:val="000000"/>
                <w:sz w:val="24"/>
                <w:szCs w:val="24"/>
              </w:rPr>
              <w:t xml:space="preserve">Families </w:t>
            </w:r>
            <w:r w:rsidRPr="00E91A88">
              <w:rPr>
                <w:rFonts w:ascii="Times New Roman" w:hAnsi="Times New Roman" w:cs="Times New Roman"/>
                <w:color w:val="000000"/>
                <w:sz w:val="24"/>
                <w:szCs w:val="24"/>
              </w:rPr>
              <w:t>Enrolled</w:t>
            </w:r>
          </w:p>
        </w:tc>
        <w:tc>
          <w:tcPr>
            <w:tcW w:w="272" w:type="pct"/>
          </w:tcPr>
          <w:p w14:paraId="0AE7E565"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Claims</w:t>
            </w:r>
            <w:r>
              <w:rPr>
                <w:rFonts w:ascii="Times New Roman" w:hAnsi="Times New Roman" w:cs="Times New Roman"/>
                <w:color w:val="000000"/>
                <w:sz w:val="24"/>
                <w:szCs w:val="24"/>
              </w:rPr>
              <w:t xml:space="preserve"> By Public Hospitals</w:t>
            </w:r>
            <w:r w:rsidRPr="00E91A88">
              <w:rPr>
                <w:rFonts w:ascii="Times New Roman" w:hAnsi="Times New Roman" w:cs="Times New Roman"/>
                <w:color w:val="000000"/>
                <w:sz w:val="24"/>
                <w:szCs w:val="24"/>
              </w:rPr>
              <w:t>/1 Lakh Enrolled</w:t>
            </w:r>
          </w:p>
        </w:tc>
        <w:tc>
          <w:tcPr>
            <w:tcW w:w="269" w:type="pct"/>
          </w:tcPr>
          <w:p w14:paraId="7D5818B2"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Claims</w:t>
            </w:r>
            <w:r>
              <w:rPr>
                <w:rFonts w:ascii="Times New Roman" w:hAnsi="Times New Roman" w:cs="Times New Roman"/>
                <w:color w:val="000000"/>
                <w:sz w:val="24"/>
                <w:szCs w:val="24"/>
              </w:rPr>
              <w:t xml:space="preserve"> By Private Hospitals</w:t>
            </w:r>
            <w:r w:rsidRPr="00E91A88">
              <w:rPr>
                <w:rFonts w:ascii="Times New Roman" w:hAnsi="Times New Roman" w:cs="Times New Roman"/>
                <w:color w:val="000000"/>
                <w:sz w:val="24"/>
                <w:szCs w:val="24"/>
              </w:rPr>
              <w:t>/Enrolled</w:t>
            </w:r>
          </w:p>
        </w:tc>
      </w:tr>
      <w:tr w:rsidR="008B5959" w:rsidRPr="00E91A88" w14:paraId="6E939A6A" w14:textId="77777777" w:rsidTr="00447817">
        <w:trPr>
          <w:trHeight w:val="251"/>
        </w:trPr>
        <w:tc>
          <w:tcPr>
            <w:tcW w:w="747" w:type="pct"/>
            <w:noWrap/>
            <w:vAlign w:val="bottom"/>
            <w:hideMark/>
          </w:tcPr>
          <w:p w14:paraId="39AEB70D" w14:textId="77777777" w:rsidR="00937546" w:rsidRDefault="00937546" w:rsidP="00447817">
            <w:pPr>
              <w:rPr>
                <w:rFonts w:ascii="Calibri" w:hAnsi="Calibri" w:cs="Calibri"/>
                <w:color w:val="000000"/>
              </w:rPr>
            </w:pPr>
            <w:r>
              <w:rPr>
                <w:rFonts w:ascii="Calibri" w:hAnsi="Calibri" w:cs="Calibri"/>
                <w:color w:val="000000"/>
              </w:rPr>
              <w:t>ARIYALUR</w:t>
            </w:r>
          </w:p>
        </w:tc>
        <w:tc>
          <w:tcPr>
            <w:tcW w:w="311" w:type="pct"/>
            <w:tcBorders>
              <w:top w:val="single" w:sz="4" w:space="0" w:color="auto"/>
              <w:left w:val="single" w:sz="4" w:space="0" w:color="auto"/>
              <w:bottom w:val="single" w:sz="4" w:space="0" w:color="auto"/>
              <w:right w:val="single" w:sz="4" w:space="0" w:color="auto"/>
            </w:tcBorders>
            <w:shd w:val="clear" w:color="auto" w:fill="auto"/>
            <w:vAlign w:val="bottom"/>
          </w:tcPr>
          <w:p w14:paraId="7EB146E2" w14:textId="77777777" w:rsidR="00937546" w:rsidRDefault="00937546" w:rsidP="00447817">
            <w:pPr>
              <w:jc w:val="right"/>
              <w:rPr>
                <w:rFonts w:ascii="Calibri" w:hAnsi="Calibri" w:cs="Calibri"/>
                <w:color w:val="000000"/>
              </w:rPr>
            </w:pPr>
            <w:r>
              <w:rPr>
                <w:rFonts w:ascii="Calibri" w:hAnsi="Calibri" w:cs="Calibri"/>
                <w:color w:val="000000"/>
              </w:rPr>
              <w:t>0.062</w:t>
            </w:r>
          </w:p>
        </w:tc>
        <w:tc>
          <w:tcPr>
            <w:tcW w:w="391" w:type="pct"/>
            <w:tcBorders>
              <w:top w:val="single" w:sz="4" w:space="0" w:color="auto"/>
              <w:left w:val="nil"/>
              <w:bottom w:val="single" w:sz="4" w:space="0" w:color="auto"/>
              <w:right w:val="single" w:sz="4" w:space="0" w:color="auto"/>
            </w:tcBorders>
            <w:shd w:val="clear" w:color="auto" w:fill="auto"/>
            <w:vAlign w:val="bottom"/>
          </w:tcPr>
          <w:p w14:paraId="71F95225" w14:textId="77777777" w:rsidR="00937546" w:rsidRDefault="00937546" w:rsidP="00447817">
            <w:pPr>
              <w:jc w:val="right"/>
              <w:rPr>
                <w:rFonts w:ascii="Calibri" w:hAnsi="Calibri" w:cs="Calibri"/>
                <w:color w:val="000000"/>
              </w:rPr>
            </w:pPr>
            <w:r>
              <w:rPr>
                <w:rFonts w:ascii="Calibri" w:hAnsi="Calibri" w:cs="Calibri"/>
                <w:color w:val="000000"/>
              </w:rPr>
              <w:t>0.653</w:t>
            </w:r>
          </w:p>
        </w:tc>
        <w:tc>
          <w:tcPr>
            <w:tcW w:w="353" w:type="pct"/>
            <w:tcBorders>
              <w:top w:val="single" w:sz="4" w:space="0" w:color="auto"/>
              <w:left w:val="nil"/>
              <w:bottom w:val="single" w:sz="4" w:space="0" w:color="auto"/>
              <w:right w:val="single" w:sz="4" w:space="0" w:color="auto"/>
            </w:tcBorders>
            <w:shd w:val="clear" w:color="auto" w:fill="auto"/>
            <w:vAlign w:val="bottom"/>
          </w:tcPr>
          <w:p w14:paraId="04D15400" w14:textId="77777777" w:rsidR="00937546" w:rsidRDefault="00937546" w:rsidP="00447817">
            <w:pPr>
              <w:jc w:val="right"/>
              <w:rPr>
                <w:rFonts w:ascii="Calibri" w:hAnsi="Calibri" w:cs="Calibri"/>
                <w:color w:val="000000"/>
              </w:rPr>
            </w:pPr>
            <w:r>
              <w:rPr>
                <w:rFonts w:ascii="Calibri" w:hAnsi="Calibri" w:cs="Calibri"/>
                <w:color w:val="000000"/>
              </w:rPr>
              <w:t>0.552</w:t>
            </w:r>
          </w:p>
        </w:tc>
        <w:tc>
          <w:tcPr>
            <w:tcW w:w="313" w:type="pct"/>
            <w:tcBorders>
              <w:top w:val="single" w:sz="4" w:space="0" w:color="auto"/>
              <w:left w:val="nil"/>
              <w:bottom w:val="single" w:sz="4" w:space="0" w:color="auto"/>
              <w:right w:val="single" w:sz="4" w:space="0" w:color="auto"/>
            </w:tcBorders>
            <w:shd w:val="clear" w:color="auto" w:fill="auto"/>
            <w:vAlign w:val="bottom"/>
          </w:tcPr>
          <w:p w14:paraId="6D902F88" w14:textId="77777777" w:rsidR="00937546" w:rsidRDefault="00937546" w:rsidP="00447817">
            <w:pPr>
              <w:jc w:val="right"/>
              <w:rPr>
                <w:rFonts w:ascii="Calibri" w:hAnsi="Calibri" w:cs="Calibri"/>
                <w:color w:val="000000"/>
              </w:rPr>
            </w:pPr>
            <w:r>
              <w:rPr>
                <w:rFonts w:ascii="Calibri" w:hAnsi="Calibri" w:cs="Calibri"/>
                <w:color w:val="000000"/>
              </w:rPr>
              <w:t>0.282</w:t>
            </w:r>
          </w:p>
        </w:tc>
        <w:tc>
          <w:tcPr>
            <w:tcW w:w="353" w:type="pct"/>
            <w:tcBorders>
              <w:top w:val="single" w:sz="4" w:space="0" w:color="auto"/>
              <w:left w:val="single" w:sz="4" w:space="0" w:color="auto"/>
              <w:bottom w:val="single" w:sz="4" w:space="0" w:color="auto"/>
              <w:right w:val="single" w:sz="4" w:space="0" w:color="auto"/>
            </w:tcBorders>
            <w:shd w:val="clear" w:color="auto" w:fill="auto"/>
            <w:vAlign w:val="bottom"/>
          </w:tcPr>
          <w:p w14:paraId="4F7C62B3" w14:textId="77777777" w:rsidR="00937546" w:rsidRDefault="00937546" w:rsidP="00447817">
            <w:pPr>
              <w:jc w:val="right"/>
              <w:rPr>
                <w:rFonts w:ascii="Calibri" w:hAnsi="Calibri" w:cs="Calibri"/>
                <w:color w:val="000000"/>
              </w:rPr>
            </w:pPr>
            <w:r>
              <w:rPr>
                <w:rFonts w:ascii="Calibri" w:hAnsi="Calibri" w:cs="Calibri"/>
                <w:color w:val="000000"/>
              </w:rPr>
              <w:t>61.1</w:t>
            </w:r>
          </w:p>
        </w:tc>
        <w:tc>
          <w:tcPr>
            <w:tcW w:w="352" w:type="pct"/>
            <w:tcBorders>
              <w:top w:val="single" w:sz="4" w:space="0" w:color="auto"/>
              <w:left w:val="single" w:sz="4" w:space="0" w:color="auto"/>
              <w:bottom w:val="single" w:sz="4" w:space="0" w:color="auto"/>
              <w:right w:val="single" w:sz="4" w:space="0" w:color="auto"/>
            </w:tcBorders>
            <w:shd w:val="clear" w:color="auto" w:fill="auto"/>
            <w:vAlign w:val="bottom"/>
          </w:tcPr>
          <w:p w14:paraId="71E35540" w14:textId="77777777" w:rsidR="00937546" w:rsidRDefault="00937546" w:rsidP="00447817">
            <w:pPr>
              <w:jc w:val="right"/>
              <w:rPr>
                <w:rFonts w:ascii="Calibri" w:hAnsi="Calibri" w:cs="Calibri"/>
                <w:color w:val="000000"/>
              </w:rPr>
            </w:pPr>
            <w:r>
              <w:rPr>
                <w:rFonts w:ascii="Calibri" w:hAnsi="Calibri" w:cs="Calibri"/>
                <w:color w:val="000000"/>
              </w:rPr>
              <w:t>2.9</w:t>
            </w:r>
          </w:p>
        </w:tc>
        <w:tc>
          <w:tcPr>
            <w:tcW w:w="274" w:type="pct"/>
            <w:tcBorders>
              <w:top w:val="single" w:sz="4" w:space="0" w:color="auto"/>
              <w:left w:val="single" w:sz="4" w:space="0" w:color="auto"/>
              <w:bottom w:val="single" w:sz="4" w:space="0" w:color="auto"/>
              <w:right w:val="single" w:sz="4" w:space="0" w:color="auto"/>
            </w:tcBorders>
            <w:shd w:val="clear" w:color="auto" w:fill="auto"/>
            <w:vAlign w:val="bottom"/>
          </w:tcPr>
          <w:p w14:paraId="394A6B7E" w14:textId="77777777" w:rsidR="00937546" w:rsidRDefault="00937546" w:rsidP="00447817">
            <w:pPr>
              <w:jc w:val="right"/>
              <w:rPr>
                <w:rFonts w:ascii="Calibri" w:hAnsi="Calibri" w:cs="Calibri"/>
                <w:color w:val="000000"/>
              </w:rPr>
            </w:pPr>
            <w:r>
              <w:rPr>
                <w:rFonts w:ascii="Calibri" w:hAnsi="Calibri" w:cs="Calibri"/>
                <w:color w:val="000000"/>
              </w:rPr>
              <w:t>1.2</w:t>
            </w:r>
          </w:p>
        </w:tc>
        <w:tc>
          <w:tcPr>
            <w:tcW w:w="274" w:type="pct"/>
            <w:tcBorders>
              <w:top w:val="single" w:sz="4" w:space="0" w:color="auto"/>
              <w:left w:val="single" w:sz="4" w:space="0" w:color="auto"/>
              <w:bottom w:val="single" w:sz="4" w:space="0" w:color="auto"/>
              <w:right w:val="single" w:sz="4" w:space="0" w:color="auto"/>
            </w:tcBorders>
            <w:shd w:val="clear" w:color="auto" w:fill="auto"/>
            <w:vAlign w:val="bottom"/>
          </w:tcPr>
          <w:p w14:paraId="770A8255" w14:textId="77777777" w:rsidR="00937546" w:rsidRDefault="00937546" w:rsidP="00447817">
            <w:pPr>
              <w:jc w:val="right"/>
              <w:rPr>
                <w:rFonts w:ascii="Calibri" w:hAnsi="Calibri" w:cs="Calibri"/>
                <w:color w:val="000000"/>
              </w:rPr>
            </w:pPr>
            <w:r>
              <w:rPr>
                <w:rFonts w:ascii="Calibri" w:hAnsi="Calibri" w:cs="Calibri"/>
                <w:color w:val="000000"/>
              </w:rPr>
              <w:t>1.8</w:t>
            </w:r>
          </w:p>
        </w:tc>
        <w:tc>
          <w:tcPr>
            <w:tcW w:w="234" w:type="pct"/>
            <w:tcBorders>
              <w:top w:val="single" w:sz="4" w:space="0" w:color="auto"/>
              <w:left w:val="single" w:sz="4" w:space="0" w:color="auto"/>
              <w:bottom w:val="single" w:sz="4" w:space="0" w:color="auto"/>
              <w:right w:val="single" w:sz="4" w:space="0" w:color="auto"/>
            </w:tcBorders>
            <w:shd w:val="clear" w:color="auto" w:fill="auto"/>
            <w:vAlign w:val="bottom"/>
          </w:tcPr>
          <w:p w14:paraId="6936F49B" w14:textId="77777777" w:rsidR="00937546" w:rsidRDefault="00937546" w:rsidP="00447817">
            <w:pPr>
              <w:jc w:val="right"/>
              <w:rPr>
                <w:rFonts w:ascii="Calibri" w:hAnsi="Calibri" w:cs="Calibri"/>
                <w:color w:val="000000"/>
              </w:rPr>
            </w:pPr>
            <w:r>
              <w:rPr>
                <w:rFonts w:ascii="Calibri" w:hAnsi="Calibri" w:cs="Calibri"/>
                <w:color w:val="000000"/>
              </w:rPr>
              <w:t>3190.1</w:t>
            </w:r>
          </w:p>
        </w:tc>
        <w:tc>
          <w:tcPr>
            <w:tcW w:w="313" w:type="pct"/>
            <w:tcBorders>
              <w:top w:val="single" w:sz="4" w:space="0" w:color="auto"/>
              <w:left w:val="single" w:sz="4" w:space="0" w:color="auto"/>
              <w:bottom w:val="single" w:sz="4" w:space="0" w:color="auto"/>
              <w:right w:val="single" w:sz="4" w:space="0" w:color="auto"/>
            </w:tcBorders>
            <w:shd w:val="clear" w:color="auto" w:fill="auto"/>
            <w:vAlign w:val="bottom"/>
          </w:tcPr>
          <w:p w14:paraId="7C52D6B7" w14:textId="77777777" w:rsidR="00937546" w:rsidRDefault="00937546" w:rsidP="00447817">
            <w:pPr>
              <w:jc w:val="right"/>
              <w:rPr>
                <w:rFonts w:ascii="Calibri" w:hAnsi="Calibri" w:cs="Calibri"/>
                <w:color w:val="000000"/>
              </w:rPr>
            </w:pPr>
            <w:r>
              <w:rPr>
                <w:rFonts w:ascii="Calibri" w:hAnsi="Calibri" w:cs="Calibri"/>
                <w:color w:val="000000"/>
              </w:rPr>
              <w:t>1586.6</w:t>
            </w:r>
          </w:p>
        </w:tc>
        <w:tc>
          <w:tcPr>
            <w:tcW w:w="272" w:type="pct"/>
            <w:tcBorders>
              <w:top w:val="single" w:sz="4" w:space="0" w:color="auto"/>
              <w:left w:val="single" w:sz="4" w:space="0" w:color="auto"/>
              <w:bottom w:val="single" w:sz="4" w:space="0" w:color="auto"/>
              <w:right w:val="single" w:sz="4" w:space="0" w:color="auto"/>
            </w:tcBorders>
            <w:shd w:val="clear" w:color="auto" w:fill="auto"/>
            <w:vAlign w:val="bottom"/>
          </w:tcPr>
          <w:p w14:paraId="110426B7" w14:textId="77777777" w:rsidR="00937546" w:rsidRDefault="00937546" w:rsidP="00447817">
            <w:pPr>
              <w:jc w:val="right"/>
              <w:rPr>
                <w:rFonts w:ascii="Calibri" w:hAnsi="Calibri" w:cs="Calibri"/>
                <w:color w:val="000000"/>
              </w:rPr>
            </w:pPr>
            <w:r>
              <w:rPr>
                <w:rFonts w:ascii="Calibri" w:hAnsi="Calibri" w:cs="Calibri"/>
                <w:color w:val="000000"/>
              </w:rPr>
              <w:t>1603.5</w:t>
            </w:r>
          </w:p>
        </w:tc>
        <w:tc>
          <w:tcPr>
            <w:tcW w:w="272" w:type="pct"/>
            <w:tcBorders>
              <w:top w:val="single" w:sz="4" w:space="0" w:color="auto"/>
              <w:left w:val="single" w:sz="4" w:space="0" w:color="auto"/>
              <w:bottom w:val="single" w:sz="4" w:space="0" w:color="auto"/>
              <w:right w:val="single" w:sz="4" w:space="0" w:color="auto"/>
            </w:tcBorders>
            <w:shd w:val="clear" w:color="auto" w:fill="auto"/>
            <w:vAlign w:val="bottom"/>
          </w:tcPr>
          <w:p w14:paraId="674DF440" w14:textId="77777777" w:rsidR="00937546" w:rsidRDefault="00937546" w:rsidP="00447817">
            <w:pPr>
              <w:jc w:val="right"/>
              <w:rPr>
                <w:rFonts w:ascii="Calibri" w:hAnsi="Calibri" w:cs="Calibri"/>
                <w:color w:val="000000"/>
              </w:rPr>
            </w:pPr>
            <w:r>
              <w:rPr>
                <w:rFonts w:ascii="Calibri" w:hAnsi="Calibri" w:cs="Calibri"/>
                <w:color w:val="000000"/>
              </w:rPr>
              <w:t>1169.7</w:t>
            </w:r>
          </w:p>
        </w:tc>
        <w:tc>
          <w:tcPr>
            <w:tcW w:w="272" w:type="pct"/>
            <w:tcBorders>
              <w:top w:val="single" w:sz="4" w:space="0" w:color="auto"/>
              <w:left w:val="single" w:sz="4" w:space="0" w:color="auto"/>
              <w:bottom w:val="single" w:sz="4" w:space="0" w:color="auto"/>
              <w:right w:val="single" w:sz="4" w:space="0" w:color="auto"/>
            </w:tcBorders>
            <w:shd w:val="clear" w:color="auto" w:fill="auto"/>
            <w:vAlign w:val="bottom"/>
          </w:tcPr>
          <w:p w14:paraId="34A016D0" w14:textId="77777777" w:rsidR="00937546" w:rsidRDefault="00937546" w:rsidP="00447817">
            <w:pPr>
              <w:jc w:val="right"/>
              <w:rPr>
                <w:rFonts w:ascii="Calibri" w:hAnsi="Calibri" w:cs="Calibri"/>
                <w:color w:val="000000"/>
              </w:rPr>
            </w:pPr>
            <w:r>
              <w:rPr>
                <w:rFonts w:ascii="Calibri" w:hAnsi="Calibri" w:cs="Calibri"/>
                <w:color w:val="000000"/>
              </w:rPr>
              <w:t>857.1</w:t>
            </w:r>
          </w:p>
        </w:tc>
        <w:tc>
          <w:tcPr>
            <w:tcW w:w="269" w:type="pct"/>
            <w:tcBorders>
              <w:top w:val="single" w:sz="4" w:space="0" w:color="auto"/>
              <w:left w:val="nil"/>
              <w:bottom w:val="single" w:sz="4" w:space="0" w:color="auto"/>
              <w:right w:val="single" w:sz="4" w:space="0" w:color="auto"/>
            </w:tcBorders>
            <w:shd w:val="clear" w:color="auto" w:fill="auto"/>
            <w:vAlign w:val="bottom"/>
          </w:tcPr>
          <w:p w14:paraId="7C98020D" w14:textId="77777777" w:rsidR="00937546" w:rsidRDefault="00937546" w:rsidP="00447817">
            <w:pPr>
              <w:jc w:val="right"/>
              <w:rPr>
                <w:rFonts w:ascii="Calibri" w:hAnsi="Calibri" w:cs="Calibri"/>
                <w:color w:val="000000"/>
              </w:rPr>
            </w:pPr>
            <w:r>
              <w:rPr>
                <w:rFonts w:ascii="Calibri" w:hAnsi="Calibri" w:cs="Calibri"/>
                <w:color w:val="000000"/>
              </w:rPr>
              <w:t>312.6</w:t>
            </w:r>
          </w:p>
        </w:tc>
      </w:tr>
      <w:tr w:rsidR="008B5959" w:rsidRPr="00E91A88" w14:paraId="3EB9D5A6" w14:textId="77777777" w:rsidTr="00447817">
        <w:trPr>
          <w:trHeight w:val="251"/>
        </w:trPr>
        <w:tc>
          <w:tcPr>
            <w:tcW w:w="747" w:type="pct"/>
            <w:noWrap/>
            <w:vAlign w:val="bottom"/>
            <w:hideMark/>
          </w:tcPr>
          <w:p w14:paraId="2F97D1B7" w14:textId="77777777" w:rsidR="00937546" w:rsidRDefault="00937546" w:rsidP="00447817">
            <w:pPr>
              <w:rPr>
                <w:rFonts w:ascii="Calibri" w:hAnsi="Calibri" w:cs="Calibri"/>
                <w:color w:val="000000"/>
              </w:rPr>
            </w:pPr>
            <w:r>
              <w:rPr>
                <w:rFonts w:ascii="Calibri" w:hAnsi="Calibri" w:cs="Calibri"/>
                <w:color w:val="000000"/>
              </w:rPr>
              <w:t>CHENNAI</w:t>
            </w:r>
          </w:p>
        </w:tc>
        <w:tc>
          <w:tcPr>
            <w:tcW w:w="311" w:type="pct"/>
            <w:tcBorders>
              <w:top w:val="nil"/>
              <w:left w:val="single" w:sz="4" w:space="0" w:color="auto"/>
              <w:bottom w:val="single" w:sz="4" w:space="0" w:color="auto"/>
              <w:right w:val="single" w:sz="4" w:space="0" w:color="auto"/>
            </w:tcBorders>
            <w:shd w:val="clear" w:color="auto" w:fill="auto"/>
            <w:vAlign w:val="bottom"/>
          </w:tcPr>
          <w:p w14:paraId="6E552109" w14:textId="77777777" w:rsidR="00937546" w:rsidRDefault="00937546" w:rsidP="00447817">
            <w:pPr>
              <w:jc w:val="right"/>
              <w:rPr>
                <w:rFonts w:ascii="Calibri" w:hAnsi="Calibri" w:cs="Calibri"/>
                <w:color w:val="000000"/>
              </w:rPr>
            </w:pPr>
            <w:r>
              <w:rPr>
                <w:rFonts w:ascii="Calibri" w:hAnsi="Calibri" w:cs="Calibri"/>
                <w:color w:val="000000"/>
              </w:rPr>
              <w:t>0.782</w:t>
            </w:r>
          </w:p>
        </w:tc>
        <w:tc>
          <w:tcPr>
            <w:tcW w:w="391" w:type="pct"/>
            <w:tcBorders>
              <w:top w:val="nil"/>
              <w:left w:val="nil"/>
              <w:bottom w:val="single" w:sz="4" w:space="0" w:color="auto"/>
              <w:right w:val="single" w:sz="4" w:space="0" w:color="auto"/>
            </w:tcBorders>
            <w:shd w:val="clear" w:color="auto" w:fill="auto"/>
            <w:vAlign w:val="bottom"/>
          </w:tcPr>
          <w:p w14:paraId="52E14204" w14:textId="77777777" w:rsidR="00937546" w:rsidRDefault="00937546" w:rsidP="00447817">
            <w:pPr>
              <w:jc w:val="right"/>
              <w:rPr>
                <w:rFonts w:ascii="Calibri" w:hAnsi="Calibri" w:cs="Calibri"/>
                <w:color w:val="000000"/>
              </w:rPr>
            </w:pPr>
            <w:r>
              <w:rPr>
                <w:rFonts w:ascii="Calibri" w:hAnsi="Calibri" w:cs="Calibri"/>
                <w:color w:val="000000"/>
              </w:rPr>
              <w:t>1</w:t>
            </w:r>
          </w:p>
        </w:tc>
        <w:tc>
          <w:tcPr>
            <w:tcW w:w="353" w:type="pct"/>
            <w:tcBorders>
              <w:top w:val="nil"/>
              <w:left w:val="nil"/>
              <w:bottom w:val="single" w:sz="4" w:space="0" w:color="auto"/>
              <w:right w:val="single" w:sz="4" w:space="0" w:color="auto"/>
            </w:tcBorders>
            <w:shd w:val="clear" w:color="auto" w:fill="auto"/>
            <w:vAlign w:val="bottom"/>
          </w:tcPr>
          <w:p w14:paraId="26AE7516" w14:textId="77777777" w:rsidR="00937546" w:rsidRDefault="00937546" w:rsidP="00447817">
            <w:pPr>
              <w:jc w:val="right"/>
              <w:rPr>
                <w:rFonts w:ascii="Calibri" w:hAnsi="Calibri" w:cs="Calibri"/>
                <w:color w:val="000000"/>
              </w:rPr>
            </w:pPr>
            <w:r>
              <w:rPr>
                <w:rFonts w:ascii="Calibri" w:hAnsi="Calibri" w:cs="Calibri"/>
                <w:color w:val="000000"/>
              </w:rPr>
              <w:t>0.778</w:t>
            </w:r>
          </w:p>
        </w:tc>
        <w:tc>
          <w:tcPr>
            <w:tcW w:w="313" w:type="pct"/>
            <w:tcBorders>
              <w:top w:val="nil"/>
              <w:left w:val="nil"/>
              <w:bottom w:val="single" w:sz="4" w:space="0" w:color="auto"/>
              <w:right w:val="single" w:sz="4" w:space="0" w:color="auto"/>
            </w:tcBorders>
            <w:shd w:val="clear" w:color="auto" w:fill="auto"/>
            <w:vAlign w:val="bottom"/>
          </w:tcPr>
          <w:p w14:paraId="0DCE9A79" w14:textId="77777777" w:rsidR="00937546" w:rsidRDefault="00937546" w:rsidP="00447817">
            <w:pPr>
              <w:jc w:val="right"/>
              <w:rPr>
                <w:rFonts w:ascii="Calibri" w:hAnsi="Calibri" w:cs="Calibri"/>
                <w:color w:val="000000"/>
              </w:rPr>
            </w:pPr>
            <w:r>
              <w:rPr>
                <w:rFonts w:ascii="Calibri" w:hAnsi="Calibri" w:cs="Calibri"/>
                <w:color w:val="000000"/>
              </w:rPr>
              <w:t>0.847</w:t>
            </w:r>
          </w:p>
        </w:tc>
        <w:tc>
          <w:tcPr>
            <w:tcW w:w="353" w:type="pct"/>
            <w:tcBorders>
              <w:top w:val="nil"/>
              <w:left w:val="single" w:sz="4" w:space="0" w:color="auto"/>
              <w:bottom w:val="single" w:sz="4" w:space="0" w:color="auto"/>
              <w:right w:val="single" w:sz="4" w:space="0" w:color="auto"/>
            </w:tcBorders>
            <w:shd w:val="clear" w:color="auto" w:fill="auto"/>
            <w:vAlign w:val="bottom"/>
          </w:tcPr>
          <w:p w14:paraId="4A08C064" w14:textId="77777777" w:rsidR="00937546" w:rsidRDefault="00937546" w:rsidP="00447817">
            <w:pPr>
              <w:jc w:val="right"/>
              <w:rPr>
                <w:rFonts w:ascii="Calibri" w:hAnsi="Calibri" w:cs="Calibri"/>
                <w:color w:val="000000"/>
              </w:rPr>
            </w:pPr>
            <w:r>
              <w:rPr>
                <w:rFonts w:ascii="Calibri" w:hAnsi="Calibri" w:cs="Calibri"/>
                <w:color w:val="000000"/>
              </w:rPr>
              <w:t>35.5</w:t>
            </w:r>
          </w:p>
        </w:tc>
        <w:tc>
          <w:tcPr>
            <w:tcW w:w="352" w:type="pct"/>
            <w:tcBorders>
              <w:top w:val="nil"/>
              <w:left w:val="single" w:sz="4" w:space="0" w:color="auto"/>
              <w:bottom w:val="single" w:sz="4" w:space="0" w:color="auto"/>
              <w:right w:val="single" w:sz="4" w:space="0" w:color="auto"/>
            </w:tcBorders>
            <w:shd w:val="clear" w:color="auto" w:fill="auto"/>
            <w:vAlign w:val="bottom"/>
          </w:tcPr>
          <w:p w14:paraId="4CC98B27" w14:textId="77777777" w:rsidR="00937546" w:rsidRDefault="00937546" w:rsidP="00447817">
            <w:pPr>
              <w:jc w:val="right"/>
              <w:rPr>
                <w:rFonts w:ascii="Calibri" w:hAnsi="Calibri" w:cs="Calibri"/>
                <w:color w:val="000000"/>
              </w:rPr>
            </w:pPr>
            <w:r>
              <w:rPr>
                <w:rFonts w:ascii="Calibri" w:hAnsi="Calibri" w:cs="Calibri"/>
                <w:color w:val="000000"/>
              </w:rPr>
              <w:t>13.1</w:t>
            </w:r>
          </w:p>
        </w:tc>
        <w:tc>
          <w:tcPr>
            <w:tcW w:w="274" w:type="pct"/>
            <w:tcBorders>
              <w:top w:val="nil"/>
              <w:left w:val="single" w:sz="4" w:space="0" w:color="auto"/>
              <w:bottom w:val="single" w:sz="4" w:space="0" w:color="auto"/>
              <w:right w:val="single" w:sz="4" w:space="0" w:color="auto"/>
            </w:tcBorders>
            <w:shd w:val="clear" w:color="auto" w:fill="auto"/>
            <w:vAlign w:val="bottom"/>
          </w:tcPr>
          <w:p w14:paraId="6AEC344D" w14:textId="77777777" w:rsidR="00937546" w:rsidRDefault="00937546" w:rsidP="00447817">
            <w:pPr>
              <w:jc w:val="right"/>
              <w:rPr>
                <w:rFonts w:ascii="Calibri" w:hAnsi="Calibri" w:cs="Calibri"/>
                <w:color w:val="000000"/>
              </w:rPr>
            </w:pPr>
            <w:r>
              <w:rPr>
                <w:rFonts w:ascii="Calibri" w:hAnsi="Calibri" w:cs="Calibri"/>
                <w:color w:val="000000"/>
              </w:rPr>
              <w:t>2.9</w:t>
            </w:r>
          </w:p>
        </w:tc>
        <w:tc>
          <w:tcPr>
            <w:tcW w:w="274" w:type="pct"/>
            <w:tcBorders>
              <w:top w:val="nil"/>
              <w:left w:val="single" w:sz="4" w:space="0" w:color="auto"/>
              <w:bottom w:val="single" w:sz="4" w:space="0" w:color="auto"/>
              <w:right w:val="single" w:sz="4" w:space="0" w:color="auto"/>
            </w:tcBorders>
            <w:shd w:val="clear" w:color="auto" w:fill="auto"/>
            <w:vAlign w:val="bottom"/>
          </w:tcPr>
          <w:p w14:paraId="029F65B6" w14:textId="77777777" w:rsidR="00937546" w:rsidRDefault="00937546" w:rsidP="00447817">
            <w:pPr>
              <w:jc w:val="right"/>
              <w:rPr>
                <w:rFonts w:ascii="Calibri" w:hAnsi="Calibri" w:cs="Calibri"/>
                <w:color w:val="000000"/>
              </w:rPr>
            </w:pPr>
            <w:r>
              <w:rPr>
                <w:rFonts w:ascii="Calibri" w:hAnsi="Calibri" w:cs="Calibri"/>
                <w:color w:val="000000"/>
              </w:rPr>
              <w:t>10.2</w:t>
            </w:r>
          </w:p>
        </w:tc>
        <w:tc>
          <w:tcPr>
            <w:tcW w:w="234" w:type="pct"/>
            <w:tcBorders>
              <w:top w:val="nil"/>
              <w:left w:val="single" w:sz="4" w:space="0" w:color="auto"/>
              <w:bottom w:val="single" w:sz="4" w:space="0" w:color="auto"/>
              <w:right w:val="single" w:sz="4" w:space="0" w:color="auto"/>
            </w:tcBorders>
            <w:shd w:val="clear" w:color="auto" w:fill="auto"/>
            <w:vAlign w:val="bottom"/>
          </w:tcPr>
          <w:p w14:paraId="380DB4C9" w14:textId="77777777" w:rsidR="00937546" w:rsidRDefault="00937546" w:rsidP="00447817">
            <w:pPr>
              <w:jc w:val="right"/>
              <w:rPr>
                <w:rFonts w:ascii="Calibri" w:hAnsi="Calibri" w:cs="Calibri"/>
                <w:color w:val="000000"/>
              </w:rPr>
            </w:pPr>
            <w:r>
              <w:rPr>
                <w:rFonts w:ascii="Calibri" w:hAnsi="Calibri" w:cs="Calibri"/>
                <w:color w:val="000000"/>
              </w:rPr>
              <w:t>5633.3</w:t>
            </w:r>
          </w:p>
        </w:tc>
        <w:tc>
          <w:tcPr>
            <w:tcW w:w="313" w:type="pct"/>
            <w:tcBorders>
              <w:top w:val="nil"/>
              <w:left w:val="single" w:sz="4" w:space="0" w:color="auto"/>
              <w:bottom w:val="single" w:sz="4" w:space="0" w:color="auto"/>
              <w:right w:val="single" w:sz="4" w:space="0" w:color="auto"/>
            </w:tcBorders>
            <w:shd w:val="clear" w:color="auto" w:fill="auto"/>
            <w:vAlign w:val="bottom"/>
          </w:tcPr>
          <w:p w14:paraId="00DD494F" w14:textId="77777777" w:rsidR="00937546" w:rsidRDefault="00937546" w:rsidP="00447817">
            <w:pPr>
              <w:jc w:val="right"/>
              <w:rPr>
                <w:rFonts w:ascii="Calibri" w:hAnsi="Calibri" w:cs="Calibri"/>
                <w:color w:val="000000"/>
              </w:rPr>
            </w:pPr>
            <w:r>
              <w:rPr>
                <w:rFonts w:ascii="Calibri" w:hAnsi="Calibri" w:cs="Calibri"/>
                <w:color w:val="000000"/>
              </w:rPr>
              <w:t>3644.1</w:t>
            </w:r>
          </w:p>
        </w:tc>
        <w:tc>
          <w:tcPr>
            <w:tcW w:w="272" w:type="pct"/>
            <w:tcBorders>
              <w:top w:val="nil"/>
              <w:left w:val="single" w:sz="4" w:space="0" w:color="auto"/>
              <w:bottom w:val="single" w:sz="4" w:space="0" w:color="auto"/>
              <w:right w:val="single" w:sz="4" w:space="0" w:color="auto"/>
            </w:tcBorders>
            <w:shd w:val="clear" w:color="auto" w:fill="auto"/>
            <w:vAlign w:val="bottom"/>
          </w:tcPr>
          <w:p w14:paraId="44520E5A" w14:textId="77777777" w:rsidR="00937546" w:rsidRDefault="00937546" w:rsidP="00447817">
            <w:pPr>
              <w:jc w:val="right"/>
              <w:rPr>
                <w:rFonts w:ascii="Calibri" w:hAnsi="Calibri" w:cs="Calibri"/>
                <w:color w:val="000000"/>
              </w:rPr>
            </w:pPr>
            <w:r>
              <w:rPr>
                <w:rFonts w:ascii="Calibri" w:hAnsi="Calibri" w:cs="Calibri"/>
                <w:color w:val="000000"/>
              </w:rPr>
              <w:t>1989.2</w:t>
            </w:r>
          </w:p>
        </w:tc>
        <w:tc>
          <w:tcPr>
            <w:tcW w:w="272" w:type="pct"/>
            <w:tcBorders>
              <w:top w:val="nil"/>
              <w:left w:val="single" w:sz="4" w:space="0" w:color="auto"/>
              <w:bottom w:val="single" w:sz="4" w:space="0" w:color="auto"/>
              <w:right w:val="single" w:sz="4" w:space="0" w:color="auto"/>
            </w:tcBorders>
            <w:shd w:val="clear" w:color="auto" w:fill="auto"/>
            <w:vAlign w:val="bottom"/>
          </w:tcPr>
          <w:p w14:paraId="1AFD6472" w14:textId="77777777" w:rsidR="00937546" w:rsidRDefault="00937546" w:rsidP="00447817">
            <w:pPr>
              <w:jc w:val="right"/>
              <w:rPr>
                <w:rFonts w:ascii="Calibri" w:hAnsi="Calibri" w:cs="Calibri"/>
                <w:color w:val="000000"/>
              </w:rPr>
            </w:pPr>
            <w:r>
              <w:rPr>
                <w:rFonts w:ascii="Calibri" w:hAnsi="Calibri" w:cs="Calibri"/>
                <w:color w:val="000000"/>
              </w:rPr>
              <w:t>17175.9</w:t>
            </w:r>
          </w:p>
        </w:tc>
        <w:tc>
          <w:tcPr>
            <w:tcW w:w="272" w:type="pct"/>
            <w:tcBorders>
              <w:top w:val="nil"/>
              <w:left w:val="single" w:sz="4" w:space="0" w:color="auto"/>
              <w:bottom w:val="single" w:sz="4" w:space="0" w:color="auto"/>
              <w:right w:val="single" w:sz="4" w:space="0" w:color="auto"/>
            </w:tcBorders>
            <w:shd w:val="clear" w:color="auto" w:fill="auto"/>
            <w:vAlign w:val="bottom"/>
          </w:tcPr>
          <w:p w14:paraId="06032EE0" w14:textId="77777777" w:rsidR="00937546" w:rsidRDefault="00937546" w:rsidP="00447817">
            <w:pPr>
              <w:jc w:val="right"/>
              <w:rPr>
                <w:rFonts w:ascii="Calibri" w:hAnsi="Calibri" w:cs="Calibri"/>
                <w:color w:val="000000"/>
              </w:rPr>
            </w:pPr>
            <w:r>
              <w:rPr>
                <w:rFonts w:ascii="Calibri" w:hAnsi="Calibri" w:cs="Calibri"/>
                <w:color w:val="000000"/>
              </w:rPr>
              <w:t>12727.1</w:t>
            </w:r>
          </w:p>
        </w:tc>
        <w:tc>
          <w:tcPr>
            <w:tcW w:w="269" w:type="pct"/>
            <w:tcBorders>
              <w:top w:val="nil"/>
              <w:left w:val="nil"/>
              <w:bottom w:val="single" w:sz="4" w:space="0" w:color="auto"/>
              <w:right w:val="single" w:sz="4" w:space="0" w:color="auto"/>
            </w:tcBorders>
            <w:shd w:val="clear" w:color="auto" w:fill="auto"/>
            <w:vAlign w:val="bottom"/>
          </w:tcPr>
          <w:p w14:paraId="432A0976" w14:textId="77777777" w:rsidR="00937546" w:rsidRDefault="00937546" w:rsidP="00447817">
            <w:pPr>
              <w:jc w:val="right"/>
              <w:rPr>
                <w:rFonts w:ascii="Calibri" w:hAnsi="Calibri" w:cs="Calibri"/>
                <w:color w:val="000000"/>
              </w:rPr>
            </w:pPr>
            <w:r>
              <w:rPr>
                <w:rFonts w:ascii="Calibri" w:hAnsi="Calibri" w:cs="Calibri"/>
                <w:color w:val="000000"/>
              </w:rPr>
              <w:t>4448.7</w:t>
            </w:r>
          </w:p>
        </w:tc>
      </w:tr>
      <w:tr w:rsidR="008B5959" w:rsidRPr="00E91A88" w14:paraId="6AA43735" w14:textId="77777777" w:rsidTr="00447817">
        <w:trPr>
          <w:trHeight w:val="251"/>
        </w:trPr>
        <w:tc>
          <w:tcPr>
            <w:tcW w:w="747" w:type="pct"/>
            <w:noWrap/>
            <w:vAlign w:val="bottom"/>
            <w:hideMark/>
          </w:tcPr>
          <w:p w14:paraId="7A461CB7" w14:textId="77777777" w:rsidR="00937546" w:rsidRDefault="00937546" w:rsidP="00447817">
            <w:pPr>
              <w:rPr>
                <w:rFonts w:ascii="Calibri" w:hAnsi="Calibri" w:cs="Calibri"/>
                <w:color w:val="000000"/>
              </w:rPr>
            </w:pPr>
            <w:r>
              <w:rPr>
                <w:rFonts w:ascii="Calibri" w:hAnsi="Calibri" w:cs="Calibri"/>
                <w:color w:val="000000"/>
              </w:rPr>
              <w:t>COIMBATORE</w:t>
            </w:r>
          </w:p>
        </w:tc>
        <w:tc>
          <w:tcPr>
            <w:tcW w:w="311" w:type="pct"/>
            <w:tcBorders>
              <w:top w:val="nil"/>
              <w:left w:val="single" w:sz="4" w:space="0" w:color="auto"/>
              <w:bottom w:val="single" w:sz="4" w:space="0" w:color="auto"/>
              <w:right w:val="single" w:sz="4" w:space="0" w:color="auto"/>
            </w:tcBorders>
            <w:shd w:val="clear" w:color="auto" w:fill="auto"/>
            <w:vAlign w:val="bottom"/>
          </w:tcPr>
          <w:p w14:paraId="6EC88965" w14:textId="77777777" w:rsidR="00937546" w:rsidRDefault="00937546" w:rsidP="00447817">
            <w:pPr>
              <w:jc w:val="right"/>
              <w:rPr>
                <w:rFonts w:ascii="Calibri" w:hAnsi="Calibri" w:cs="Calibri"/>
                <w:color w:val="000000"/>
              </w:rPr>
            </w:pPr>
            <w:r>
              <w:rPr>
                <w:rFonts w:ascii="Calibri" w:hAnsi="Calibri" w:cs="Calibri"/>
                <w:color w:val="000000"/>
              </w:rPr>
              <w:t>0.877</w:t>
            </w:r>
          </w:p>
        </w:tc>
        <w:tc>
          <w:tcPr>
            <w:tcW w:w="391" w:type="pct"/>
            <w:tcBorders>
              <w:top w:val="nil"/>
              <w:left w:val="nil"/>
              <w:bottom w:val="single" w:sz="4" w:space="0" w:color="auto"/>
              <w:right w:val="single" w:sz="4" w:space="0" w:color="auto"/>
            </w:tcBorders>
            <w:shd w:val="clear" w:color="auto" w:fill="auto"/>
            <w:vAlign w:val="bottom"/>
          </w:tcPr>
          <w:p w14:paraId="1E4BDDB5" w14:textId="77777777" w:rsidR="00937546" w:rsidRDefault="00937546" w:rsidP="00447817">
            <w:pPr>
              <w:jc w:val="right"/>
              <w:rPr>
                <w:rFonts w:ascii="Calibri" w:hAnsi="Calibri" w:cs="Calibri"/>
                <w:color w:val="000000"/>
              </w:rPr>
            </w:pPr>
            <w:r>
              <w:rPr>
                <w:rFonts w:ascii="Calibri" w:hAnsi="Calibri" w:cs="Calibri"/>
                <w:color w:val="000000"/>
              </w:rPr>
              <w:t>0.884</w:t>
            </w:r>
          </w:p>
        </w:tc>
        <w:tc>
          <w:tcPr>
            <w:tcW w:w="353" w:type="pct"/>
            <w:tcBorders>
              <w:top w:val="nil"/>
              <w:left w:val="nil"/>
              <w:bottom w:val="single" w:sz="4" w:space="0" w:color="auto"/>
              <w:right w:val="single" w:sz="4" w:space="0" w:color="auto"/>
            </w:tcBorders>
            <w:shd w:val="clear" w:color="auto" w:fill="auto"/>
            <w:vAlign w:val="bottom"/>
          </w:tcPr>
          <w:p w14:paraId="5F851F86" w14:textId="77777777" w:rsidR="00937546" w:rsidRDefault="00937546" w:rsidP="00447817">
            <w:pPr>
              <w:jc w:val="right"/>
              <w:rPr>
                <w:rFonts w:ascii="Calibri" w:hAnsi="Calibri" w:cs="Calibri"/>
                <w:color w:val="000000"/>
              </w:rPr>
            </w:pPr>
            <w:r>
              <w:rPr>
                <w:rFonts w:ascii="Calibri" w:hAnsi="Calibri" w:cs="Calibri"/>
                <w:color w:val="000000"/>
              </w:rPr>
              <w:t>0.775</w:t>
            </w:r>
          </w:p>
        </w:tc>
        <w:tc>
          <w:tcPr>
            <w:tcW w:w="313" w:type="pct"/>
            <w:tcBorders>
              <w:top w:val="nil"/>
              <w:left w:val="nil"/>
              <w:bottom w:val="single" w:sz="4" w:space="0" w:color="auto"/>
              <w:right w:val="single" w:sz="4" w:space="0" w:color="auto"/>
            </w:tcBorders>
            <w:shd w:val="clear" w:color="auto" w:fill="auto"/>
            <w:vAlign w:val="bottom"/>
          </w:tcPr>
          <w:p w14:paraId="11174F6B" w14:textId="77777777" w:rsidR="00937546" w:rsidRDefault="00937546" w:rsidP="00447817">
            <w:pPr>
              <w:jc w:val="right"/>
              <w:rPr>
                <w:rFonts w:ascii="Calibri" w:hAnsi="Calibri" w:cs="Calibri"/>
                <w:color w:val="000000"/>
              </w:rPr>
            </w:pPr>
            <w:r>
              <w:rPr>
                <w:rFonts w:ascii="Calibri" w:hAnsi="Calibri" w:cs="Calibri"/>
                <w:color w:val="000000"/>
              </w:rPr>
              <w:t>0.844</w:t>
            </w:r>
          </w:p>
        </w:tc>
        <w:tc>
          <w:tcPr>
            <w:tcW w:w="353" w:type="pct"/>
            <w:tcBorders>
              <w:top w:val="nil"/>
              <w:left w:val="single" w:sz="4" w:space="0" w:color="auto"/>
              <w:bottom w:val="single" w:sz="4" w:space="0" w:color="auto"/>
              <w:right w:val="single" w:sz="4" w:space="0" w:color="auto"/>
            </w:tcBorders>
            <w:shd w:val="clear" w:color="auto" w:fill="auto"/>
            <w:vAlign w:val="bottom"/>
          </w:tcPr>
          <w:p w14:paraId="464E7963" w14:textId="77777777" w:rsidR="00937546" w:rsidRDefault="00937546" w:rsidP="00447817">
            <w:pPr>
              <w:jc w:val="right"/>
              <w:rPr>
                <w:rFonts w:ascii="Calibri" w:hAnsi="Calibri" w:cs="Calibri"/>
                <w:color w:val="000000"/>
              </w:rPr>
            </w:pPr>
            <w:r>
              <w:rPr>
                <w:rFonts w:ascii="Calibri" w:hAnsi="Calibri" w:cs="Calibri"/>
                <w:color w:val="000000"/>
              </w:rPr>
              <w:t>50.8</w:t>
            </w:r>
          </w:p>
        </w:tc>
        <w:tc>
          <w:tcPr>
            <w:tcW w:w="352" w:type="pct"/>
            <w:tcBorders>
              <w:top w:val="nil"/>
              <w:left w:val="single" w:sz="4" w:space="0" w:color="auto"/>
              <w:bottom w:val="single" w:sz="4" w:space="0" w:color="auto"/>
              <w:right w:val="single" w:sz="4" w:space="0" w:color="auto"/>
            </w:tcBorders>
            <w:shd w:val="clear" w:color="auto" w:fill="auto"/>
            <w:vAlign w:val="bottom"/>
          </w:tcPr>
          <w:p w14:paraId="4B93A9AC" w14:textId="77777777" w:rsidR="00937546" w:rsidRDefault="00937546" w:rsidP="00447817">
            <w:pPr>
              <w:jc w:val="right"/>
              <w:rPr>
                <w:rFonts w:ascii="Calibri" w:hAnsi="Calibri" w:cs="Calibri"/>
                <w:color w:val="000000"/>
              </w:rPr>
            </w:pPr>
            <w:r>
              <w:rPr>
                <w:rFonts w:ascii="Calibri" w:hAnsi="Calibri" w:cs="Calibri"/>
                <w:color w:val="000000"/>
              </w:rPr>
              <w:t>13.2</w:t>
            </w:r>
          </w:p>
        </w:tc>
        <w:tc>
          <w:tcPr>
            <w:tcW w:w="274" w:type="pct"/>
            <w:tcBorders>
              <w:top w:val="nil"/>
              <w:left w:val="single" w:sz="4" w:space="0" w:color="auto"/>
              <w:bottom w:val="single" w:sz="4" w:space="0" w:color="auto"/>
              <w:right w:val="single" w:sz="4" w:space="0" w:color="auto"/>
            </w:tcBorders>
            <w:shd w:val="clear" w:color="auto" w:fill="auto"/>
            <w:vAlign w:val="bottom"/>
          </w:tcPr>
          <w:p w14:paraId="7AE11C19" w14:textId="77777777" w:rsidR="00937546" w:rsidRDefault="00937546" w:rsidP="00447817">
            <w:pPr>
              <w:jc w:val="right"/>
              <w:rPr>
                <w:rFonts w:ascii="Calibri" w:hAnsi="Calibri" w:cs="Calibri"/>
                <w:color w:val="000000"/>
              </w:rPr>
            </w:pPr>
            <w:r>
              <w:rPr>
                <w:rFonts w:ascii="Calibri" w:hAnsi="Calibri" w:cs="Calibri"/>
                <w:color w:val="000000"/>
              </w:rPr>
              <w:t>2.0</w:t>
            </w:r>
          </w:p>
        </w:tc>
        <w:tc>
          <w:tcPr>
            <w:tcW w:w="274" w:type="pct"/>
            <w:tcBorders>
              <w:top w:val="nil"/>
              <w:left w:val="single" w:sz="4" w:space="0" w:color="auto"/>
              <w:bottom w:val="single" w:sz="4" w:space="0" w:color="auto"/>
              <w:right w:val="single" w:sz="4" w:space="0" w:color="auto"/>
            </w:tcBorders>
            <w:shd w:val="clear" w:color="auto" w:fill="auto"/>
            <w:vAlign w:val="bottom"/>
          </w:tcPr>
          <w:p w14:paraId="28FFEB83" w14:textId="77777777" w:rsidR="00937546" w:rsidRDefault="00937546" w:rsidP="00447817">
            <w:pPr>
              <w:jc w:val="right"/>
              <w:rPr>
                <w:rFonts w:ascii="Calibri" w:hAnsi="Calibri" w:cs="Calibri"/>
                <w:color w:val="000000"/>
              </w:rPr>
            </w:pPr>
            <w:r>
              <w:rPr>
                <w:rFonts w:ascii="Calibri" w:hAnsi="Calibri" w:cs="Calibri"/>
                <w:color w:val="000000"/>
              </w:rPr>
              <w:t>11.2</w:t>
            </w:r>
          </w:p>
        </w:tc>
        <w:tc>
          <w:tcPr>
            <w:tcW w:w="234" w:type="pct"/>
            <w:tcBorders>
              <w:top w:val="nil"/>
              <w:left w:val="single" w:sz="4" w:space="0" w:color="auto"/>
              <w:bottom w:val="single" w:sz="4" w:space="0" w:color="auto"/>
              <w:right w:val="single" w:sz="4" w:space="0" w:color="auto"/>
            </w:tcBorders>
            <w:shd w:val="clear" w:color="auto" w:fill="auto"/>
            <w:vAlign w:val="bottom"/>
          </w:tcPr>
          <w:p w14:paraId="7CFAC0F3" w14:textId="77777777" w:rsidR="00937546" w:rsidRDefault="00937546" w:rsidP="00447817">
            <w:pPr>
              <w:jc w:val="right"/>
              <w:rPr>
                <w:rFonts w:ascii="Calibri" w:hAnsi="Calibri" w:cs="Calibri"/>
                <w:color w:val="000000"/>
              </w:rPr>
            </w:pPr>
            <w:r>
              <w:rPr>
                <w:rFonts w:ascii="Calibri" w:hAnsi="Calibri" w:cs="Calibri"/>
                <w:color w:val="000000"/>
              </w:rPr>
              <w:t>3152.9</w:t>
            </w:r>
          </w:p>
        </w:tc>
        <w:tc>
          <w:tcPr>
            <w:tcW w:w="313" w:type="pct"/>
            <w:tcBorders>
              <w:top w:val="nil"/>
              <w:left w:val="single" w:sz="4" w:space="0" w:color="auto"/>
              <w:bottom w:val="single" w:sz="4" w:space="0" w:color="auto"/>
              <w:right w:val="single" w:sz="4" w:space="0" w:color="auto"/>
            </w:tcBorders>
            <w:shd w:val="clear" w:color="auto" w:fill="auto"/>
            <w:vAlign w:val="bottom"/>
          </w:tcPr>
          <w:p w14:paraId="3AC92B9B" w14:textId="77777777" w:rsidR="00937546" w:rsidRDefault="00937546" w:rsidP="00447817">
            <w:pPr>
              <w:jc w:val="right"/>
              <w:rPr>
                <w:rFonts w:ascii="Calibri" w:hAnsi="Calibri" w:cs="Calibri"/>
                <w:color w:val="000000"/>
              </w:rPr>
            </w:pPr>
            <w:r>
              <w:rPr>
                <w:rFonts w:ascii="Calibri" w:hAnsi="Calibri" w:cs="Calibri"/>
                <w:color w:val="000000"/>
              </w:rPr>
              <w:t>1138.7</w:t>
            </w:r>
          </w:p>
        </w:tc>
        <w:tc>
          <w:tcPr>
            <w:tcW w:w="272" w:type="pct"/>
            <w:tcBorders>
              <w:top w:val="nil"/>
              <w:left w:val="single" w:sz="4" w:space="0" w:color="auto"/>
              <w:bottom w:val="single" w:sz="4" w:space="0" w:color="auto"/>
              <w:right w:val="single" w:sz="4" w:space="0" w:color="auto"/>
            </w:tcBorders>
            <w:shd w:val="clear" w:color="auto" w:fill="auto"/>
            <w:vAlign w:val="bottom"/>
          </w:tcPr>
          <w:p w14:paraId="529AA091" w14:textId="77777777" w:rsidR="00937546" w:rsidRDefault="00937546" w:rsidP="00447817">
            <w:pPr>
              <w:jc w:val="right"/>
              <w:rPr>
                <w:rFonts w:ascii="Calibri" w:hAnsi="Calibri" w:cs="Calibri"/>
                <w:color w:val="000000"/>
              </w:rPr>
            </w:pPr>
            <w:r>
              <w:rPr>
                <w:rFonts w:ascii="Calibri" w:hAnsi="Calibri" w:cs="Calibri"/>
                <w:color w:val="000000"/>
              </w:rPr>
              <w:t>2014.2</w:t>
            </w:r>
          </w:p>
        </w:tc>
        <w:tc>
          <w:tcPr>
            <w:tcW w:w="272" w:type="pct"/>
            <w:tcBorders>
              <w:top w:val="nil"/>
              <w:left w:val="single" w:sz="4" w:space="0" w:color="auto"/>
              <w:bottom w:val="single" w:sz="4" w:space="0" w:color="auto"/>
              <w:right w:val="single" w:sz="4" w:space="0" w:color="auto"/>
            </w:tcBorders>
            <w:shd w:val="clear" w:color="auto" w:fill="auto"/>
            <w:vAlign w:val="bottom"/>
          </w:tcPr>
          <w:p w14:paraId="110EAA8D" w14:textId="77777777" w:rsidR="00937546" w:rsidRDefault="00937546" w:rsidP="00447817">
            <w:pPr>
              <w:jc w:val="right"/>
              <w:rPr>
                <w:rFonts w:ascii="Calibri" w:hAnsi="Calibri" w:cs="Calibri"/>
                <w:color w:val="000000"/>
              </w:rPr>
            </w:pPr>
            <w:r>
              <w:rPr>
                <w:rFonts w:ascii="Calibri" w:hAnsi="Calibri" w:cs="Calibri"/>
                <w:color w:val="000000"/>
              </w:rPr>
              <w:t>5984.5</w:t>
            </w:r>
          </w:p>
        </w:tc>
        <w:tc>
          <w:tcPr>
            <w:tcW w:w="272" w:type="pct"/>
            <w:tcBorders>
              <w:top w:val="nil"/>
              <w:left w:val="single" w:sz="4" w:space="0" w:color="auto"/>
              <w:bottom w:val="single" w:sz="4" w:space="0" w:color="auto"/>
              <w:right w:val="single" w:sz="4" w:space="0" w:color="auto"/>
            </w:tcBorders>
            <w:shd w:val="clear" w:color="auto" w:fill="auto"/>
            <w:vAlign w:val="bottom"/>
          </w:tcPr>
          <w:p w14:paraId="7AB1AED2" w14:textId="77777777" w:rsidR="00937546" w:rsidRDefault="00937546" w:rsidP="00447817">
            <w:pPr>
              <w:jc w:val="right"/>
              <w:rPr>
                <w:rFonts w:ascii="Calibri" w:hAnsi="Calibri" w:cs="Calibri"/>
                <w:color w:val="000000"/>
              </w:rPr>
            </w:pPr>
            <w:r>
              <w:rPr>
                <w:rFonts w:ascii="Calibri" w:hAnsi="Calibri" w:cs="Calibri"/>
                <w:color w:val="000000"/>
              </w:rPr>
              <w:t>1691.5</w:t>
            </w:r>
          </w:p>
        </w:tc>
        <w:tc>
          <w:tcPr>
            <w:tcW w:w="269" w:type="pct"/>
            <w:tcBorders>
              <w:top w:val="nil"/>
              <w:left w:val="nil"/>
              <w:bottom w:val="single" w:sz="4" w:space="0" w:color="auto"/>
              <w:right w:val="single" w:sz="4" w:space="0" w:color="auto"/>
            </w:tcBorders>
            <w:shd w:val="clear" w:color="auto" w:fill="auto"/>
            <w:vAlign w:val="bottom"/>
          </w:tcPr>
          <w:p w14:paraId="0D8CB90F" w14:textId="77777777" w:rsidR="00937546" w:rsidRDefault="00937546" w:rsidP="00447817">
            <w:pPr>
              <w:jc w:val="right"/>
              <w:rPr>
                <w:rFonts w:ascii="Calibri" w:hAnsi="Calibri" w:cs="Calibri"/>
                <w:color w:val="000000"/>
              </w:rPr>
            </w:pPr>
            <w:r>
              <w:rPr>
                <w:rFonts w:ascii="Calibri" w:hAnsi="Calibri" w:cs="Calibri"/>
                <w:color w:val="000000"/>
              </w:rPr>
              <w:t>4293.0</w:t>
            </w:r>
          </w:p>
        </w:tc>
      </w:tr>
      <w:tr w:rsidR="008B5959" w:rsidRPr="00E91A88" w14:paraId="464DA0E5" w14:textId="77777777" w:rsidTr="00447817">
        <w:trPr>
          <w:trHeight w:val="251"/>
        </w:trPr>
        <w:tc>
          <w:tcPr>
            <w:tcW w:w="747" w:type="pct"/>
            <w:noWrap/>
            <w:vAlign w:val="bottom"/>
            <w:hideMark/>
          </w:tcPr>
          <w:p w14:paraId="38E6E663" w14:textId="77777777" w:rsidR="00937546" w:rsidRDefault="00937546" w:rsidP="00447817">
            <w:pPr>
              <w:rPr>
                <w:rFonts w:ascii="Calibri" w:hAnsi="Calibri" w:cs="Calibri"/>
                <w:color w:val="000000"/>
              </w:rPr>
            </w:pPr>
            <w:r>
              <w:rPr>
                <w:rFonts w:ascii="Calibri" w:hAnsi="Calibri" w:cs="Calibri"/>
                <w:color w:val="000000"/>
              </w:rPr>
              <w:t>CUDDALORE</w:t>
            </w:r>
          </w:p>
        </w:tc>
        <w:tc>
          <w:tcPr>
            <w:tcW w:w="311" w:type="pct"/>
            <w:tcBorders>
              <w:top w:val="nil"/>
              <w:left w:val="single" w:sz="4" w:space="0" w:color="auto"/>
              <w:bottom w:val="single" w:sz="4" w:space="0" w:color="auto"/>
              <w:right w:val="single" w:sz="4" w:space="0" w:color="auto"/>
            </w:tcBorders>
            <w:shd w:val="clear" w:color="auto" w:fill="auto"/>
            <w:vAlign w:val="bottom"/>
          </w:tcPr>
          <w:p w14:paraId="0D2140A8" w14:textId="77777777" w:rsidR="00937546" w:rsidRDefault="00937546" w:rsidP="00447817">
            <w:pPr>
              <w:jc w:val="right"/>
              <w:rPr>
                <w:rFonts w:ascii="Calibri" w:hAnsi="Calibri" w:cs="Calibri"/>
                <w:color w:val="000000"/>
              </w:rPr>
            </w:pPr>
            <w:r>
              <w:rPr>
                <w:rFonts w:ascii="Calibri" w:hAnsi="Calibri" w:cs="Calibri"/>
                <w:color w:val="000000"/>
              </w:rPr>
              <w:t>0.686</w:t>
            </w:r>
          </w:p>
        </w:tc>
        <w:tc>
          <w:tcPr>
            <w:tcW w:w="391" w:type="pct"/>
            <w:tcBorders>
              <w:top w:val="nil"/>
              <w:left w:val="nil"/>
              <w:bottom w:val="single" w:sz="4" w:space="0" w:color="auto"/>
              <w:right w:val="single" w:sz="4" w:space="0" w:color="auto"/>
            </w:tcBorders>
            <w:shd w:val="clear" w:color="auto" w:fill="auto"/>
            <w:vAlign w:val="bottom"/>
          </w:tcPr>
          <w:p w14:paraId="4FBA1498" w14:textId="77777777" w:rsidR="00937546" w:rsidRDefault="00937546" w:rsidP="00447817">
            <w:pPr>
              <w:jc w:val="right"/>
              <w:rPr>
                <w:rFonts w:ascii="Calibri" w:hAnsi="Calibri" w:cs="Calibri"/>
                <w:color w:val="000000"/>
              </w:rPr>
            </w:pPr>
            <w:r>
              <w:rPr>
                <w:rFonts w:ascii="Calibri" w:hAnsi="Calibri" w:cs="Calibri"/>
                <w:color w:val="000000"/>
              </w:rPr>
              <w:t>0.734</w:t>
            </w:r>
          </w:p>
        </w:tc>
        <w:tc>
          <w:tcPr>
            <w:tcW w:w="353" w:type="pct"/>
            <w:tcBorders>
              <w:top w:val="nil"/>
              <w:left w:val="nil"/>
              <w:bottom w:val="single" w:sz="4" w:space="0" w:color="auto"/>
              <w:right w:val="single" w:sz="4" w:space="0" w:color="auto"/>
            </w:tcBorders>
            <w:shd w:val="clear" w:color="auto" w:fill="auto"/>
            <w:vAlign w:val="bottom"/>
          </w:tcPr>
          <w:p w14:paraId="30B4E176" w14:textId="77777777" w:rsidR="00937546" w:rsidRDefault="00937546" w:rsidP="00447817">
            <w:pPr>
              <w:jc w:val="right"/>
              <w:rPr>
                <w:rFonts w:ascii="Calibri" w:hAnsi="Calibri" w:cs="Calibri"/>
                <w:color w:val="000000"/>
              </w:rPr>
            </w:pPr>
            <w:r>
              <w:rPr>
                <w:rFonts w:ascii="Calibri" w:hAnsi="Calibri" w:cs="Calibri"/>
                <w:color w:val="000000"/>
              </w:rPr>
              <w:t>0.738</w:t>
            </w:r>
          </w:p>
        </w:tc>
        <w:tc>
          <w:tcPr>
            <w:tcW w:w="313" w:type="pct"/>
            <w:tcBorders>
              <w:top w:val="nil"/>
              <w:left w:val="nil"/>
              <w:bottom w:val="single" w:sz="4" w:space="0" w:color="auto"/>
              <w:right w:val="single" w:sz="4" w:space="0" w:color="auto"/>
            </w:tcBorders>
            <w:shd w:val="clear" w:color="auto" w:fill="auto"/>
            <w:vAlign w:val="bottom"/>
          </w:tcPr>
          <w:p w14:paraId="263A4855" w14:textId="77777777" w:rsidR="00937546" w:rsidRDefault="00937546" w:rsidP="00447817">
            <w:pPr>
              <w:jc w:val="right"/>
              <w:rPr>
                <w:rFonts w:ascii="Calibri" w:hAnsi="Calibri" w:cs="Calibri"/>
                <w:color w:val="000000"/>
              </w:rPr>
            </w:pPr>
            <w:r>
              <w:rPr>
                <w:rFonts w:ascii="Calibri" w:hAnsi="Calibri" w:cs="Calibri"/>
                <w:color w:val="000000"/>
              </w:rPr>
              <w:t>0.719</w:t>
            </w:r>
          </w:p>
        </w:tc>
        <w:tc>
          <w:tcPr>
            <w:tcW w:w="353" w:type="pct"/>
            <w:tcBorders>
              <w:top w:val="nil"/>
              <w:left w:val="single" w:sz="4" w:space="0" w:color="auto"/>
              <w:bottom w:val="single" w:sz="4" w:space="0" w:color="auto"/>
              <w:right w:val="single" w:sz="4" w:space="0" w:color="auto"/>
            </w:tcBorders>
            <w:shd w:val="clear" w:color="auto" w:fill="auto"/>
            <w:vAlign w:val="bottom"/>
          </w:tcPr>
          <w:p w14:paraId="24F59DE7" w14:textId="77777777" w:rsidR="00937546" w:rsidRDefault="00937546" w:rsidP="00447817">
            <w:pPr>
              <w:jc w:val="right"/>
              <w:rPr>
                <w:rFonts w:ascii="Calibri" w:hAnsi="Calibri" w:cs="Calibri"/>
                <w:color w:val="000000"/>
              </w:rPr>
            </w:pPr>
            <w:r>
              <w:rPr>
                <w:rFonts w:ascii="Calibri" w:hAnsi="Calibri" w:cs="Calibri"/>
                <w:color w:val="000000"/>
              </w:rPr>
              <w:t>60.3</w:t>
            </w:r>
          </w:p>
        </w:tc>
        <w:tc>
          <w:tcPr>
            <w:tcW w:w="352" w:type="pct"/>
            <w:tcBorders>
              <w:top w:val="nil"/>
              <w:left w:val="single" w:sz="4" w:space="0" w:color="auto"/>
              <w:bottom w:val="single" w:sz="4" w:space="0" w:color="auto"/>
              <w:right w:val="single" w:sz="4" w:space="0" w:color="auto"/>
            </w:tcBorders>
            <w:shd w:val="clear" w:color="auto" w:fill="auto"/>
            <w:vAlign w:val="bottom"/>
          </w:tcPr>
          <w:p w14:paraId="7DB76328" w14:textId="77777777" w:rsidR="00937546" w:rsidRDefault="00937546" w:rsidP="00447817">
            <w:pPr>
              <w:jc w:val="right"/>
              <w:rPr>
                <w:rFonts w:ascii="Calibri" w:hAnsi="Calibri" w:cs="Calibri"/>
                <w:color w:val="000000"/>
              </w:rPr>
            </w:pPr>
            <w:r>
              <w:rPr>
                <w:rFonts w:ascii="Calibri" w:hAnsi="Calibri" w:cs="Calibri"/>
                <w:color w:val="000000"/>
              </w:rPr>
              <w:t>4.1</w:t>
            </w:r>
          </w:p>
        </w:tc>
        <w:tc>
          <w:tcPr>
            <w:tcW w:w="274" w:type="pct"/>
            <w:tcBorders>
              <w:top w:val="nil"/>
              <w:left w:val="single" w:sz="4" w:space="0" w:color="auto"/>
              <w:bottom w:val="single" w:sz="4" w:space="0" w:color="auto"/>
              <w:right w:val="single" w:sz="4" w:space="0" w:color="auto"/>
            </w:tcBorders>
            <w:shd w:val="clear" w:color="auto" w:fill="auto"/>
            <w:vAlign w:val="bottom"/>
          </w:tcPr>
          <w:p w14:paraId="7F63F73B" w14:textId="77777777" w:rsidR="00937546" w:rsidRDefault="00937546" w:rsidP="00447817">
            <w:pPr>
              <w:jc w:val="right"/>
              <w:rPr>
                <w:rFonts w:ascii="Calibri" w:hAnsi="Calibri" w:cs="Calibri"/>
                <w:color w:val="000000"/>
              </w:rPr>
            </w:pPr>
            <w:r>
              <w:rPr>
                <w:rFonts w:ascii="Calibri" w:hAnsi="Calibri" w:cs="Calibri"/>
                <w:color w:val="000000"/>
              </w:rPr>
              <w:t>1.4</w:t>
            </w:r>
          </w:p>
        </w:tc>
        <w:tc>
          <w:tcPr>
            <w:tcW w:w="274" w:type="pct"/>
            <w:tcBorders>
              <w:top w:val="nil"/>
              <w:left w:val="single" w:sz="4" w:space="0" w:color="auto"/>
              <w:bottom w:val="single" w:sz="4" w:space="0" w:color="auto"/>
              <w:right w:val="single" w:sz="4" w:space="0" w:color="auto"/>
            </w:tcBorders>
            <w:shd w:val="clear" w:color="auto" w:fill="auto"/>
            <w:vAlign w:val="bottom"/>
          </w:tcPr>
          <w:p w14:paraId="39107C75" w14:textId="77777777" w:rsidR="00937546" w:rsidRDefault="00937546" w:rsidP="00447817">
            <w:pPr>
              <w:jc w:val="right"/>
              <w:rPr>
                <w:rFonts w:ascii="Calibri" w:hAnsi="Calibri" w:cs="Calibri"/>
                <w:color w:val="000000"/>
              </w:rPr>
            </w:pPr>
            <w:r>
              <w:rPr>
                <w:rFonts w:ascii="Calibri" w:hAnsi="Calibri" w:cs="Calibri"/>
                <w:color w:val="000000"/>
              </w:rPr>
              <w:t>2.8</w:t>
            </w:r>
          </w:p>
        </w:tc>
        <w:tc>
          <w:tcPr>
            <w:tcW w:w="234" w:type="pct"/>
            <w:tcBorders>
              <w:top w:val="nil"/>
              <w:left w:val="single" w:sz="4" w:space="0" w:color="auto"/>
              <w:bottom w:val="single" w:sz="4" w:space="0" w:color="auto"/>
              <w:right w:val="single" w:sz="4" w:space="0" w:color="auto"/>
            </w:tcBorders>
            <w:shd w:val="clear" w:color="auto" w:fill="auto"/>
            <w:vAlign w:val="bottom"/>
          </w:tcPr>
          <w:p w14:paraId="48836F3E" w14:textId="77777777" w:rsidR="00937546" w:rsidRDefault="00937546" w:rsidP="00447817">
            <w:pPr>
              <w:jc w:val="right"/>
              <w:rPr>
                <w:rFonts w:ascii="Calibri" w:hAnsi="Calibri" w:cs="Calibri"/>
                <w:color w:val="000000"/>
              </w:rPr>
            </w:pPr>
            <w:r>
              <w:rPr>
                <w:rFonts w:ascii="Calibri" w:hAnsi="Calibri" w:cs="Calibri"/>
                <w:color w:val="000000"/>
              </w:rPr>
              <w:t>3021.9</w:t>
            </w:r>
          </w:p>
        </w:tc>
        <w:tc>
          <w:tcPr>
            <w:tcW w:w="313" w:type="pct"/>
            <w:tcBorders>
              <w:top w:val="nil"/>
              <w:left w:val="single" w:sz="4" w:space="0" w:color="auto"/>
              <w:bottom w:val="single" w:sz="4" w:space="0" w:color="auto"/>
              <w:right w:val="single" w:sz="4" w:space="0" w:color="auto"/>
            </w:tcBorders>
            <w:shd w:val="clear" w:color="auto" w:fill="auto"/>
            <w:vAlign w:val="bottom"/>
          </w:tcPr>
          <w:p w14:paraId="754F7616" w14:textId="77777777" w:rsidR="00937546" w:rsidRDefault="00937546" w:rsidP="00447817">
            <w:pPr>
              <w:jc w:val="right"/>
              <w:rPr>
                <w:rFonts w:ascii="Calibri" w:hAnsi="Calibri" w:cs="Calibri"/>
                <w:color w:val="000000"/>
              </w:rPr>
            </w:pPr>
            <w:r>
              <w:rPr>
                <w:rFonts w:ascii="Calibri" w:hAnsi="Calibri" w:cs="Calibri"/>
                <w:color w:val="000000"/>
              </w:rPr>
              <w:t>1178.4</w:t>
            </w:r>
          </w:p>
        </w:tc>
        <w:tc>
          <w:tcPr>
            <w:tcW w:w="272" w:type="pct"/>
            <w:tcBorders>
              <w:top w:val="nil"/>
              <w:left w:val="single" w:sz="4" w:space="0" w:color="auto"/>
              <w:bottom w:val="single" w:sz="4" w:space="0" w:color="auto"/>
              <w:right w:val="single" w:sz="4" w:space="0" w:color="auto"/>
            </w:tcBorders>
            <w:shd w:val="clear" w:color="auto" w:fill="auto"/>
            <w:vAlign w:val="bottom"/>
          </w:tcPr>
          <w:p w14:paraId="04721EA9" w14:textId="77777777" w:rsidR="00937546" w:rsidRDefault="00937546" w:rsidP="00447817">
            <w:pPr>
              <w:jc w:val="right"/>
              <w:rPr>
                <w:rFonts w:ascii="Calibri" w:hAnsi="Calibri" w:cs="Calibri"/>
                <w:color w:val="000000"/>
              </w:rPr>
            </w:pPr>
            <w:r>
              <w:rPr>
                <w:rFonts w:ascii="Calibri" w:hAnsi="Calibri" w:cs="Calibri"/>
                <w:color w:val="000000"/>
              </w:rPr>
              <w:t>1843.4</w:t>
            </w:r>
          </w:p>
        </w:tc>
        <w:tc>
          <w:tcPr>
            <w:tcW w:w="272" w:type="pct"/>
            <w:tcBorders>
              <w:top w:val="nil"/>
              <w:left w:val="single" w:sz="4" w:space="0" w:color="auto"/>
              <w:bottom w:val="single" w:sz="4" w:space="0" w:color="auto"/>
              <w:right w:val="single" w:sz="4" w:space="0" w:color="auto"/>
            </w:tcBorders>
            <w:shd w:val="clear" w:color="auto" w:fill="auto"/>
            <w:vAlign w:val="bottom"/>
          </w:tcPr>
          <w:p w14:paraId="290EE5D4" w14:textId="77777777" w:rsidR="00937546" w:rsidRDefault="00937546" w:rsidP="00447817">
            <w:pPr>
              <w:jc w:val="right"/>
              <w:rPr>
                <w:rFonts w:ascii="Calibri" w:hAnsi="Calibri" w:cs="Calibri"/>
                <w:color w:val="000000"/>
              </w:rPr>
            </w:pPr>
            <w:r>
              <w:rPr>
                <w:rFonts w:ascii="Calibri" w:hAnsi="Calibri" w:cs="Calibri"/>
                <w:color w:val="000000"/>
              </w:rPr>
              <w:t>1183.4</w:t>
            </w:r>
          </w:p>
        </w:tc>
        <w:tc>
          <w:tcPr>
            <w:tcW w:w="272" w:type="pct"/>
            <w:tcBorders>
              <w:top w:val="nil"/>
              <w:left w:val="single" w:sz="4" w:space="0" w:color="auto"/>
              <w:bottom w:val="single" w:sz="4" w:space="0" w:color="auto"/>
              <w:right w:val="single" w:sz="4" w:space="0" w:color="auto"/>
            </w:tcBorders>
            <w:shd w:val="clear" w:color="auto" w:fill="auto"/>
            <w:vAlign w:val="bottom"/>
          </w:tcPr>
          <w:p w14:paraId="3B93C4D7" w14:textId="77777777" w:rsidR="00937546" w:rsidRDefault="00937546" w:rsidP="00447817">
            <w:pPr>
              <w:jc w:val="right"/>
              <w:rPr>
                <w:rFonts w:ascii="Calibri" w:hAnsi="Calibri" w:cs="Calibri"/>
                <w:color w:val="000000"/>
              </w:rPr>
            </w:pPr>
            <w:r>
              <w:rPr>
                <w:rFonts w:ascii="Calibri" w:hAnsi="Calibri" w:cs="Calibri"/>
                <w:color w:val="000000"/>
              </w:rPr>
              <w:t>784.0</w:t>
            </w:r>
          </w:p>
        </w:tc>
        <w:tc>
          <w:tcPr>
            <w:tcW w:w="269" w:type="pct"/>
            <w:tcBorders>
              <w:top w:val="nil"/>
              <w:left w:val="nil"/>
              <w:bottom w:val="single" w:sz="4" w:space="0" w:color="auto"/>
              <w:right w:val="single" w:sz="4" w:space="0" w:color="auto"/>
            </w:tcBorders>
            <w:shd w:val="clear" w:color="auto" w:fill="auto"/>
            <w:vAlign w:val="bottom"/>
          </w:tcPr>
          <w:p w14:paraId="2EF3493E" w14:textId="77777777" w:rsidR="00937546" w:rsidRDefault="00937546" w:rsidP="00447817">
            <w:pPr>
              <w:jc w:val="right"/>
              <w:rPr>
                <w:rFonts w:ascii="Calibri" w:hAnsi="Calibri" w:cs="Calibri"/>
                <w:color w:val="000000"/>
              </w:rPr>
            </w:pPr>
            <w:r>
              <w:rPr>
                <w:rFonts w:ascii="Calibri" w:hAnsi="Calibri" w:cs="Calibri"/>
                <w:color w:val="000000"/>
              </w:rPr>
              <w:t>399.5</w:t>
            </w:r>
          </w:p>
        </w:tc>
      </w:tr>
      <w:tr w:rsidR="008B5959" w:rsidRPr="00E91A88" w14:paraId="74F7540C" w14:textId="77777777" w:rsidTr="00447817">
        <w:trPr>
          <w:trHeight w:val="251"/>
        </w:trPr>
        <w:tc>
          <w:tcPr>
            <w:tcW w:w="747" w:type="pct"/>
            <w:noWrap/>
            <w:vAlign w:val="bottom"/>
            <w:hideMark/>
          </w:tcPr>
          <w:p w14:paraId="2B225513" w14:textId="77777777" w:rsidR="00937546" w:rsidRDefault="00937546" w:rsidP="00447817">
            <w:pPr>
              <w:rPr>
                <w:rFonts w:ascii="Calibri" w:hAnsi="Calibri" w:cs="Calibri"/>
                <w:color w:val="000000"/>
              </w:rPr>
            </w:pPr>
            <w:r>
              <w:rPr>
                <w:rFonts w:ascii="Calibri" w:hAnsi="Calibri" w:cs="Calibri"/>
                <w:color w:val="000000"/>
              </w:rPr>
              <w:t>DHARMAPURI</w:t>
            </w:r>
          </w:p>
        </w:tc>
        <w:tc>
          <w:tcPr>
            <w:tcW w:w="311" w:type="pct"/>
            <w:tcBorders>
              <w:top w:val="nil"/>
              <w:left w:val="single" w:sz="4" w:space="0" w:color="auto"/>
              <w:bottom w:val="single" w:sz="4" w:space="0" w:color="auto"/>
              <w:right w:val="single" w:sz="4" w:space="0" w:color="auto"/>
            </w:tcBorders>
            <w:shd w:val="clear" w:color="auto" w:fill="auto"/>
            <w:vAlign w:val="bottom"/>
          </w:tcPr>
          <w:p w14:paraId="5F26723F" w14:textId="77777777" w:rsidR="00937546" w:rsidRDefault="00937546" w:rsidP="00447817">
            <w:pPr>
              <w:jc w:val="right"/>
              <w:rPr>
                <w:rFonts w:ascii="Calibri" w:hAnsi="Calibri" w:cs="Calibri"/>
                <w:color w:val="000000"/>
              </w:rPr>
            </w:pPr>
            <w:r>
              <w:rPr>
                <w:rFonts w:ascii="Calibri" w:hAnsi="Calibri" w:cs="Calibri"/>
                <w:color w:val="000000"/>
              </w:rPr>
              <w:t>0.686</w:t>
            </w:r>
          </w:p>
        </w:tc>
        <w:tc>
          <w:tcPr>
            <w:tcW w:w="391" w:type="pct"/>
            <w:tcBorders>
              <w:top w:val="nil"/>
              <w:left w:val="nil"/>
              <w:bottom w:val="single" w:sz="4" w:space="0" w:color="auto"/>
              <w:right w:val="single" w:sz="4" w:space="0" w:color="auto"/>
            </w:tcBorders>
            <w:shd w:val="clear" w:color="auto" w:fill="auto"/>
            <w:vAlign w:val="bottom"/>
          </w:tcPr>
          <w:p w14:paraId="60F9CB81" w14:textId="77777777" w:rsidR="00937546" w:rsidRDefault="00937546" w:rsidP="00447817">
            <w:pPr>
              <w:jc w:val="right"/>
              <w:rPr>
                <w:rFonts w:ascii="Calibri" w:hAnsi="Calibri" w:cs="Calibri"/>
                <w:color w:val="000000"/>
              </w:rPr>
            </w:pPr>
            <w:r>
              <w:rPr>
                <w:rFonts w:ascii="Calibri" w:hAnsi="Calibri" w:cs="Calibri"/>
                <w:color w:val="000000"/>
              </w:rPr>
              <w:t>0.653</w:t>
            </w:r>
          </w:p>
        </w:tc>
        <w:tc>
          <w:tcPr>
            <w:tcW w:w="353" w:type="pct"/>
            <w:tcBorders>
              <w:top w:val="nil"/>
              <w:left w:val="nil"/>
              <w:bottom w:val="single" w:sz="4" w:space="0" w:color="auto"/>
              <w:right w:val="single" w:sz="4" w:space="0" w:color="auto"/>
            </w:tcBorders>
            <w:shd w:val="clear" w:color="auto" w:fill="auto"/>
            <w:vAlign w:val="bottom"/>
          </w:tcPr>
          <w:p w14:paraId="6A00EDED" w14:textId="77777777" w:rsidR="00937546" w:rsidRDefault="00937546" w:rsidP="00447817">
            <w:pPr>
              <w:jc w:val="right"/>
              <w:rPr>
                <w:rFonts w:ascii="Calibri" w:hAnsi="Calibri" w:cs="Calibri"/>
                <w:color w:val="000000"/>
              </w:rPr>
            </w:pPr>
            <w:r>
              <w:rPr>
                <w:rFonts w:ascii="Calibri" w:hAnsi="Calibri" w:cs="Calibri"/>
                <w:color w:val="000000"/>
              </w:rPr>
              <w:t>0.596</w:t>
            </w:r>
          </w:p>
        </w:tc>
        <w:tc>
          <w:tcPr>
            <w:tcW w:w="313" w:type="pct"/>
            <w:tcBorders>
              <w:top w:val="nil"/>
              <w:left w:val="nil"/>
              <w:bottom w:val="single" w:sz="4" w:space="0" w:color="auto"/>
              <w:right w:val="single" w:sz="4" w:space="0" w:color="auto"/>
            </w:tcBorders>
            <w:shd w:val="clear" w:color="auto" w:fill="auto"/>
            <w:vAlign w:val="bottom"/>
          </w:tcPr>
          <w:p w14:paraId="40B483AD" w14:textId="77777777" w:rsidR="00937546" w:rsidRDefault="00937546" w:rsidP="00447817">
            <w:pPr>
              <w:jc w:val="right"/>
              <w:rPr>
                <w:rFonts w:ascii="Calibri" w:hAnsi="Calibri" w:cs="Calibri"/>
                <w:color w:val="000000"/>
              </w:rPr>
            </w:pPr>
            <w:r>
              <w:rPr>
                <w:rFonts w:ascii="Calibri" w:hAnsi="Calibri" w:cs="Calibri"/>
                <w:color w:val="000000"/>
              </w:rPr>
              <w:t>0.644</w:t>
            </w:r>
          </w:p>
        </w:tc>
        <w:tc>
          <w:tcPr>
            <w:tcW w:w="353" w:type="pct"/>
            <w:tcBorders>
              <w:top w:val="nil"/>
              <w:left w:val="single" w:sz="4" w:space="0" w:color="auto"/>
              <w:bottom w:val="single" w:sz="4" w:space="0" w:color="auto"/>
              <w:right w:val="single" w:sz="4" w:space="0" w:color="auto"/>
            </w:tcBorders>
            <w:shd w:val="clear" w:color="auto" w:fill="auto"/>
            <w:vAlign w:val="bottom"/>
          </w:tcPr>
          <w:p w14:paraId="682C50DF" w14:textId="77777777" w:rsidR="00937546" w:rsidRDefault="00937546" w:rsidP="00447817">
            <w:pPr>
              <w:jc w:val="right"/>
              <w:rPr>
                <w:rFonts w:ascii="Calibri" w:hAnsi="Calibri" w:cs="Calibri"/>
                <w:color w:val="000000"/>
              </w:rPr>
            </w:pPr>
            <w:r>
              <w:rPr>
                <w:rFonts w:ascii="Calibri" w:hAnsi="Calibri" w:cs="Calibri"/>
                <w:color w:val="000000"/>
              </w:rPr>
              <w:t>68.4</w:t>
            </w:r>
          </w:p>
        </w:tc>
        <w:tc>
          <w:tcPr>
            <w:tcW w:w="352" w:type="pct"/>
            <w:tcBorders>
              <w:top w:val="nil"/>
              <w:left w:val="single" w:sz="4" w:space="0" w:color="auto"/>
              <w:bottom w:val="single" w:sz="4" w:space="0" w:color="auto"/>
              <w:right w:val="single" w:sz="4" w:space="0" w:color="auto"/>
            </w:tcBorders>
            <w:shd w:val="clear" w:color="auto" w:fill="auto"/>
            <w:vAlign w:val="bottom"/>
          </w:tcPr>
          <w:p w14:paraId="072770BA" w14:textId="77777777" w:rsidR="00937546" w:rsidRDefault="00937546" w:rsidP="00447817">
            <w:pPr>
              <w:jc w:val="right"/>
              <w:rPr>
                <w:rFonts w:ascii="Calibri" w:hAnsi="Calibri" w:cs="Calibri"/>
                <w:color w:val="000000"/>
              </w:rPr>
            </w:pPr>
            <w:r>
              <w:rPr>
                <w:rFonts w:ascii="Calibri" w:hAnsi="Calibri" w:cs="Calibri"/>
                <w:color w:val="000000"/>
              </w:rPr>
              <w:t>4.5</w:t>
            </w:r>
          </w:p>
        </w:tc>
        <w:tc>
          <w:tcPr>
            <w:tcW w:w="274" w:type="pct"/>
            <w:tcBorders>
              <w:top w:val="nil"/>
              <w:left w:val="single" w:sz="4" w:space="0" w:color="auto"/>
              <w:bottom w:val="single" w:sz="4" w:space="0" w:color="auto"/>
              <w:right w:val="single" w:sz="4" w:space="0" w:color="auto"/>
            </w:tcBorders>
            <w:shd w:val="clear" w:color="auto" w:fill="auto"/>
            <w:vAlign w:val="bottom"/>
          </w:tcPr>
          <w:p w14:paraId="0F1C50C3" w14:textId="77777777" w:rsidR="00937546" w:rsidRDefault="00937546" w:rsidP="00447817">
            <w:pPr>
              <w:jc w:val="right"/>
              <w:rPr>
                <w:rFonts w:ascii="Calibri" w:hAnsi="Calibri" w:cs="Calibri"/>
                <w:color w:val="000000"/>
              </w:rPr>
            </w:pPr>
            <w:r>
              <w:rPr>
                <w:rFonts w:ascii="Calibri" w:hAnsi="Calibri" w:cs="Calibri"/>
                <w:color w:val="000000"/>
              </w:rPr>
              <w:t>1.3</w:t>
            </w:r>
          </w:p>
        </w:tc>
        <w:tc>
          <w:tcPr>
            <w:tcW w:w="274" w:type="pct"/>
            <w:tcBorders>
              <w:top w:val="nil"/>
              <w:left w:val="single" w:sz="4" w:space="0" w:color="auto"/>
              <w:bottom w:val="single" w:sz="4" w:space="0" w:color="auto"/>
              <w:right w:val="single" w:sz="4" w:space="0" w:color="auto"/>
            </w:tcBorders>
            <w:shd w:val="clear" w:color="auto" w:fill="auto"/>
            <w:vAlign w:val="bottom"/>
          </w:tcPr>
          <w:p w14:paraId="4C52FD5D" w14:textId="77777777" w:rsidR="00937546" w:rsidRDefault="00937546" w:rsidP="00447817">
            <w:pPr>
              <w:jc w:val="right"/>
              <w:rPr>
                <w:rFonts w:ascii="Calibri" w:hAnsi="Calibri" w:cs="Calibri"/>
                <w:color w:val="000000"/>
              </w:rPr>
            </w:pPr>
            <w:r>
              <w:rPr>
                <w:rFonts w:ascii="Calibri" w:hAnsi="Calibri" w:cs="Calibri"/>
                <w:color w:val="000000"/>
              </w:rPr>
              <w:t>3.1</w:t>
            </w:r>
          </w:p>
        </w:tc>
        <w:tc>
          <w:tcPr>
            <w:tcW w:w="234" w:type="pct"/>
            <w:tcBorders>
              <w:top w:val="nil"/>
              <w:left w:val="single" w:sz="4" w:space="0" w:color="auto"/>
              <w:bottom w:val="single" w:sz="4" w:space="0" w:color="auto"/>
              <w:right w:val="single" w:sz="4" w:space="0" w:color="auto"/>
            </w:tcBorders>
            <w:shd w:val="clear" w:color="auto" w:fill="auto"/>
            <w:vAlign w:val="bottom"/>
          </w:tcPr>
          <w:p w14:paraId="26CEBF4A" w14:textId="77777777" w:rsidR="00937546" w:rsidRDefault="00937546" w:rsidP="00447817">
            <w:pPr>
              <w:jc w:val="right"/>
              <w:rPr>
                <w:rFonts w:ascii="Calibri" w:hAnsi="Calibri" w:cs="Calibri"/>
                <w:color w:val="000000"/>
              </w:rPr>
            </w:pPr>
            <w:r>
              <w:rPr>
                <w:rFonts w:ascii="Calibri" w:hAnsi="Calibri" w:cs="Calibri"/>
                <w:color w:val="000000"/>
              </w:rPr>
              <w:t>3126.6</w:t>
            </w:r>
          </w:p>
        </w:tc>
        <w:tc>
          <w:tcPr>
            <w:tcW w:w="313" w:type="pct"/>
            <w:tcBorders>
              <w:top w:val="nil"/>
              <w:left w:val="single" w:sz="4" w:space="0" w:color="auto"/>
              <w:bottom w:val="single" w:sz="4" w:space="0" w:color="auto"/>
              <w:right w:val="single" w:sz="4" w:space="0" w:color="auto"/>
            </w:tcBorders>
            <w:shd w:val="clear" w:color="auto" w:fill="auto"/>
            <w:vAlign w:val="bottom"/>
          </w:tcPr>
          <w:p w14:paraId="648D3FF0" w14:textId="77777777" w:rsidR="00937546" w:rsidRDefault="00937546" w:rsidP="00447817">
            <w:pPr>
              <w:jc w:val="right"/>
              <w:rPr>
                <w:rFonts w:ascii="Calibri" w:hAnsi="Calibri" w:cs="Calibri"/>
                <w:color w:val="000000"/>
              </w:rPr>
            </w:pPr>
            <w:r>
              <w:rPr>
                <w:rFonts w:ascii="Calibri" w:hAnsi="Calibri" w:cs="Calibri"/>
                <w:color w:val="000000"/>
              </w:rPr>
              <w:t>1521.0</w:t>
            </w:r>
          </w:p>
        </w:tc>
        <w:tc>
          <w:tcPr>
            <w:tcW w:w="272" w:type="pct"/>
            <w:tcBorders>
              <w:top w:val="nil"/>
              <w:left w:val="single" w:sz="4" w:space="0" w:color="auto"/>
              <w:bottom w:val="single" w:sz="4" w:space="0" w:color="auto"/>
              <w:right w:val="single" w:sz="4" w:space="0" w:color="auto"/>
            </w:tcBorders>
            <w:shd w:val="clear" w:color="auto" w:fill="auto"/>
            <w:vAlign w:val="bottom"/>
          </w:tcPr>
          <w:p w14:paraId="19DAD406" w14:textId="77777777" w:rsidR="00937546" w:rsidRDefault="00937546" w:rsidP="00447817">
            <w:pPr>
              <w:jc w:val="right"/>
              <w:rPr>
                <w:rFonts w:ascii="Calibri" w:hAnsi="Calibri" w:cs="Calibri"/>
                <w:color w:val="000000"/>
              </w:rPr>
            </w:pPr>
            <w:r>
              <w:rPr>
                <w:rFonts w:ascii="Calibri" w:hAnsi="Calibri" w:cs="Calibri"/>
                <w:color w:val="000000"/>
              </w:rPr>
              <w:t>1605.6</w:t>
            </w:r>
          </w:p>
        </w:tc>
        <w:tc>
          <w:tcPr>
            <w:tcW w:w="272" w:type="pct"/>
            <w:tcBorders>
              <w:top w:val="nil"/>
              <w:left w:val="single" w:sz="4" w:space="0" w:color="auto"/>
              <w:bottom w:val="single" w:sz="4" w:space="0" w:color="auto"/>
              <w:right w:val="single" w:sz="4" w:space="0" w:color="auto"/>
            </w:tcBorders>
            <w:shd w:val="clear" w:color="auto" w:fill="auto"/>
            <w:vAlign w:val="bottom"/>
          </w:tcPr>
          <w:p w14:paraId="7B04AAFD" w14:textId="77777777" w:rsidR="00937546" w:rsidRDefault="00937546" w:rsidP="00447817">
            <w:pPr>
              <w:jc w:val="right"/>
              <w:rPr>
                <w:rFonts w:ascii="Calibri" w:hAnsi="Calibri" w:cs="Calibri"/>
                <w:color w:val="000000"/>
              </w:rPr>
            </w:pPr>
            <w:r>
              <w:rPr>
                <w:rFonts w:ascii="Calibri" w:hAnsi="Calibri" w:cs="Calibri"/>
                <w:color w:val="000000"/>
              </w:rPr>
              <w:t>2118.0</w:t>
            </w:r>
          </w:p>
        </w:tc>
        <w:tc>
          <w:tcPr>
            <w:tcW w:w="272" w:type="pct"/>
            <w:tcBorders>
              <w:top w:val="nil"/>
              <w:left w:val="single" w:sz="4" w:space="0" w:color="auto"/>
              <w:bottom w:val="single" w:sz="4" w:space="0" w:color="auto"/>
              <w:right w:val="single" w:sz="4" w:space="0" w:color="auto"/>
            </w:tcBorders>
            <w:shd w:val="clear" w:color="auto" w:fill="auto"/>
            <w:vAlign w:val="bottom"/>
          </w:tcPr>
          <w:p w14:paraId="7D20B0AE" w14:textId="77777777" w:rsidR="00937546" w:rsidRDefault="00937546" w:rsidP="00447817">
            <w:pPr>
              <w:jc w:val="right"/>
              <w:rPr>
                <w:rFonts w:ascii="Calibri" w:hAnsi="Calibri" w:cs="Calibri"/>
                <w:color w:val="000000"/>
              </w:rPr>
            </w:pPr>
            <w:r>
              <w:rPr>
                <w:rFonts w:ascii="Calibri" w:hAnsi="Calibri" w:cs="Calibri"/>
                <w:color w:val="000000"/>
              </w:rPr>
              <w:t>1380.4</w:t>
            </w:r>
          </w:p>
        </w:tc>
        <w:tc>
          <w:tcPr>
            <w:tcW w:w="269" w:type="pct"/>
            <w:tcBorders>
              <w:top w:val="nil"/>
              <w:left w:val="nil"/>
              <w:bottom w:val="single" w:sz="4" w:space="0" w:color="auto"/>
              <w:right w:val="single" w:sz="4" w:space="0" w:color="auto"/>
            </w:tcBorders>
            <w:shd w:val="clear" w:color="auto" w:fill="auto"/>
            <w:vAlign w:val="bottom"/>
          </w:tcPr>
          <w:p w14:paraId="6A26FE51" w14:textId="77777777" w:rsidR="00937546" w:rsidRDefault="00937546" w:rsidP="00447817">
            <w:pPr>
              <w:jc w:val="right"/>
              <w:rPr>
                <w:rFonts w:ascii="Calibri" w:hAnsi="Calibri" w:cs="Calibri"/>
                <w:color w:val="000000"/>
              </w:rPr>
            </w:pPr>
            <w:r>
              <w:rPr>
                <w:rFonts w:ascii="Calibri" w:hAnsi="Calibri" w:cs="Calibri"/>
                <w:color w:val="000000"/>
              </w:rPr>
              <w:t>737.6</w:t>
            </w:r>
          </w:p>
        </w:tc>
      </w:tr>
      <w:tr w:rsidR="008B5959" w:rsidRPr="00E91A88" w14:paraId="27DA4DDB" w14:textId="77777777" w:rsidTr="00447817">
        <w:trPr>
          <w:trHeight w:val="251"/>
        </w:trPr>
        <w:tc>
          <w:tcPr>
            <w:tcW w:w="747" w:type="pct"/>
            <w:noWrap/>
            <w:vAlign w:val="bottom"/>
            <w:hideMark/>
          </w:tcPr>
          <w:p w14:paraId="4F603C68" w14:textId="77777777" w:rsidR="00937546" w:rsidRDefault="00937546" w:rsidP="00447817">
            <w:pPr>
              <w:rPr>
                <w:rFonts w:ascii="Calibri" w:hAnsi="Calibri" w:cs="Calibri"/>
                <w:color w:val="000000"/>
              </w:rPr>
            </w:pPr>
            <w:r>
              <w:rPr>
                <w:rFonts w:ascii="Calibri" w:hAnsi="Calibri" w:cs="Calibri"/>
                <w:color w:val="000000"/>
              </w:rPr>
              <w:t>DINDIGUL</w:t>
            </w:r>
          </w:p>
        </w:tc>
        <w:tc>
          <w:tcPr>
            <w:tcW w:w="311" w:type="pct"/>
            <w:tcBorders>
              <w:top w:val="nil"/>
              <w:left w:val="single" w:sz="4" w:space="0" w:color="auto"/>
              <w:bottom w:val="single" w:sz="4" w:space="0" w:color="auto"/>
              <w:right w:val="single" w:sz="4" w:space="0" w:color="auto"/>
            </w:tcBorders>
            <w:shd w:val="clear" w:color="auto" w:fill="auto"/>
            <w:vAlign w:val="bottom"/>
          </w:tcPr>
          <w:p w14:paraId="39FA38EC" w14:textId="77777777" w:rsidR="00937546" w:rsidRDefault="00937546" w:rsidP="00447817">
            <w:pPr>
              <w:jc w:val="right"/>
              <w:rPr>
                <w:rFonts w:ascii="Calibri" w:hAnsi="Calibri" w:cs="Calibri"/>
                <w:color w:val="000000"/>
              </w:rPr>
            </w:pPr>
            <w:r>
              <w:rPr>
                <w:rFonts w:ascii="Calibri" w:hAnsi="Calibri" w:cs="Calibri"/>
                <w:color w:val="000000"/>
              </w:rPr>
              <w:t>0.687</w:t>
            </w:r>
          </w:p>
        </w:tc>
        <w:tc>
          <w:tcPr>
            <w:tcW w:w="391" w:type="pct"/>
            <w:tcBorders>
              <w:top w:val="nil"/>
              <w:left w:val="nil"/>
              <w:bottom w:val="single" w:sz="4" w:space="0" w:color="auto"/>
              <w:right w:val="single" w:sz="4" w:space="0" w:color="auto"/>
            </w:tcBorders>
            <w:shd w:val="clear" w:color="auto" w:fill="auto"/>
            <w:vAlign w:val="bottom"/>
          </w:tcPr>
          <w:p w14:paraId="4F669917" w14:textId="77777777" w:rsidR="00937546" w:rsidRDefault="00937546" w:rsidP="00447817">
            <w:pPr>
              <w:jc w:val="right"/>
              <w:rPr>
                <w:rFonts w:ascii="Calibri" w:hAnsi="Calibri" w:cs="Calibri"/>
                <w:color w:val="000000"/>
              </w:rPr>
            </w:pPr>
            <w:r>
              <w:rPr>
                <w:rFonts w:ascii="Calibri" w:hAnsi="Calibri" w:cs="Calibri"/>
                <w:color w:val="000000"/>
              </w:rPr>
              <w:t>0.711</w:t>
            </w:r>
          </w:p>
        </w:tc>
        <w:tc>
          <w:tcPr>
            <w:tcW w:w="353" w:type="pct"/>
            <w:tcBorders>
              <w:top w:val="nil"/>
              <w:left w:val="nil"/>
              <w:bottom w:val="single" w:sz="4" w:space="0" w:color="auto"/>
              <w:right w:val="single" w:sz="4" w:space="0" w:color="auto"/>
            </w:tcBorders>
            <w:shd w:val="clear" w:color="auto" w:fill="auto"/>
            <w:vAlign w:val="bottom"/>
          </w:tcPr>
          <w:p w14:paraId="2E0BDBA7" w14:textId="77777777" w:rsidR="00937546" w:rsidRDefault="00937546" w:rsidP="00447817">
            <w:pPr>
              <w:jc w:val="right"/>
              <w:rPr>
                <w:rFonts w:ascii="Calibri" w:hAnsi="Calibri" w:cs="Calibri"/>
                <w:color w:val="000000"/>
              </w:rPr>
            </w:pPr>
            <w:r>
              <w:rPr>
                <w:rFonts w:ascii="Calibri" w:hAnsi="Calibri" w:cs="Calibri"/>
                <w:color w:val="000000"/>
              </w:rPr>
              <w:t>0.675</w:t>
            </w:r>
          </w:p>
        </w:tc>
        <w:tc>
          <w:tcPr>
            <w:tcW w:w="313" w:type="pct"/>
            <w:tcBorders>
              <w:top w:val="nil"/>
              <w:left w:val="nil"/>
              <w:bottom w:val="single" w:sz="4" w:space="0" w:color="auto"/>
              <w:right w:val="single" w:sz="4" w:space="0" w:color="auto"/>
            </w:tcBorders>
            <w:shd w:val="clear" w:color="auto" w:fill="auto"/>
            <w:vAlign w:val="bottom"/>
          </w:tcPr>
          <w:p w14:paraId="17F65669" w14:textId="77777777" w:rsidR="00937546" w:rsidRDefault="00937546" w:rsidP="00447817">
            <w:pPr>
              <w:jc w:val="right"/>
              <w:rPr>
                <w:rFonts w:ascii="Calibri" w:hAnsi="Calibri" w:cs="Calibri"/>
                <w:color w:val="000000"/>
              </w:rPr>
            </w:pPr>
            <w:r>
              <w:rPr>
                <w:rFonts w:ascii="Calibri" w:hAnsi="Calibri" w:cs="Calibri"/>
                <w:color w:val="000000"/>
              </w:rPr>
              <w:t>0.691</w:t>
            </w:r>
          </w:p>
        </w:tc>
        <w:tc>
          <w:tcPr>
            <w:tcW w:w="353" w:type="pct"/>
            <w:tcBorders>
              <w:top w:val="nil"/>
              <w:left w:val="single" w:sz="4" w:space="0" w:color="auto"/>
              <w:bottom w:val="single" w:sz="4" w:space="0" w:color="auto"/>
              <w:right w:val="single" w:sz="4" w:space="0" w:color="auto"/>
            </w:tcBorders>
            <w:shd w:val="clear" w:color="auto" w:fill="auto"/>
            <w:vAlign w:val="bottom"/>
          </w:tcPr>
          <w:p w14:paraId="605DAB39" w14:textId="77777777" w:rsidR="00937546" w:rsidRDefault="00937546" w:rsidP="00447817">
            <w:pPr>
              <w:jc w:val="right"/>
              <w:rPr>
                <w:rFonts w:ascii="Calibri" w:hAnsi="Calibri" w:cs="Calibri"/>
                <w:color w:val="000000"/>
              </w:rPr>
            </w:pPr>
            <w:r>
              <w:rPr>
                <w:rFonts w:ascii="Calibri" w:hAnsi="Calibri" w:cs="Calibri"/>
                <w:color w:val="000000"/>
              </w:rPr>
              <w:t>56.2</w:t>
            </w:r>
          </w:p>
        </w:tc>
        <w:tc>
          <w:tcPr>
            <w:tcW w:w="352" w:type="pct"/>
            <w:tcBorders>
              <w:top w:val="nil"/>
              <w:left w:val="single" w:sz="4" w:space="0" w:color="auto"/>
              <w:bottom w:val="single" w:sz="4" w:space="0" w:color="auto"/>
              <w:right w:val="single" w:sz="4" w:space="0" w:color="auto"/>
            </w:tcBorders>
            <w:shd w:val="clear" w:color="auto" w:fill="auto"/>
            <w:vAlign w:val="bottom"/>
          </w:tcPr>
          <w:p w14:paraId="047E8293" w14:textId="77777777" w:rsidR="00937546" w:rsidRDefault="00937546" w:rsidP="00447817">
            <w:pPr>
              <w:jc w:val="right"/>
              <w:rPr>
                <w:rFonts w:ascii="Calibri" w:hAnsi="Calibri" w:cs="Calibri"/>
                <w:color w:val="000000"/>
              </w:rPr>
            </w:pPr>
            <w:r>
              <w:rPr>
                <w:rFonts w:ascii="Calibri" w:hAnsi="Calibri" w:cs="Calibri"/>
                <w:color w:val="000000"/>
              </w:rPr>
              <w:t>8.0</w:t>
            </w:r>
          </w:p>
        </w:tc>
        <w:tc>
          <w:tcPr>
            <w:tcW w:w="274" w:type="pct"/>
            <w:tcBorders>
              <w:top w:val="nil"/>
              <w:left w:val="single" w:sz="4" w:space="0" w:color="auto"/>
              <w:bottom w:val="single" w:sz="4" w:space="0" w:color="auto"/>
              <w:right w:val="single" w:sz="4" w:space="0" w:color="auto"/>
            </w:tcBorders>
            <w:shd w:val="clear" w:color="auto" w:fill="auto"/>
            <w:vAlign w:val="bottom"/>
          </w:tcPr>
          <w:p w14:paraId="04640537" w14:textId="77777777" w:rsidR="00937546" w:rsidRDefault="00937546" w:rsidP="00447817">
            <w:pPr>
              <w:jc w:val="right"/>
              <w:rPr>
                <w:rFonts w:ascii="Calibri" w:hAnsi="Calibri" w:cs="Calibri"/>
                <w:color w:val="000000"/>
              </w:rPr>
            </w:pPr>
            <w:r>
              <w:rPr>
                <w:rFonts w:ascii="Calibri" w:hAnsi="Calibri" w:cs="Calibri"/>
                <w:color w:val="000000"/>
              </w:rPr>
              <w:t>1.1</w:t>
            </w:r>
          </w:p>
        </w:tc>
        <w:tc>
          <w:tcPr>
            <w:tcW w:w="274" w:type="pct"/>
            <w:tcBorders>
              <w:top w:val="nil"/>
              <w:left w:val="single" w:sz="4" w:space="0" w:color="auto"/>
              <w:bottom w:val="single" w:sz="4" w:space="0" w:color="auto"/>
              <w:right w:val="single" w:sz="4" w:space="0" w:color="auto"/>
            </w:tcBorders>
            <w:shd w:val="clear" w:color="auto" w:fill="auto"/>
            <w:vAlign w:val="bottom"/>
          </w:tcPr>
          <w:p w14:paraId="0C28D138" w14:textId="77777777" w:rsidR="00937546" w:rsidRDefault="00937546" w:rsidP="00447817">
            <w:pPr>
              <w:jc w:val="right"/>
              <w:rPr>
                <w:rFonts w:ascii="Calibri" w:hAnsi="Calibri" w:cs="Calibri"/>
                <w:color w:val="000000"/>
              </w:rPr>
            </w:pPr>
            <w:r>
              <w:rPr>
                <w:rFonts w:ascii="Calibri" w:hAnsi="Calibri" w:cs="Calibri"/>
                <w:color w:val="000000"/>
              </w:rPr>
              <w:t>6.9</w:t>
            </w:r>
          </w:p>
        </w:tc>
        <w:tc>
          <w:tcPr>
            <w:tcW w:w="234" w:type="pct"/>
            <w:tcBorders>
              <w:top w:val="nil"/>
              <w:left w:val="single" w:sz="4" w:space="0" w:color="auto"/>
              <w:bottom w:val="single" w:sz="4" w:space="0" w:color="auto"/>
              <w:right w:val="single" w:sz="4" w:space="0" w:color="auto"/>
            </w:tcBorders>
            <w:shd w:val="clear" w:color="auto" w:fill="auto"/>
            <w:vAlign w:val="bottom"/>
          </w:tcPr>
          <w:p w14:paraId="14EF1AB4" w14:textId="77777777" w:rsidR="00937546" w:rsidRDefault="00937546" w:rsidP="00447817">
            <w:pPr>
              <w:jc w:val="right"/>
              <w:rPr>
                <w:rFonts w:ascii="Calibri" w:hAnsi="Calibri" w:cs="Calibri"/>
                <w:color w:val="000000"/>
              </w:rPr>
            </w:pPr>
            <w:r>
              <w:rPr>
                <w:rFonts w:ascii="Calibri" w:hAnsi="Calibri" w:cs="Calibri"/>
                <w:color w:val="000000"/>
              </w:rPr>
              <w:t>3431.5</w:t>
            </w:r>
          </w:p>
        </w:tc>
        <w:tc>
          <w:tcPr>
            <w:tcW w:w="313" w:type="pct"/>
            <w:tcBorders>
              <w:top w:val="nil"/>
              <w:left w:val="single" w:sz="4" w:space="0" w:color="auto"/>
              <w:bottom w:val="single" w:sz="4" w:space="0" w:color="auto"/>
              <w:right w:val="single" w:sz="4" w:space="0" w:color="auto"/>
            </w:tcBorders>
            <w:shd w:val="clear" w:color="auto" w:fill="auto"/>
            <w:vAlign w:val="bottom"/>
          </w:tcPr>
          <w:p w14:paraId="33E01833" w14:textId="77777777" w:rsidR="00937546" w:rsidRDefault="00937546" w:rsidP="00447817">
            <w:pPr>
              <w:jc w:val="right"/>
              <w:rPr>
                <w:rFonts w:ascii="Calibri" w:hAnsi="Calibri" w:cs="Calibri"/>
                <w:color w:val="000000"/>
              </w:rPr>
            </w:pPr>
            <w:r>
              <w:rPr>
                <w:rFonts w:ascii="Calibri" w:hAnsi="Calibri" w:cs="Calibri"/>
                <w:color w:val="000000"/>
              </w:rPr>
              <w:t>1271.4</w:t>
            </w:r>
          </w:p>
        </w:tc>
        <w:tc>
          <w:tcPr>
            <w:tcW w:w="272" w:type="pct"/>
            <w:tcBorders>
              <w:top w:val="nil"/>
              <w:left w:val="single" w:sz="4" w:space="0" w:color="auto"/>
              <w:bottom w:val="single" w:sz="4" w:space="0" w:color="auto"/>
              <w:right w:val="single" w:sz="4" w:space="0" w:color="auto"/>
            </w:tcBorders>
            <w:shd w:val="clear" w:color="auto" w:fill="auto"/>
            <w:vAlign w:val="bottom"/>
          </w:tcPr>
          <w:p w14:paraId="370D27D5" w14:textId="77777777" w:rsidR="00937546" w:rsidRDefault="00937546" w:rsidP="00447817">
            <w:pPr>
              <w:jc w:val="right"/>
              <w:rPr>
                <w:rFonts w:ascii="Calibri" w:hAnsi="Calibri" w:cs="Calibri"/>
                <w:color w:val="000000"/>
              </w:rPr>
            </w:pPr>
            <w:r>
              <w:rPr>
                <w:rFonts w:ascii="Calibri" w:hAnsi="Calibri" w:cs="Calibri"/>
                <w:color w:val="000000"/>
              </w:rPr>
              <w:t>2160.1</w:t>
            </w:r>
          </w:p>
        </w:tc>
        <w:tc>
          <w:tcPr>
            <w:tcW w:w="272" w:type="pct"/>
            <w:tcBorders>
              <w:top w:val="nil"/>
              <w:left w:val="single" w:sz="4" w:space="0" w:color="auto"/>
              <w:bottom w:val="single" w:sz="4" w:space="0" w:color="auto"/>
              <w:right w:val="single" w:sz="4" w:space="0" w:color="auto"/>
            </w:tcBorders>
            <w:shd w:val="clear" w:color="auto" w:fill="auto"/>
            <w:vAlign w:val="bottom"/>
          </w:tcPr>
          <w:p w14:paraId="0EBDDEEA" w14:textId="77777777" w:rsidR="00937546" w:rsidRDefault="00937546" w:rsidP="00447817">
            <w:pPr>
              <w:jc w:val="right"/>
              <w:rPr>
                <w:rFonts w:ascii="Calibri" w:hAnsi="Calibri" w:cs="Calibri"/>
                <w:color w:val="000000"/>
              </w:rPr>
            </w:pPr>
            <w:r>
              <w:rPr>
                <w:rFonts w:ascii="Calibri" w:hAnsi="Calibri" w:cs="Calibri"/>
                <w:color w:val="000000"/>
              </w:rPr>
              <w:t>1876.8</w:t>
            </w:r>
          </w:p>
        </w:tc>
        <w:tc>
          <w:tcPr>
            <w:tcW w:w="272" w:type="pct"/>
            <w:tcBorders>
              <w:top w:val="nil"/>
              <w:left w:val="single" w:sz="4" w:space="0" w:color="auto"/>
              <w:bottom w:val="single" w:sz="4" w:space="0" w:color="auto"/>
              <w:right w:val="single" w:sz="4" w:space="0" w:color="auto"/>
            </w:tcBorders>
            <w:shd w:val="clear" w:color="auto" w:fill="auto"/>
            <w:vAlign w:val="bottom"/>
          </w:tcPr>
          <w:p w14:paraId="251D63E4" w14:textId="77777777" w:rsidR="00937546" w:rsidRDefault="00937546" w:rsidP="00447817">
            <w:pPr>
              <w:jc w:val="right"/>
              <w:rPr>
                <w:rFonts w:ascii="Calibri" w:hAnsi="Calibri" w:cs="Calibri"/>
                <w:color w:val="000000"/>
              </w:rPr>
            </w:pPr>
            <w:r>
              <w:rPr>
                <w:rFonts w:ascii="Calibri" w:hAnsi="Calibri" w:cs="Calibri"/>
                <w:color w:val="000000"/>
              </w:rPr>
              <w:t>461.9</w:t>
            </w:r>
          </w:p>
        </w:tc>
        <w:tc>
          <w:tcPr>
            <w:tcW w:w="269" w:type="pct"/>
            <w:tcBorders>
              <w:top w:val="nil"/>
              <w:left w:val="nil"/>
              <w:bottom w:val="single" w:sz="4" w:space="0" w:color="auto"/>
              <w:right w:val="single" w:sz="4" w:space="0" w:color="auto"/>
            </w:tcBorders>
            <w:shd w:val="clear" w:color="auto" w:fill="auto"/>
            <w:vAlign w:val="bottom"/>
          </w:tcPr>
          <w:p w14:paraId="738DF419" w14:textId="77777777" w:rsidR="00937546" w:rsidRDefault="00937546" w:rsidP="00447817">
            <w:pPr>
              <w:jc w:val="right"/>
              <w:rPr>
                <w:rFonts w:ascii="Calibri" w:hAnsi="Calibri" w:cs="Calibri"/>
                <w:color w:val="000000"/>
              </w:rPr>
            </w:pPr>
            <w:r>
              <w:rPr>
                <w:rFonts w:ascii="Calibri" w:hAnsi="Calibri" w:cs="Calibri"/>
                <w:color w:val="000000"/>
              </w:rPr>
              <w:t>1414.8</w:t>
            </w:r>
          </w:p>
        </w:tc>
      </w:tr>
      <w:tr w:rsidR="008B5959" w:rsidRPr="00E91A88" w14:paraId="5E13BCAF" w14:textId="77777777" w:rsidTr="00447817">
        <w:trPr>
          <w:trHeight w:val="251"/>
        </w:trPr>
        <w:tc>
          <w:tcPr>
            <w:tcW w:w="747" w:type="pct"/>
            <w:noWrap/>
            <w:vAlign w:val="bottom"/>
            <w:hideMark/>
          </w:tcPr>
          <w:p w14:paraId="7CE99E40" w14:textId="77777777" w:rsidR="00937546" w:rsidRDefault="00937546" w:rsidP="00447817">
            <w:pPr>
              <w:rPr>
                <w:rFonts w:ascii="Calibri" w:hAnsi="Calibri" w:cs="Calibri"/>
                <w:color w:val="000000"/>
              </w:rPr>
            </w:pPr>
            <w:r>
              <w:rPr>
                <w:rFonts w:ascii="Calibri" w:hAnsi="Calibri" w:cs="Calibri"/>
                <w:color w:val="000000"/>
              </w:rPr>
              <w:t>ERODE</w:t>
            </w:r>
          </w:p>
        </w:tc>
        <w:tc>
          <w:tcPr>
            <w:tcW w:w="311" w:type="pct"/>
            <w:tcBorders>
              <w:top w:val="nil"/>
              <w:left w:val="single" w:sz="4" w:space="0" w:color="auto"/>
              <w:bottom w:val="single" w:sz="4" w:space="0" w:color="auto"/>
              <w:right w:val="single" w:sz="4" w:space="0" w:color="auto"/>
            </w:tcBorders>
            <w:shd w:val="clear" w:color="auto" w:fill="auto"/>
            <w:vAlign w:val="bottom"/>
          </w:tcPr>
          <w:p w14:paraId="2968F955" w14:textId="77777777" w:rsidR="00937546" w:rsidRDefault="00937546" w:rsidP="00447817">
            <w:pPr>
              <w:jc w:val="right"/>
              <w:rPr>
                <w:rFonts w:ascii="Calibri" w:hAnsi="Calibri" w:cs="Calibri"/>
                <w:color w:val="000000"/>
              </w:rPr>
            </w:pPr>
            <w:r>
              <w:rPr>
                <w:rFonts w:ascii="Calibri" w:hAnsi="Calibri" w:cs="Calibri"/>
                <w:color w:val="000000"/>
              </w:rPr>
              <w:t>0.86</w:t>
            </w:r>
          </w:p>
        </w:tc>
        <w:tc>
          <w:tcPr>
            <w:tcW w:w="391" w:type="pct"/>
            <w:tcBorders>
              <w:top w:val="nil"/>
              <w:left w:val="nil"/>
              <w:bottom w:val="single" w:sz="4" w:space="0" w:color="auto"/>
              <w:right w:val="single" w:sz="4" w:space="0" w:color="auto"/>
            </w:tcBorders>
            <w:shd w:val="clear" w:color="auto" w:fill="auto"/>
            <w:vAlign w:val="bottom"/>
          </w:tcPr>
          <w:p w14:paraId="3B3203ED" w14:textId="77777777" w:rsidR="00937546" w:rsidRDefault="00937546" w:rsidP="00447817">
            <w:pPr>
              <w:jc w:val="right"/>
              <w:rPr>
                <w:rFonts w:ascii="Calibri" w:hAnsi="Calibri" w:cs="Calibri"/>
                <w:color w:val="000000"/>
              </w:rPr>
            </w:pPr>
            <w:r>
              <w:rPr>
                <w:rFonts w:ascii="Calibri" w:hAnsi="Calibri" w:cs="Calibri"/>
                <w:color w:val="000000"/>
              </w:rPr>
              <w:t>0.717</w:t>
            </w:r>
          </w:p>
        </w:tc>
        <w:tc>
          <w:tcPr>
            <w:tcW w:w="353" w:type="pct"/>
            <w:tcBorders>
              <w:top w:val="nil"/>
              <w:left w:val="nil"/>
              <w:bottom w:val="single" w:sz="4" w:space="0" w:color="auto"/>
              <w:right w:val="single" w:sz="4" w:space="0" w:color="auto"/>
            </w:tcBorders>
            <w:shd w:val="clear" w:color="auto" w:fill="auto"/>
            <w:vAlign w:val="bottom"/>
          </w:tcPr>
          <w:p w14:paraId="08CD70F8" w14:textId="77777777" w:rsidR="00937546" w:rsidRDefault="00937546" w:rsidP="00447817">
            <w:pPr>
              <w:jc w:val="right"/>
              <w:rPr>
                <w:rFonts w:ascii="Calibri" w:hAnsi="Calibri" w:cs="Calibri"/>
                <w:color w:val="000000"/>
              </w:rPr>
            </w:pPr>
            <w:r>
              <w:rPr>
                <w:rFonts w:ascii="Calibri" w:hAnsi="Calibri" w:cs="Calibri"/>
                <w:color w:val="000000"/>
              </w:rPr>
              <w:t>0.378</w:t>
            </w:r>
          </w:p>
        </w:tc>
        <w:tc>
          <w:tcPr>
            <w:tcW w:w="313" w:type="pct"/>
            <w:tcBorders>
              <w:top w:val="nil"/>
              <w:left w:val="nil"/>
              <w:bottom w:val="single" w:sz="4" w:space="0" w:color="auto"/>
              <w:right w:val="single" w:sz="4" w:space="0" w:color="auto"/>
            </w:tcBorders>
            <w:shd w:val="clear" w:color="auto" w:fill="auto"/>
            <w:vAlign w:val="bottom"/>
          </w:tcPr>
          <w:p w14:paraId="4C7393B7" w14:textId="77777777" w:rsidR="00937546" w:rsidRDefault="00937546" w:rsidP="00447817">
            <w:pPr>
              <w:jc w:val="right"/>
              <w:rPr>
                <w:rFonts w:ascii="Calibri" w:hAnsi="Calibri" w:cs="Calibri"/>
                <w:color w:val="000000"/>
              </w:rPr>
            </w:pPr>
            <w:r>
              <w:rPr>
                <w:rFonts w:ascii="Calibri" w:hAnsi="Calibri" w:cs="Calibri"/>
                <w:color w:val="000000"/>
              </w:rPr>
              <w:t>0.616</w:t>
            </w:r>
          </w:p>
        </w:tc>
        <w:tc>
          <w:tcPr>
            <w:tcW w:w="353" w:type="pct"/>
            <w:tcBorders>
              <w:top w:val="nil"/>
              <w:left w:val="single" w:sz="4" w:space="0" w:color="auto"/>
              <w:bottom w:val="single" w:sz="4" w:space="0" w:color="auto"/>
              <w:right w:val="single" w:sz="4" w:space="0" w:color="auto"/>
            </w:tcBorders>
            <w:shd w:val="clear" w:color="auto" w:fill="auto"/>
            <w:vAlign w:val="bottom"/>
          </w:tcPr>
          <w:p w14:paraId="08F6A11C" w14:textId="77777777" w:rsidR="00937546" w:rsidRDefault="00937546" w:rsidP="00447817">
            <w:pPr>
              <w:jc w:val="right"/>
              <w:rPr>
                <w:rFonts w:ascii="Calibri" w:hAnsi="Calibri" w:cs="Calibri"/>
                <w:color w:val="000000"/>
              </w:rPr>
            </w:pPr>
            <w:r>
              <w:rPr>
                <w:rFonts w:ascii="Calibri" w:hAnsi="Calibri" w:cs="Calibri"/>
                <w:color w:val="000000"/>
              </w:rPr>
              <w:t>71.0</w:t>
            </w:r>
          </w:p>
        </w:tc>
        <w:tc>
          <w:tcPr>
            <w:tcW w:w="352" w:type="pct"/>
            <w:tcBorders>
              <w:top w:val="nil"/>
              <w:left w:val="single" w:sz="4" w:space="0" w:color="auto"/>
              <w:bottom w:val="single" w:sz="4" w:space="0" w:color="auto"/>
              <w:right w:val="single" w:sz="4" w:space="0" w:color="auto"/>
            </w:tcBorders>
            <w:shd w:val="clear" w:color="auto" w:fill="auto"/>
            <w:vAlign w:val="bottom"/>
          </w:tcPr>
          <w:p w14:paraId="788F698A" w14:textId="77777777" w:rsidR="00937546" w:rsidRDefault="00937546" w:rsidP="00447817">
            <w:pPr>
              <w:jc w:val="right"/>
              <w:rPr>
                <w:rFonts w:ascii="Calibri" w:hAnsi="Calibri" w:cs="Calibri"/>
                <w:color w:val="000000"/>
              </w:rPr>
            </w:pPr>
            <w:r>
              <w:rPr>
                <w:rFonts w:ascii="Calibri" w:hAnsi="Calibri" w:cs="Calibri"/>
                <w:color w:val="000000"/>
              </w:rPr>
              <w:t>8.3</w:t>
            </w:r>
          </w:p>
        </w:tc>
        <w:tc>
          <w:tcPr>
            <w:tcW w:w="274" w:type="pct"/>
            <w:tcBorders>
              <w:top w:val="nil"/>
              <w:left w:val="single" w:sz="4" w:space="0" w:color="auto"/>
              <w:bottom w:val="single" w:sz="4" w:space="0" w:color="auto"/>
              <w:right w:val="single" w:sz="4" w:space="0" w:color="auto"/>
            </w:tcBorders>
            <w:shd w:val="clear" w:color="auto" w:fill="auto"/>
            <w:vAlign w:val="bottom"/>
          </w:tcPr>
          <w:p w14:paraId="30D0C014" w14:textId="77777777" w:rsidR="00937546" w:rsidRDefault="00937546" w:rsidP="00447817">
            <w:pPr>
              <w:jc w:val="right"/>
              <w:rPr>
                <w:rFonts w:ascii="Calibri" w:hAnsi="Calibri" w:cs="Calibri"/>
                <w:color w:val="000000"/>
              </w:rPr>
            </w:pPr>
            <w:r>
              <w:rPr>
                <w:rFonts w:ascii="Calibri" w:hAnsi="Calibri" w:cs="Calibri"/>
                <w:color w:val="000000"/>
              </w:rPr>
              <w:t>1.0</w:t>
            </w:r>
          </w:p>
        </w:tc>
        <w:tc>
          <w:tcPr>
            <w:tcW w:w="274" w:type="pct"/>
            <w:tcBorders>
              <w:top w:val="nil"/>
              <w:left w:val="single" w:sz="4" w:space="0" w:color="auto"/>
              <w:bottom w:val="single" w:sz="4" w:space="0" w:color="auto"/>
              <w:right w:val="single" w:sz="4" w:space="0" w:color="auto"/>
            </w:tcBorders>
            <w:shd w:val="clear" w:color="auto" w:fill="auto"/>
            <w:vAlign w:val="bottom"/>
          </w:tcPr>
          <w:p w14:paraId="53659D4D" w14:textId="77777777" w:rsidR="00937546" w:rsidRDefault="00937546" w:rsidP="00447817">
            <w:pPr>
              <w:jc w:val="right"/>
              <w:rPr>
                <w:rFonts w:ascii="Calibri" w:hAnsi="Calibri" w:cs="Calibri"/>
                <w:color w:val="000000"/>
              </w:rPr>
            </w:pPr>
            <w:r>
              <w:rPr>
                <w:rFonts w:ascii="Calibri" w:hAnsi="Calibri" w:cs="Calibri"/>
                <w:color w:val="000000"/>
              </w:rPr>
              <w:t>7.3</w:t>
            </w:r>
          </w:p>
        </w:tc>
        <w:tc>
          <w:tcPr>
            <w:tcW w:w="234" w:type="pct"/>
            <w:tcBorders>
              <w:top w:val="nil"/>
              <w:left w:val="single" w:sz="4" w:space="0" w:color="auto"/>
              <w:bottom w:val="single" w:sz="4" w:space="0" w:color="auto"/>
              <w:right w:val="single" w:sz="4" w:space="0" w:color="auto"/>
            </w:tcBorders>
            <w:shd w:val="clear" w:color="auto" w:fill="auto"/>
            <w:vAlign w:val="bottom"/>
          </w:tcPr>
          <w:p w14:paraId="7C506B3C" w14:textId="77777777" w:rsidR="00937546" w:rsidRDefault="00937546" w:rsidP="00447817">
            <w:pPr>
              <w:jc w:val="right"/>
              <w:rPr>
                <w:rFonts w:ascii="Calibri" w:hAnsi="Calibri" w:cs="Calibri"/>
                <w:color w:val="000000"/>
              </w:rPr>
            </w:pPr>
            <w:r>
              <w:rPr>
                <w:rFonts w:ascii="Calibri" w:hAnsi="Calibri" w:cs="Calibri"/>
                <w:color w:val="000000"/>
              </w:rPr>
              <w:t>2805.0</w:t>
            </w:r>
          </w:p>
        </w:tc>
        <w:tc>
          <w:tcPr>
            <w:tcW w:w="313" w:type="pct"/>
            <w:tcBorders>
              <w:top w:val="nil"/>
              <w:left w:val="single" w:sz="4" w:space="0" w:color="auto"/>
              <w:bottom w:val="single" w:sz="4" w:space="0" w:color="auto"/>
              <w:right w:val="single" w:sz="4" w:space="0" w:color="auto"/>
            </w:tcBorders>
            <w:shd w:val="clear" w:color="auto" w:fill="auto"/>
            <w:vAlign w:val="bottom"/>
          </w:tcPr>
          <w:p w14:paraId="342EDBF4" w14:textId="77777777" w:rsidR="00937546" w:rsidRDefault="00937546" w:rsidP="00447817">
            <w:pPr>
              <w:jc w:val="right"/>
              <w:rPr>
                <w:rFonts w:ascii="Calibri" w:hAnsi="Calibri" w:cs="Calibri"/>
                <w:color w:val="000000"/>
              </w:rPr>
            </w:pPr>
            <w:r>
              <w:rPr>
                <w:rFonts w:ascii="Calibri" w:hAnsi="Calibri" w:cs="Calibri"/>
                <w:color w:val="000000"/>
              </w:rPr>
              <w:t>716.6</w:t>
            </w:r>
          </w:p>
        </w:tc>
        <w:tc>
          <w:tcPr>
            <w:tcW w:w="272" w:type="pct"/>
            <w:tcBorders>
              <w:top w:val="nil"/>
              <w:left w:val="single" w:sz="4" w:space="0" w:color="auto"/>
              <w:bottom w:val="single" w:sz="4" w:space="0" w:color="auto"/>
              <w:right w:val="single" w:sz="4" w:space="0" w:color="auto"/>
            </w:tcBorders>
            <w:shd w:val="clear" w:color="auto" w:fill="auto"/>
            <w:vAlign w:val="bottom"/>
          </w:tcPr>
          <w:p w14:paraId="04B8DC90" w14:textId="77777777" w:rsidR="00937546" w:rsidRDefault="00937546" w:rsidP="00447817">
            <w:pPr>
              <w:jc w:val="right"/>
              <w:rPr>
                <w:rFonts w:ascii="Calibri" w:hAnsi="Calibri" w:cs="Calibri"/>
                <w:color w:val="000000"/>
              </w:rPr>
            </w:pPr>
            <w:r>
              <w:rPr>
                <w:rFonts w:ascii="Calibri" w:hAnsi="Calibri" w:cs="Calibri"/>
                <w:color w:val="000000"/>
              </w:rPr>
              <w:t>2088.4</w:t>
            </w:r>
          </w:p>
        </w:tc>
        <w:tc>
          <w:tcPr>
            <w:tcW w:w="272" w:type="pct"/>
            <w:tcBorders>
              <w:top w:val="nil"/>
              <w:left w:val="single" w:sz="4" w:space="0" w:color="auto"/>
              <w:bottom w:val="single" w:sz="4" w:space="0" w:color="auto"/>
              <w:right w:val="single" w:sz="4" w:space="0" w:color="auto"/>
            </w:tcBorders>
            <w:shd w:val="clear" w:color="auto" w:fill="auto"/>
            <w:vAlign w:val="bottom"/>
          </w:tcPr>
          <w:p w14:paraId="42F22746" w14:textId="77777777" w:rsidR="00937546" w:rsidRDefault="00937546" w:rsidP="00447817">
            <w:pPr>
              <w:jc w:val="right"/>
              <w:rPr>
                <w:rFonts w:ascii="Calibri" w:hAnsi="Calibri" w:cs="Calibri"/>
                <w:color w:val="000000"/>
              </w:rPr>
            </w:pPr>
            <w:r>
              <w:rPr>
                <w:rFonts w:ascii="Calibri" w:hAnsi="Calibri" w:cs="Calibri"/>
                <w:color w:val="000000"/>
              </w:rPr>
              <w:t>3236.6</w:t>
            </w:r>
          </w:p>
        </w:tc>
        <w:tc>
          <w:tcPr>
            <w:tcW w:w="272" w:type="pct"/>
            <w:tcBorders>
              <w:top w:val="nil"/>
              <w:left w:val="single" w:sz="4" w:space="0" w:color="auto"/>
              <w:bottom w:val="single" w:sz="4" w:space="0" w:color="auto"/>
              <w:right w:val="single" w:sz="4" w:space="0" w:color="auto"/>
            </w:tcBorders>
            <w:shd w:val="clear" w:color="auto" w:fill="auto"/>
            <w:vAlign w:val="bottom"/>
          </w:tcPr>
          <w:p w14:paraId="5ED993A7" w14:textId="77777777" w:rsidR="00937546" w:rsidRDefault="00937546" w:rsidP="00447817">
            <w:pPr>
              <w:jc w:val="right"/>
              <w:rPr>
                <w:rFonts w:ascii="Calibri" w:hAnsi="Calibri" w:cs="Calibri"/>
                <w:color w:val="000000"/>
              </w:rPr>
            </w:pPr>
            <w:r>
              <w:rPr>
                <w:rFonts w:ascii="Calibri" w:hAnsi="Calibri" w:cs="Calibri"/>
                <w:color w:val="000000"/>
              </w:rPr>
              <w:t>588.9</w:t>
            </w:r>
          </w:p>
        </w:tc>
        <w:tc>
          <w:tcPr>
            <w:tcW w:w="269" w:type="pct"/>
            <w:tcBorders>
              <w:top w:val="nil"/>
              <w:left w:val="nil"/>
              <w:bottom w:val="single" w:sz="4" w:space="0" w:color="auto"/>
              <w:right w:val="single" w:sz="4" w:space="0" w:color="auto"/>
            </w:tcBorders>
            <w:shd w:val="clear" w:color="auto" w:fill="auto"/>
            <w:vAlign w:val="bottom"/>
          </w:tcPr>
          <w:p w14:paraId="5C0244BC" w14:textId="77777777" w:rsidR="00937546" w:rsidRDefault="00937546" w:rsidP="00447817">
            <w:pPr>
              <w:jc w:val="right"/>
              <w:rPr>
                <w:rFonts w:ascii="Calibri" w:hAnsi="Calibri" w:cs="Calibri"/>
                <w:color w:val="000000"/>
              </w:rPr>
            </w:pPr>
            <w:r>
              <w:rPr>
                <w:rFonts w:ascii="Calibri" w:hAnsi="Calibri" w:cs="Calibri"/>
                <w:color w:val="000000"/>
              </w:rPr>
              <w:t>2647.7</w:t>
            </w:r>
          </w:p>
        </w:tc>
      </w:tr>
      <w:tr w:rsidR="008B5959" w:rsidRPr="00E91A88" w14:paraId="6F1C363B" w14:textId="77777777" w:rsidTr="00447817">
        <w:trPr>
          <w:trHeight w:val="251"/>
        </w:trPr>
        <w:tc>
          <w:tcPr>
            <w:tcW w:w="747" w:type="pct"/>
            <w:noWrap/>
            <w:vAlign w:val="bottom"/>
            <w:hideMark/>
          </w:tcPr>
          <w:p w14:paraId="363A5DFE" w14:textId="77777777" w:rsidR="00937546" w:rsidRDefault="00937546" w:rsidP="00447817">
            <w:pPr>
              <w:rPr>
                <w:rFonts w:ascii="Calibri" w:hAnsi="Calibri" w:cs="Calibri"/>
                <w:color w:val="000000"/>
              </w:rPr>
            </w:pPr>
            <w:r>
              <w:rPr>
                <w:rFonts w:ascii="Calibri" w:hAnsi="Calibri" w:cs="Calibri"/>
                <w:color w:val="000000"/>
              </w:rPr>
              <w:t>KANCHEEPURAM</w:t>
            </w:r>
          </w:p>
        </w:tc>
        <w:tc>
          <w:tcPr>
            <w:tcW w:w="311" w:type="pct"/>
            <w:tcBorders>
              <w:top w:val="nil"/>
              <w:left w:val="single" w:sz="4" w:space="0" w:color="auto"/>
              <w:bottom w:val="single" w:sz="4" w:space="0" w:color="auto"/>
              <w:right w:val="single" w:sz="4" w:space="0" w:color="auto"/>
            </w:tcBorders>
            <w:shd w:val="clear" w:color="auto" w:fill="auto"/>
            <w:vAlign w:val="bottom"/>
          </w:tcPr>
          <w:p w14:paraId="783499A2" w14:textId="77777777" w:rsidR="00937546" w:rsidRDefault="00937546" w:rsidP="00447817">
            <w:pPr>
              <w:jc w:val="right"/>
              <w:rPr>
                <w:rFonts w:ascii="Calibri" w:hAnsi="Calibri" w:cs="Calibri"/>
                <w:color w:val="000000"/>
              </w:rPr>
            </w:pPr>
            <w:r>
              <w:rPr>
                <w:rFonts w:ascii="Calibri" w:hAnsi="Calibri" w:cs="Calibri"/>
                <w:color w:val="000000"/>
              </w:rPr>
              <w:t>0.979</w:t>
            </w:r>
          </w:p>
        </w:tc>
        <w:tc>
          <w:tcPr>
            <w:tcW w:w="391" w:type="pct"/>
            <w:tcBorders>
              <w:top w:val="nil"/>
              <w:left w:val="nil"/>
              <w:bottom w:val="single" w:sz="4" w:space="0" w:color="auto"/>
              <w:right w:val="single" w:sz="4" w:space="0" w:color="auto"/>
            </w:tcBorders>
            <w:shd w:val="clear" w:color="auto" w:fill="auto"/>
            <w:vAlign w:val="bottom"/>
          </w:tcPr>
          <w:p w14:paraId="14F6DD2E" w14:textId="77777777" w:rsidR="00937546" w:rsidRDefault="00937546" w:rsidP="00447817">
            <w:pPr>
              <w:jc w:val="right"/>
              <w:rPr>
                <w:rFonts w:ascii="Calibri" w:hAnsi="Calibri" w:cs="Calibri"/>
                <w:color w:val="000000"/>
              </w:rPr>
            </w:pPr>
            <w:r>
              <w:rPr>
                <w:rFonts w:ascii="Calibri" w:hAnsi="Calibri" w:cs="Calibri"/>
                <w:color w:val="000000"/>
              </w:rPr>
              <w:t>0.804</w:t>
            </w:r>
          </w:p>
        </w:tc>
        <w:tc>
          <w:tcPr>
            <w:tcW w:w="353" w:type="pct"/>
            <w:tcBorders>
              <w:top w:val="nil"/>
              <w:left w:val="nil"/>
              <w:bottom w:val="single" w:sz="4" w:space="0" w:color="auto"/>
              <w:right w:val="single" w:sz="4" w:space="0" w:color="auto"/>
            </w:tcBorders>
            <w:shd w:val="clear" w:color="auto" w:fill="auto"/>
            <w:vAlign w:val="bottom"/>
          </w:tcPr>
          <w:p w14:paraId="5D8FF4F7" w14:textId="77777777" w:rsidR="00937546" w:rsidRDefault="00937546" w:rsidP="00447817">
            <w:pPr>
              <w:jc w:val="right"/>
              <w:rPr>
                <w:rFonts w:ascii="Calibri" w:hAnsi="Calibri" w:cs="Calibri"/>
                <w:color w:val="000000"/>
              </w:rPr>
            </w:pPr>
            <w:r>
              <w:rPr>
                <w:rFonts w:ascii="Calibri" w:hAnsi="Calibri" w:cs="Calibri"/>
                <w:color w:val="000000"/>
              </w:rPr>
              <w:t>0.767</w:t>
            </w:r>
          </w:p>
        </w:tc>
        <w:tc>
          <w:tcPr>
            <w:tcW w:w="313" w:type="pct"/>
            <w:tcBorders>
              <w:top w:val="nil"/>
              <w:left w:val="nil"/>
              <w:bottom w:val="single" w:sz="4" w:space="0" w:color="auto"/>
              <w:right w:val="single" w:sz="4" w:space="0" w:color="auto"/>
            </w:tcBorders>
            <w:shd w:val="clear" w:color="auto" w:fill="auto"/>
            <w:vAlign w:val="bottom"/>
          </w:tcPr>
          <w:p w14:paraId="76B59DF7" w14:textId="77777777" w:rsidR="00937546" w:rsidRDefault="00937546" w:rsidP="00447817">
            <w:pPr>
              <w:jc w:val="right"/>
              <w:rPr>
                <w:rFonts w:ascii="Calibri" w:hAnsi="Calibri" w:cs="Calibri"/>
                <w:color w:val="000000"/>
              </w:rPr>
            </w:pPr>
            <w:r>
              <w:rPr>
                <w:rFonts w:ascii="Calibri" w:hAnsi="Calibri" w:cs="Calibri"/>
                <w:color w:val="000000"/>
              </w:rPr>
              <w:t>0.845</w:t>
            </w:r>
          </w:p>
        </w:tc>
        <w:tc>
          <w:tcPr>
            <w:tcW w:w="353" w:type="pct"/>
            <w:tcBorders>
              <w:top w:val="nil"/>
              <w:left w:val="single" w:sz="4" w:space="0" w:color="auto"/>
              <w:bottom w:val="single" w:sz="4" w:space="0" w:color="auto"/>
              <w:right w:val="single" w:sz="4" w:space="0" w:color="auto"/>
            </w:tcBorders>
            <w:shd w:val="clear" w:color="auto" w:fill="auto"/>
            <w:vAlign w:val="bottom"/>
          </w:tcPr>
          <w:p w14:paraId="3079FEB3" w14:textId="77777777" w:rsidR="00937546" w:rsidRDefault="00937546" w:rsidP="00447817">
            <w:pPr>
              <w:jc w:val="right"/>
              <w:rPr>
                <w:rFonts w:ascii="Calibri" w:hAnsi="Calibri" w:cs="Calibri"/>
                <w:color w:val="000000"/>
              </w:rPr>
            </w:pPr>
            <w:r>
              <w:rPr>
                <w:rFonts w:ascii="Calibri" w:hAnsi="Calibri" w:cs="Calibri"/>
                <w:color w:val="000000"/>
              </w:rPr>
              <w:t>47.8</w:t>
            </w:r>
          </w:p>
        </w:tc>
        <w:tc>
          <w:tcPr>
            <w:tcW w:w="352" w:type="pct"/>
            <w:tcBorders>
              <w:top w:val="nil"/>
              <w:left w:val="single" w:sz="4" w:space="0" w:color="auto"/>
              <w:bottom w:val="single" w:sz="4" w:space="0" w:color="auto"/>
              <w:right w:val="single" w:sz="4" w:space="0" w:color="auto"/>
            </w:tcBorders>
            <w:shd w:val="clear" w:color="auto" w:fill="auto"/>
            <w:vAlign w:val="bottom"/>
          </w:tcPr>
          <w:p w14:paraId="532CD724" w14:textId="77777777" w:rsidR="00937546" w:rsidRDefault="00937546" w:rsidP="00447817">
            <w:pPr>
              <w:jc w:val="right"/>
              <w:rPr>
                <w:rFonts w:ascii="Calibri" w:hAnsi="Calibri" w:cs="Calibri"/>
                <w:color w:val="000000"/>
              </w:rPr>
            </w:pPr>
            <w:r>
              <w:rPr>
                <w:rFonts w:ascii="Calibri" w:hAnsi="Calibri" w:cs="Calibri"/>
                <w:color w:val="000000"/>
              </w:rPr>
              <w:t>6.9</w:t>
            </w:r>
          </w:p>
        </w:tc>
        <w:tc>
          <w:tcPr>
            <w:tcW w:w="274" w:type="pct"/>
            <w:tcBorders>
              <w:top w:val="nil"/>
              <w:left w:val="single" w:sz="4" w:space="0" w:color="auto"/>
              <w:bottom w:val="single" w:sz="4" w:space="0" w:color="auto"/>
              <w:right w:val="single" w:sz="4" w:space="0" w:color="auto"/>
            </w:tcBorders>
            <w:shd w:val="clear" w:color="auto" w:fill="auto"/>
            <w:vAlign w:val="bottom"/>
          </w:tcPr>
          <w:p w14:paraId="7A46702B" w14:textId="77777777" w:rsidR="00937546" w:rsidRDefault="00937546" w:rsidP="00447817">
            <w:pPr>
              <w:jc w:val="right"/>
              <w:rPr>
                <w:rFonts w:ascii="Calibri" w:hAnsi="Calibri" w:cs="Calibri"/>
                <w:color w:val="000000"/>
              </w:rPr>
            </w:pPr>
            <w:r>
              <w:rPr>
                <w:rFonts w:ascii="Calibri" w:hAnsi="Calibri" w:cs="Calibri"/>
                <w:color w:val="000000"/>
              </w:rPr>
              <w:t>1.0</w:t>
            </w:r>
          </w:p>
        </w:tc>
        <w:tc>
          <w:tcPr>
            <w:tcW w:w="274" w:type="pct"/>
            <w:tcBorders>
              <w:top w:val="nil"/>
              <w:left w:val="single" w:sz="4" w:space="0" w:color="auto"/>
              <w:bottom w:val="single" w:sz="4" w:space="0" w:color="auto"/>
              <w:right w:val="single" w:sz="4" w:space="0" w:color="auto"/>
            </w:tcBorders>
            <w:shd w:val="clear" w:color="auto" w:fill="auto"/>
            <w:vAlign w:val="bottom"/>
          </w:tcPr>
          <w:p w14:paraId="7B4A17A1" w14:textId="77777777" w:rsidR="00937546" w:rsidRDefault="00937546" w:rsidP="00447817">
            <w:pPr>
              <w:jc w:val="right"/>
              <w:rPr>
                <w:rFonts w:ascii="Calibri" w:hAnsi="Calibri" w:cs="Calibri"/>
                <w:color w:val="000000"/>
              </w:rPr>
            </w:pPr>
            <w:r>
              <w:rPr>
                <w:rFonts w:ascii="Calibri" w:hAnsi="Calibri" w:cs="Calibri"/>
                <w:color w:val="000000"/>
              </w:rPr>
              <w:t>5.9</w:t>
            </w:r>
          </w:p>
        </w:tc>
        <w:tc>
          <w:tcPr>
            <w:tcW w:w="234" w:type="pct"/>
            <w:tcBorders>
              <w:top w:val="nil"/>
              <w:left w:val="single" w:sz="4" w:space="0" w:color="auto"/>
              <w:bottom w:val="single" w:sz="4" w:space="0" w:color="auto"/>
              <w:right w:val="single" w:sz="4" w:space="0" w:color="auto"/>
            </w:tcBorders>
            <w:shd w:val="clear" w:color="auto" w:fill="auto"/>
            <w:vAlign w:val="bottom"/>
          </w:tcPr>
          <w:p w14:paraId="64797EFC" w14:textId="77777777" w:rsidR="00937546" w:rsidRDefault="00937546" w:rsidP="00447817">
            <w:pPr>
              <w:jc w:val="right"/>
              <w:rPr>
                <w:rFonts w:ascii="Calibri" w:hAnsi="Calibri" w:cs="Calibri"/>
                <w:color w:val="000000"/>
              </w:rPr>
            </w:pPr>
            <w:r>
              <w:rPr>
                <w:rFonts w:ascii="Calibri" w:hAnsi="Calibri" w:cs="Calibri"/>
                <w:color w:val="000000"/>
              </w:rPr>
              <w:t>4548.2</w:t>
            </w:r>
          </w:p>
        </w:tc>
        <w:tc>
          <w:tcPr>
            <w:tcW w:w="313" w:type="pct"/>
            <w:tcBorders>
              <w:top w:val="nil"/>
              <w:left w:val="single" w:sz="4" w:space="0" w:color="auto"/>
              <w:bottom w:val="single" w:sz="4" w:space="0" w:color="auto"/>
              <w:right w:val="single" w:sz="4" w:space="0" w:color="auto"/>
            </w:tcBorders>
            <w:shd w:val="clear" w:color="auto" w:fill="auto"/>
            <w:vAlign w:val="bottom"/>
          </w:tcPr>
          <w:p w14:paraId="2409815C" w14:textId="77777777" w:rsidR="00937546" w:rsidRDefault="00937546" w:rsidP="00447817">
            <w:pPr>
              <w:jc w:val="right"/>
              <w:rPr>
                <w:rFonts w:ascii="Calibri" w:hAnsi="Calibri" w:cs="Calibri"/>
                <w:color w:val="000000"/>
              </w:rPr>
            </w:pPr>
            <w:r>
              <w:rPr>
                <w:rFonts w:ascii="Calibri" w:hAnsi="Calibri" w:cs="Calibri"/>
                <w:color w:val="000000"/>
              </w:rPr>
              <w:t>2254.3</w:t>
            </w:r>
          </w:p>
        </w:tc>
        <w:tc>
          <w:tcPr>
            <w:tcW w:w="272" w:type="pct"/>
            <w:tcBorders>
              <w:top w:val="nil"/>
              <w:left w:val="single" w:sz="4" w:space="0" w:color="auto"/>
              <w:bottom w:val="single" w:sz="4" w:space="0" w:color="auto"/>
              <w:right w:val="single" w:sz="4" w:space="0" w:color="auto"/>
            </w:tcBorders>
            <w:shd w:val="clear" w:color="auto" w:fill="auto"/>
            <w:vAlign w:val="bottom"/>
          </w:tcPr>
          <w:p w14:paraId="1BB46AE9" w14:textId="77777777" w:rsidR="00937546" w:rsidRDefault="00937546" w:rsidP="00447817">
            <w:pPr>
              <w:jc w:val="right"/>
              <w:rPr>
                <w:rFonts w:ascii="Calibri" w:hAnsi="Calibri" w:cs="Calibri"/>
                <w:color w:val="000000"/>
              </w:rPr>
            </w:pPr>
            <w:r>
              <w:rPr>
                <w:rFonts w:ascii="Calibri" w:hAnsi="Calibri" w:cs="Calibri"/>
                <w:color w:val="000000"/>
              </w:rPr>
              <w:t>2293.9</w:t>
            </w:r>
          </w:p>
        </w:tc>
        <w:tc>
          <w:tcPr>
            <w:tcW w:w="272" w:type="pct"/>
            <w:tcBorders>
              <w:top w:val="nil"/>
              <w:left w:val="single" w:sz="4" w:space="0" w:color="auto"/>
              <w:bottom w:val="single" w:sz="4" w:space="0" w:color="auto"/>
              <w:right w:val="single" w:sz="4" w:space="0" w:color="auto"/>
            </w:tcBorders>
            <w:shd w:val="clear" w:color="auto" w:fill="auto"/>
            <w:vAlign w:val="bottom"/>
          </w:tcPr>
          <w:p w14:paraId="737620DE" w14:textId="77777777" w:rsidR="00937546" w:rsidRDefault="00937546" w:rsidP="00447817">
            <w:pPr>
              <w:jc w:val="right"/>
              <w:rPr>
                <w:rFonts w:ascii="Calibri" w:hAnsi="Calibri" w:cs="Calibri"/>
                <w:color w:val="000000"/>
              </w:rPr>
            </w:pPr>
            <w:r>
              <w:rPr>
                <w:rFonts w:ascii="Calibri" w:hAnsi="Calibri" w:cs="Calibri"/>
                <w:color w:val="000000"/>
              </w:rPr>
              <w:t>5080.3</w:t>
            </w:r>
          </w:p>
        </w:tc>
        <w:tc>
          <w:tcPr>
            <w:tcW w:w="272" w:type="pct"/>
            <w:tcBorders>
              <w:top w:val="nil"/>
              <w:left w:val="single" w:sz="4" w:space="0" w:color="auto"/>
              <w:bottom w:val="single" w:sz="4" w:space="0" w:color="auto"/>
              <w:right w:val="single" w:sz="4" w:space="0" w:color="auto"/>
            </w:tcBorders>
            <w:shd w:val="clear" w:color="auto" w:fill="auto"/>
            <w:vAlign w:val="bottom"/>
          </w:tcPr>
          <w:p w14:paraId="15D7D5A5" w14:textId="77777777" w:rsidR="00937546" w:rsidRDefault="00937546" w:rsidP="00447817">
            <w:pPr>
              <w:jc w:val="right"/>
              <w:rPr>
                <w:rFonts w:ascii="Calibri" w:hAnsi="Calibri" w:cs="Calibri"/>
                <w:color w:val="000000"/>
              </w:rPr>
            </w:pPr>
            <w:r>
              <w:rPr>
                <w:rFonts w:ascii="Calibri" w:hAnsi="Calibri" w:cs="Calibri"/>
                <w:color w:val="000000"/>
              </w:rPr>
              <w:t>1469.1</w:t>
            </w:r>
          </w:p>
        </w:tc>
        <w:tc>
          <w:tcPr>
            <w:tcW w:w="269" w:type="pct"/>
            <w:tcBorders>
              <w:top w:val="nil"/>
              <w:left w:val="nil"/>
              <w:bottom w:val="single" w:sz="4" w:space="0" w:color="auto"/>
              <w:right w:val="single" w:sz="4" w:space="0" w:color="auto"/>
            </w:tcBorders>
            <w:shd w:val="clear" w:color="auto" w:fill="auto"/>
            <w:vAlign w:val="bottom"/>
          </w:tcPr>
          <w:p w14:paraId="142BCB20" w14:textId="77777777" w:rsidR="00937546" w:rsidRDefault="00937546" w:rsidP="00447817">
            <w:pPr>
              <w:jc w:val="right"/>
              <w:rPr>
                <w:rFonts w:ascii="Calibri" w:hAnsi="Calibri" w:cs="Calibri"/>
                <w:color w:val="000000"/>
              </w:rPr>
            </w:pPr>
            <w:r>
              <w:rPr>
                <w:rFonts w:ascii="Calibri" w:hAnsi="Calibri" w:cs="Calibri"/>
                <w:color w:val="000000"/>
              </w:rPr>
              <w:t>3611.2</w:t>
            </w:r>
          </w:p>
        </w:tc>
      </w:tr>
      <w:tr w:rsidR="008B5959" w:rsidRPr="00E91A88" w14:paraId="20786ADF" w14:textId="77777777" w:rsidTr="00447817">
        <w:trPr>
          <w:trHeight w:val="251"/>
        </w:trPr>
        <w:tc>
          <w:tcPr>
            <w:tcW w:w="747" w:type="pct"/>
            <w:noWrap/>
            <w:vAlign w:val="bottom"/>
            <w:hideMark/>
          </w:tcPr>
          <w:p w14:paraId="28596AB3" w14:textId="77777777" w:rsidR="00937546" w:rsidRDefault="00937546" w:rsidP="00447817">
            <w:pPr>
              <w:rPr>
                <w:rFonts w:ascii="Calibri" w:hAnsi="Calibri" w:cs="Calibri"/>
                <w:color w:val="000000"/>
              </w:rPr>
            </w:pPr>
            <w:r>
              <w:rPr>
                <w:rFonts w:ascii="Calibri" w:hAnsi="Calibri" w:cs="Calibri"/>
                <w:color w:val="000000"/>
              </w:rPr>
              <w:t>KANYAKUMARI</w:t>
            </w:r>
          </w:p>
        </w:tc>
        <w:tc>
          <w:tcPr>
            <w:tcW w:w="311" w:type="pct"/>
            <w:tcBorders>
              <w:top w:val="nil"/>
              <w:left w:val="single" w:sz="4" w:space="0" w:color="auto"/>
              <w:bottom w:val="single" w:sz="4" w:space="0" w:color="auto"/>
              <w:right w:val="single" w:sz="4" w:space="0" w:color="auto"/>
            </w:tcBorders>
            <w:shd w:val="clear" w:color="auto" w:fill="auto"/>
            <w:vAlign w:val="bottom"/>
          </w:tcPr>
          <w:p w14:paraId="095F12D9" w14:textId="77777777" w:rsidR="00937546" w:rsidRDefault="00937546" w:rsidP="00447817">
            <w:pPr>
              <w:jc w:val="right"/>
              <w:rPr>
                <w:rFonts w:ascii="Calibri" w:hAnsi="Calibri" w:cs="Calibri"/>
                <w:color w:val="000000"/>
              </w:rPr>
            </w:pPr>
            <w:r>
              <w:rPr>
                <w:rFonts w:ascii="Calibri" w:hAnsi="Calibri" w:cs="Calibri"/>
                <w:color w:val="000000"/>
              </w:rPr>
              <w:t>1</w:t>
            </w:r>
          </w:p>
        </w:tc>
        <w:tc>
          <w:tcPr>
            <w:tcW w:w="391" w:type="pct"/>
            <w:tcBorders>
              <w:top w:val="nil"/>
              <w:left w:val="nil"/>
              <w:bottom w:val="single" w:sz="4" w:space="0" w:color="auto"/>
              <w:right w:val="single" w:sz="4" w:space="0" w:color="auto"/>
            </w:tcBorders>
            <w:shd w:val="clear" w:color="auto" w:fill="auto"/>
            <w:vAlign w:val="bottom"/>
          </w:tcPr>
          <w:p w14:paraId="1F62BCB1" w14:textId="77777777" w:rsidR="00937546" w:rsidRDefault="00937546" w:rsidP="00447817">
            <w:pPr>
              <w:jc w:val="right"/>
              <w:rPr>
                <w:rFonts w:ascii="Calibri" w:hAnsi="Calibri" w:cs="Calibri"/>
                <w:color w:val="000000"/>
              </w:rPr>
            </w:pPr>
            <w:r>
              <w:rPr>
                <w:rFonts w:ascii="Calibri" w:hAnsi="Calibri" w:cs="Calibri"/>
                <w:color w:val="000000"/>
              </w:rPr>
              <w:t>0.948</w:t>
            </w:r>
          </w:p>
        </w:tc>
        <w:tc>
          <w:tcPr>
            <w:tcW w:w="353" w:type="pct"/>
            <w:tcBorders>
              <w:top w:val="nil"/>
              <w:left w:val="nil"/>
              <w:bottom w:val="single" w:sz="4" w:space="0" w:color="auto"/>
              <w:right w:val="single" w:sz="4" w:space="0" w:color="auto"/>
            </w:tcBorders>
            <w:shd w:val="clear" w:color="auto" w:fill="auto"/>
            <w:vAlign w:val="bottom"/>
          </w:tcPr>
          <w:p w14:paraId="29ED8C12" w14:textId="77777777" w:rsidR="00937546" w:rsidRDefault="00937546" w:rsidP="00447817">
            <w:pPr>
              <w:jc w:val="right"/>
              <w:rPr>
                <w:rFonts w:ascii="Calibri" w:hAnsi="Calibri" w:cs="Calibri"/>
                <w:color w:val="000000"/>
              </w:rPr>
            </w:pPr>
            <w:r>
              <w:rPr>
                <w:rFonts w:ascii="Calibri" w:hAnsi="Calibri" w:cs="Calibri"/>
                <w:color w:val="000000"/>
              </w:rPr>
              <w:t>0.886</w:t>
            </w:r>
          </w:p>
        </w:tc>
        <w:tc>
          <w:tcPr>
            <w:tcW w:w="313" w:type="pct"/>
            <w:tcBorders>
              <w:top w:val="nil"/>
              <w:left w:val="nil"/>
              <w:bottom w:val="single" w:sz="4" w:space="0" w:color="auto"/>
              <w:right w:val="single" w:sz="4" w:space="0" w:color="auto"/>
            </w:tcBorders>
            <w:shd w:val="clear" w:color="auto" w:fill="auto"/>
            <w:vAlign w:val="bottom"/>
          </w:tcPr>
          <w:p w14:paraId="19236A1B" w14:textId="77777777" w:rsidR="00937546" w:rsidRDefault="00937546" w:rsidP="00447817">
            <w:pPr>
              <w:jc w:val="right"/>
              <w:rPr>
                <w:rFonts w:ascii="Calibri" w:hAnsi="Calibri" w:cs="Calibri"/>
                <w:color w:val="000000"/>
              </w:rPr>
            </w:pPr>
            <w:r>
              <w:rPr>
                <w:rFonts w:ascii="Calibri" w:hAnsi="Calibri" w:cs="Calibri"/>
                <w:color w:val="000000"/>
              </w:rPr>
              <w:t>0.944</w:t>
            </w:r>
          </w:p>
        </w:tc>
        <w:tc>
          <w:tcPr>
            <w:tcW w:w="353" w:type="pct"/>
            <w:tcBorders>
              <w:top w:val="nil"/>
              <w:left w:val="single" w:sz="4" w:space="0" w:color="auto"/>
              <w:bottom w:val="single" w:sz="4" w:space="0" w:color="auto"/>
              <w:right w:val="single" w:sz="4" w:space="0" w:color="auto"/>
            </w:tcBorders>
            <w:shd w:val="clear" w:color="auto" w:fill="auto"/>
            <w:vAlign w:val="bottom"/>
          </w:tcPr>
          <w:p w14:paraId="7EAA3FEF" w14:textId="77777777" w:rsidR="00937546" w:rsidRDefault="00937546" w:rsidP="00447817">
            <w:pPr>
              <w:jc w:val="right"/>
              <w:rPr>
                <w:rFonts w:ascii="Calibri" w:hAnsi="Calibri" w:cs="Calibri"/>
                <w:color w:val="000000"/>
              </w:rPr>
            </w:pPr>
            <w:r>
              <w:rPr>
                <w:rFonts w:ascii="Calibri" w:hAnsi="Calibri" w:cs="Calibri"/>
                <w:color w:val="000000"/>
              </w:rPr>
              <w:t>58.7</w:t>
            </w:r>
          </w:p>
        </w:tc>
        <w:tc>
          <w:tcPr>
            <w:tcW w:w="352" w:type="pct"/>
            <w:tcBorders>
              <w:top w:val="nil"/>
              <w:left w:val="single" w:sz="4" w:space="0" w:color="auto"/>
              <w:bottom w:val="single" w:sz="4" w:space="0" w:color="auto"/>
              <w:right w:val="single" w:sz="4" w:space="0" w:color="auto"/>
            </w:tcBorders>
            <w:shd w:val="clear" w:color="auto" w:fill="auto"/>
            <w:vAlign w:val="bottom"/>
          </w:tcPr>
          <w:p w14:paraId="6463A184" w14:textId="77777777" w:rsidR="00937546" w:rsidRDefault="00937546" w:rsidP="00447817">
            <w:pPr>
              <w:jc w:val="right"/>
              <w:rPr>
                <w:rFonts w:ascii="Calibri" w:hAnsi="Calibri" w:cs="Calibri"/>
                <w:color w:val="000000"/>
              </w:rPr>
            </w:pPr>
            <w:r>
              <w:rPr>
                <w:rFonts w:ascii="Calibri" w:hAnsi="Calibri" w:cs="Calibri"/>
                <w:color w:val="000000"/>
              </w:rPr>
              <w:t>8.6</w:t>
            </w:r>
          </w:p>
        </w:tc>
        <w:tc>
          <w:tcPr>
            <w:tcW w:w="274" w:type="pct"/>
            <w:tcBorders>
              <w:top w:val="nil"/>
              <w:left w:val="single" w:sz="4" w:space="0" w:color="auto"/>
              <w:bottom w:val="single" w:sz="4" w:space="0" w:color="auto"/>
              <w:right w:val="single" w:sz="4" w:space="0" w:color="auto"/>
            </w:tcBorders>
            <w:shd w:val="clear" w:color="auto" w:fill="auto"/>
            <w:vAlign w:val="bottom"/>
          </w:tcPr>
          <w:p w14:paraId="5D384228" w14:textId="77777777" w:rsidR="00937546" w:rsidRDefault="00937546" w:rsidP="00447817">
            <w:pPr>
              <w:jc w:val="right"/>
              <w:rPr>
                <w:rFonts w:ascii="Calibri" w:hAnsi="Calibri" w:cs="Calibri"/>
                <w:color w:val="000000"/>
              </w:rPr>
            </w:pPr>
            <w:r>
              <w:rPr>
                <w:rFonts w:ascii="Calibri" w:hAnsi="Calibri" w:cs="Calibri"/>
                <w:color w:val="000000"/>
              </w:rPr>
              <w:t>1.2</w:t>
            </w:r>
          </w:p>
        </w:tc>
        <w:tc>
          <w:tcPr>
            <w:tcW w:w="274" w:type="pct"/>
            <w:tcBorders>
              <w:top w:val="nil"/>
              <w:left w:val="single" w:sz="4" w:space="0" w:color="auto"/>
              <w:bottom w:val="single" w:sz="4" w:space="0" w:color="auto"/>
              <w:right w:val="single" w:sz="4" w:space="0" w:color="auto"/>
            </w:tcBorders>
            <w:shd w:val="clear" w:color="auto" w:fill="auto"/>
            <w:vAlign w:val="bottom"/>
          </w:tcPr>
          <w:p w14:paraId="524EE660" w14:textId="77777777" w:rsidR="00937546" w:rsidRDefault="00937546" w:rsidP="00447817">
            <w:pPr>
              <w:jc w:val="right"/>
              <w:rPr>
                <w:rFonts w:ascii="Calibri" w:hAnsi="Calibri" w:cs="Calibri"/>
                <w:color w:val="000000"/>
              </w:rPr>
            </w:pPr>
            <w:r>
              <w:rPr>
                <w:rFonts w:ascii="Calibri" w:hAnsi="Calibri" w:cs="Calibri"/>
                <w:color w:val="000000"/>
              </w:rPr>
              <w:t>7.4</w:t>
            </w:r>
          </w:p>
        </w:tc>
        <w:tc>
          <w:tcPr>
            <w:tcW w:w="234" w:type="pct"/>
            <w:tcBorders>
              <w:top w:val="nil"/>
              <w:left w:val="single" w:sz="4" w:space="0" w:color="auto"/>
              <w:bottom w:val="single" w:sz="4" w:space="0" w:color="auto"/>
              <w:right w:val="single" w:sz="4" w:space="0" w:color="auto"/>
            </w:tcBorders>
            <w:shd w:val="clear" w:color="auto" w:fill="auto"/>
            <w:vAlign w:val="bottom"/>
          </w:tcPr>
          <w:p w14:paraId="37E8D5A8" w14:textId="77777777" w:rsidR="00937546" w:rsidRDefault="00937546" w:rsidP="00447817">
            <w:pPr>
              <w:jc w:val="right"/>
              <w:rPr>
                <w:rFonts w:ascii="Calibri" w:hAnsi="Calibri" w:cs="Calibri"/>
                <w:color w:val="000000"/>
              </w:rPr>
            </w:pPr>
            <w:r>
              <w:rPr>
                <w:rFonts w:ascii="Calibri" w:hAnsi="Calibri" w:cs="Calibri"/>
                <w:color w:val="000000"/>
              </w:rPr>
              <w:t>4621.5</w:t>
            </w:r>
          </w:p>
        </w:tc>
        <w:tc>
          <w:tcPr>
            <w:tcW w:w="313" w:type="pct"/>
            <w:tcBorders>
              <w:top w:val="nil"/>
              <w:left w:val="single" w:sz="4" w:space="0" w:color="auto"/>
              <w:bottom w:val="single" w:sz="4" w:space="0" w:color="auto"/>
              <w:right w:val="single" w:sz="4" w:space="0" w:color="auto"/>
            </w:tcBorders>
            <w:shd w:val="clear" w:color="auto" w:fill="auto"/>
            <w:vAlign w:val="bottom"/>
          </w:tcPr>
          <w:p w14:paraId="7A594D44" w14:textId="77777777" w:rsidR="00937546" w:rsidRDefault="00937546" w:rsidP="00447817">
            <w:pPr>
              <w:jc w:val="right"/>
              <w:rPr>
                <w:rFonts w:ascii="Calibri" w:hAnsi="Calibri" w:cs="Calibri"/>
                <w:color w:val="000000"/>
              </w:rPr>
            </w:pPr>
            <w:r>
              <w:rPr>
                <w:rFonts w:ascii="Calibri" w:hAnsi="Calibri" w:cs="Calibri"/>
                <w:color w:val="000000"/>
              </w:rPr>
              <w:t>1881.4</w:t>
            </w:r>
          </w:p>
        </w:tc>
        <w:tc>
          <w:tcPr>
            <w:tcW w:w="272" w:type="pct"/>
            <w:tcBorders>
              <w:top w:val="nil"/>
              <w:left w:val="single" w:sz="4" w:space="0" w:color="auto"/>
              <w:bottom w:val="single" w:sz="4" w:space="0" w:color="auto"/>
              <w:right w:val="single" w:sz="4" w:space="0" w:color="auto"/>
            </w:tcBorders>
            <w:shd w:val="clear" w:color="auto" w:fill="auto"/>
            <w:vAlign w:val="bottom"/>
          </w:tcPr>
          <w:p w14:paraId="4EF63598" w14:textId="77777777" w:rsidR="00937546" w:rsidRDefault="00937546" w:rsidP="00447817">
            <w:pPr>
              <w:jc w:val="right"/>
              <w:rPr>
                <w:rFonts w:ascii="Calibri" w:hAnsi="Calibri" w:cs="Calibri"/>
                <w:color w:val="000000"/>
              </w:rPr>
            </w:pPr>
            <w:r>
              <w:rPr>
                <w:rFonts w:ascii="Calibri" w:hAnsi="Calibri" w:cs="Calibri"/>
                <w:color w:val="000000"/>
              </w:rPr>
              <w:t>2740.1</w:t>
            </w:r>
          </w:p>
        </w:tc>
        <w:tc>
          <w:tcPr>
            <w:tcW w:w="272" w:type="pct"/>
            <w:tcBorders>
              <w:top w:val="nil"/>
              <w:left w:val="single" w:sz="4" w:space="0" w:color="auto"/>
              <w:bottom w:val="single" w:sz="4" w:space="0" w:color="auto"/>
              <w:right w:val="single" w:sz="4" w:space="0" w:color="auto"/>
            </w:tcBorders>
            <w:shd w:val="clear" w:color="auto" w:fill="auto"/>
            <w:vAlign w:val="bottom"/>
          </w:tcPr>
          <w:p w14:paraId="5672E6DA" w14:textId="77777777" w:rsidR="00937546" w:rsidRDefault="00937546" w:rsidP="00447817">
            <w:pPr>
              <w:jc w:val="right"/>
              <w:rPr>
                <w:rFonts w:ascii="Calibri" w:hAnsi="Calibri" w:cs="Calibri"/>
                <w:color w:val="000000"/>
              </w:rPr>
            </w:pPr>
            <w:r>
              <w:rPr>
                <w:rFonts w:ascii="Calibri" w:hAnsi="Calibri" w:cs="Calibri"/>
                <w:color w:val="000000"/>
              </w:rPr>
              <w:t>5286.6</w:t>
            </w:r>
          </w:p>
        </w:tc>
        <w:tc>
          <w:tcPr>
            <w:tcW w:w="272" w:type="pct"/>
            <w:tcBorders>
              <w:top w:val="nil"/>
              <w:left w:val="single" w:sz="4" w:space="0" w:color="auto"/>
              <w:bottom w:val="single" w:sz="4" w:space="0" w:color="auto"/>
              <w:right w:val="single" w:sz="4" w:space="0" w:color="auto"/>
            </w:tcBorders>
            <w:shd w:val="clear" w:color="auto" w:fill="auto"/>
            <w:vAlign w:val="bottom"/>
          </w:tcPr>
          <w:p w14:paraId="110F22D9" w14:textId="77777777" w:rsidR="00937546" w:rsidRDefault="00937546" w:rsidP="00447817">
            <w:pPr>
              <w:jc w:val="right"/>
              <w:rPr>
                <w:rFonts w:ascii="Calibri" w:hAnsi="Calibri" w:cs="Calibri"/>
                <w:color w:val="000000"/>
              </w:rPr>
            </w:pPr>
            <w:r>
              <w:rPr>
                <w:rFonts w:ascii="Calibri" w:hAnsi="Calibri" w:cs="Calibri"/>
                <w:color w:val="000000"/>
              </w:rPr>
              <w:t>1933.0</w:t>
            </w:r>
          </w:p>
        </w:tc>
        <w:tc>
          <w:tcPr>
            <w:tcW w:w="269" w:type="pct"/>
            <w:tcBorders>
              <w:top w:val="nil"/>
              <w:left w:val="nil"/>
              <w:bottom w:val="single" w:sz="4" w:space="0" w:color="auto"/>
              <w:right w:val="single" w:sz="4" w:space="0" w:color="auto"/>
            </w:tcBorders>
            <w:shd w:val="clear" w:color="auto" w:fill="auto"/>
            <w:vAlign w:val="bottom"/>
          </w:tcPr>
          <w:p w14:paraId="0CB896A8" w14:textId="77777777" w:rsidR="00937546" w:rsidRDefault="00937546" w:rsidP="00447817">
            <w:pPr>
              <w:jc w:val="right"/>
              <w:rPr>
                <w:rFonts w:ascii="Calibri" w:hAnsi="Calibri" w:cs="Calibri"/>
                <w:color w:val="000000"/>
              </w:rPr>
            </w:pPr>
            <w:r>
              <w:rPr>
                <w:rFonts w:ascii="Calibri" w:hAnsi="Calibri" w:cs="Calibri"/>
                <w:color w:val="000000"/>
              </w:rPr>
              <w:t>3353.6</w:t>
            </w:r>
          </w:p>
        </w:tc>
      </w:tr>
      <w:tr w:rsidR="008B5959" w:rsidRPr="00E91A88" w14:paraId="1450D97A" w14:textId="77777777" w:rsidTr="00447817">
        <w:trPr>
          <w:trHeight w:val="251"/>
        </w:trPr>
        <w:tc>
          <w:tcPr>
            <w:tcW w:w="747" w:type="pct"/>
            <w:noWrap/>
            <w:vAlign w:val="bottom"/>
            <w:hideMark/>
          </w:tcPr>
          <w:p w14:paraId="46A8BD8F" w14:textId="77777777" w:rsidR="00937546" w:rsidRDefault="00937546" w:rsidP="00447817">
            <w:pPr>
              <w:rPr>
                <w:rFonts w:ascii="Calibri" w:hAnsi="Calibri" w:cs="Calibri"/>
                <w:color w:val="000000"/>
              </w:rPr>
            </w:pPr>
            <w:r>
              <w:rPr>
                <w:rFonts w:ascii="Calibri" w:hAnsi="Calibri" w:cs="Calibri"/>
                <w:color w:val="000000"/>
              </w:rPr>
              <w:t>KARUR</w:t>
            </w:r>
          </w:p>
        </w:tc>
        <w:tc>
          <w:tcPr>
            <w:tcW w:w="311" w:type="pct"/>
            <w:tcBorders>
              <w:top w:val="nil"/>
              <w:left w:val="single" w:sz="4" w:space="0" w:color="auto"/>
              <w:bottom w:val="single" w:sz="4" w:space="0" w:color="auto"/>
              <w:right w:val="single" w:sz="4" w:space="0" w:color="auto"/>
            </w:tcBorders>
            <w:shd w:val="clear" w:color="auto" w:fill="auto"/>
            <w:vAlign w:val="bottom"/>
          </w:tcPr>
          <w:p w14:paraId="527CFAE7" w14:textId="77777777" w:rsidR="00937546" w:rsidRDefault="00937546" w:rsidP="00447817">
            <w:pPr>
              <w:jc w:val="right"/>
              <w:rPr>
                <w:rFonts w:ascii="Calibri" w:hAnsi="Calibri" w:cs="Calibri"/>
                <w:color w:val="000000"/>
              </w:rPr>
            </w:pPr>
            <w:r>
              <w:rPr>
                <w:rFonts w:ascii="Calibri" w:hAnsi="Calibri" w:cs="Calibri"/>
                <w:color w:val="000000"/>
              </w:rPr>
              <w:t>0.829</w:t>
            </w:r>
          </w:p>
        </w:tc>
        <w:tc>
          <w:tcPr>
            <w:tcW w:w="391" w:type="pct"/>
            <w:tcBorders>
              <w:top w:val="nil"/>
              <w:left w:val="nil"/>
              <w:bottom w:val="single" w:sz="4" w:space="0" w:color="auto"/>
              <w:right w:val="single" w:sz="4" w:space="0" w:color="auto"/>
            </w:tcBorders>
            <w:shd w:val="clear" w:color="auto" w:fill="auto"/>
            <w:vAlign w:val="bottom"/>
          </w:tcPr>
          <w:p w14:paraId="1FB25599" w14:textId="77777777" w:rsidR="00937546" w:rsidRDefault="00937546" w:rsidP="00447817">
            <w:pPr>
              <w:jc w:val="right"/>
              <w:rPr>
                <w:rFonts w:ascii="Calibri" w:hAnsi="Calibri" w:cs="Calibri"/>
                <w:color w:val="000000"/>
              </w:rPr>
            </w:pPr>
            <w:r>
              <w:rPr>
                <w:rFonts w:ascii="Calibri" w:hAnsi="Calibri" w:cs="Calibri"/>
                <w:color w:val="000000"/>
              </w:rPr>
              <w:t>0.601</w:t>
            </w:r>
          </w:p>
        </w:tc>
        <w:tc>
          <w:tcPr>
            <w:tcW w:w="353" w:type="pct"/>
            <w:tcBorders>
              <w:top w:val="nil"/>
              <w:left w:val="nil"/>
              <w:bottom w:val="single" w:sz="4" w:space="0" w:color="auto"/>
              <w:right w:val="single" w:sz="4" w:space="0" w:color="auto"/>
            </w:tcBorders>
            <w:shd w:val="clear" w:color="auto" w:fill="auto"/>
            <w:vAlign w:val="bottom"/>
          </w:tcPr>
          <w:p w14:paraId="178A94B8" w14:textId="77777777" w:rsidR="00937546" w:rsidRDefault="00937546" w:rsidP="00447817">
            <w:pPr>
              <w:jc w:val="right"/>
              <w:rPr>
                <w:rFonts w:ascii="Calibri" w:hAnsi="Calibri" w:cs="Calibri"/>
                <w:color w:val="000000"/>
              </w:rPr>
            </w:pPr>
            <w:r>
              <w:rPr>
                <w:rFonts w:ascii="Calibri" w:hAnsi="Calibri" w:cs="Calibri"/>
                <w:color w:val="000000"/>
              </w:rPr>
              <w:t>0.598</w:t>
            </w:r>
          </w:p>
        </w:tc>
        <w:tc>
          <w:tcPr>
            <w:tcW w:w="313" w:type="pct"/>
            <w:tcBorders>
              <w:top w:val="nil"/>
              <w:left w:val="nil"/>
              <w:bottom w:val="single" w:sz="4" w:space="0" w:color="auto"/>
              <w:right w:val="single" w:sz="4" w:space="0" w:color="auto"/>
            </w:tcBorders>
            <w:shd w:val="clear" w:color="auto" w:fill="auto"/>
            <w:vAlign w:val="bottom"/>
          </w:tcPr>
          <w:p w14:paraId="3A780AEB" w14:textId="77777777" w:rsidR="00937546" w:rsidRDefault="00937546" w:rsidP="00447817">
            <w:pPr>
              <w:jc w:val="right"/>
              <w:rPr>
                <w:rFonts w:ascii="Calibri" w:hAnsi="Calibri" w:cs="Calibri"/>
                <w:color w:val="000000"/>
              </w:rPr>
            </w:pPr>
            <w:r>
              <w:rPr>
                <w:rFonts w:ascii="Calibri" w:hAnsi="Calibri" w:cs="Calibri"/>
                <w:color w:val="000000"/>
              </w:rPr>
              <w:t>0.668</w:t>
            </w:r>
          </w:p>
        </w:tc>
        <w:tc>
          <w:tcPr>
            <w:tcW w:w="353" w:type="pct"/>
            <w:tcBorders>
              <w:top w:val="nil"/>
              <w:left w:val="single" w:sz="4" w:space="0" w:color="auto"/>
              <w:bottom w:val="single" w:sz="4" w:space="0" w:color="auto"/>
              <w:right w:val="single" w:sz="4" w:space="0" w:color="auto"/>
            </w:tcBorders>
            <w:shd w:val="clear" w:color="auto" w:fill="auto"/>
            <w:vAlign w:val="bottom"/>
          </w:tcPr>
          <w:p w14:paraId="2A47BC6E" w14:textId="77777777" w:rsidR="00937546" w:rsidRDefault="00937546" w:rsidP="00447817">
            <w:pPr>
              <w:jc w:val="right"/>
              <w:rPr>
                <w:rFonts w:ascii="Calibri" w:hAnsi="Calibri" w:cs="Calibri"/>
                <w:color w:val="000000"/>
              </w:rPr>
            </w:pPr>
            <w:r>
              <w:rPr>
                <w:rFonts w:ascii="Calibri" w:hAnsi="Calibri" w:cs="Calibri"/>
                <w:color w:val="000000"/>
              </w:rPr>
              <w:t>67.9</w:t>
            </w:r>
          </w:p>
        </w:tc>
        <w:tc>
          <w:tcPr>
            <w:tcW w:w="352" w:type="pct"/>
            <w:tcBorders>
              <w:top w:val="nil"/>
              <w:left w:val="single" w:sz="4" w:space="0" w:color="auto"/>
              <w:bottom w:val="single" w:sz="4" w:space="0" w:color="auto"/>
              <w:right w:val="single" w:sz="4" w:space="0" w:color="auto"/>
            </w:tcBorders>
            <w:shd w:val="clear" w:color="auto" w:fill="auto"/>
            <w:vAlign w:val="bottom"/>
          </w:tcPr>
          <w:p w14:paraId="1D148062" w14:textId="77777777" w:rsidR="00937546" w:rsidRDefault="00937546" w:rsidP="00447817">
            <w:pPr>
              <w:jc w:val="right"/>
              <w:rPr>
                <w:rFonts w:ascii="Calibri" w:hAnsi="Calibri" w:cs="Calibri"/>
                <w:color w:val="000000"/>
              </w:rPr>
            </w:pPr>
            <w:r>
              <w:rPr>
                <w:rFonts w:ascii="Calibri" w:hAnsi="Calibri" w:cs="Calibri"/>
                <w:color w:val="000000"/>
              </w:rPr>
              <w:t>5.6</w:t>
            </w:r>
          </w:p>
        </w:tc>
        <w:tc>
          <w:tcPr>
            <w:tcW w:w="274" w:type="pct"/>
            <w:tcBorders>
              <w:top w:val="nil"/>
              <w:left w:val="single" w:sz="4" w:space="0" w:color="auto"/>
              <w:bottom w:val="single" w:sz="4" w:space="0" w:color="auto"/>
              <w:right w:val="single" w:sz="4" w:space="0" w:color="auto"/>
            </w:tcBorders>
            <w:shd w:val="clear" w:color="auto" w:fill="auto"/>
            <w:vAlign w:val="bottom"/>
          </w:tcPr>
          <w:p w14:paraId="368E00D3" w14:textId="77777777" w:rsidR="00937546" w:rsidRDefault="00937546" w:rsidP="00447817">
            <w:pPr>
              <w:jc w:val="right"/>
              <w:rPr>
                <w:rFonts w:ascii="Calibri" w:hAnsi="Calibri" w:cs="Calibri"/>
                <w:color w:val="000000"/>
              </w:rPr>
            </w:pPr>
            <w:r>
              <w:rPr>
                <w:rFonts w:ascii="Calibri" w:hAnsi="Calibri" w:cs="Calibri"/>
                <w:color w:val="000000"/>
              </w:rPr>
              <w:t>1.5</w:t>
            </w:r>
          </w:p>
        </w:tc>
        <w:tc>
          <w:tcPr>
            <w:tcW w:w="274" w:type="pct"/>
            <w:tcBorders>
              <w:top w:val="nil"/>
              <w:left w:val="single" w:sz="4" w:space="0" w:color="auto"/>
              <w:bottom w:val="single" w:sz="4" w:space="0" w:color="auto"/>
              <w:right w:val="single" w:sz="4" w:space="0" w:color="auto"/>
            </w:tcBorders>
            <w:shd w:val="clear" w:color="auto" w:fill="auto"/>
            <w:vAlign w:val="bottom"/>
          </w:tcPr>
          <w:p w14:paraId="00C27499" w14:textId="77777777" w:rsidR="00937546" w:rsidRDefault="00937546" w:rsidP="00447817">
            <w:pPr>
              <w:jc w:val="right"/>
              <w:rPr>
                <w:rFonts w:ascii="Calibri" w:hAnsi="Calibri" w:cs="Calibri"/>
                <w:color w:val="000000"/>
              </w:rPr>
            </w:pPr>
            <w:r>
              <w:rPr>
                <w:rFonts w:ascii="Calibri" w:hAnsi="Calibri" w:cs="Calibri"/>
                <w:color w:val="000000"/>
              </w:rPr>
              <w:t>4.1</w:t>
            </w:r>
          </w:p>
        </w:tc>
        <w:tc>
          <w:tcPr>
            <w:tcW w:w="234" w:type="pct"/>
            <w:tcBorders>
              <w:top w:val="nil"/>
              <w:left w:val="single" w:sz="4" w:space="0" w:color="auto"/>
              <w:bottom w:val="single" w:sz="4" w:space="0" w:color="auto"/>
              <w:right w:val="single" w:sz="4" w:space="0" w:color="auto"/>
            </w:tcBorders>
            <w:shd w:val="clear" w:color="auto" w:fill="auto"/>
            <w:vAlign w:val="bottom"/>
          </w:tcPr>
          <w:p w14:paraId="3EFFD22C" w14:textId="77777777" w:rsidR="00937546" w:rsidRDefault="00937546" w:rsidP="00447817">
            <w:pPr>
              <w:jc w:val="right"/>
              <w:rPr>
                <w:rFonts w:ascii="Calibri" w:hAnsi="Calibri" w:cs="Calibri"/>
                <w:color w:val="000000"/>
              </w:rPr>
            </w:pPr>
            <w:r>
              <w:rPr>
                <w:rFonts w:ascii="Calibri" w:hAnsi="Calibri" w:cs="Calibri"/>
                <w:color w:val="000000"/>
              </w:rPr>
              <w:t>2754.6</w:t>
            </w:r>
          </w:p>
        </w:tc>
        <w:tc>
          <w:tcPr>
            <w:tcW w:w="313" w:type="pct"/>
            <w:tcBorders>
              <w:top w:val="nil"/>
              <w:left w:val="single" w:sz="4" w:space="0" w:color="auto"/>
              <w:bottom w:val="single" w:sz="4" w:space="0" w:color="auto"/>
              <w:right w:val="single" w:sz="4" w:space="0" w:color="auto"/>
            </w:tcBorders>
            <w:shd w:val="clear" w:color="auto" w:fill="auto"/>
            <w:vAlign w:val="bottom"/>
          </w:tcPr>
          <w:p w14:paraId="772EAB7D" w14:textId="77777777" w:rsidR="00937546" w:rsidRDefault="00937546" w:rsidP="00447817">
            <w:pPr>
              <w:jc w:val="right"/>
              <w:rPr>
                <w:rFonts w:ascii="Calibri" w:hAnsi="Calibri" w:cs="Calibri"/>
                <w:color w:val="000000"/>
              </w:rPr>
            </w:pPr>
            <w:r>
              <w:rPr>
                <w:rFonts w:ascii="Calibri" w:hAnsi="Calibri" w:cs="Calibri"/>
                <w:color w:val="000000"/>
              </w:rPr>
              <w:t>1071.8</w:t>
            </w:r>
          </w:p>
        </w:tc>
        <w:tc>
          <w:tcPr>
            <w:tcW w:w="272" w:type="pct"/>
            <w:tcBorders>
              <w:top w:val="nil"/>
              <w:left w:val="single" w:sz="4" w:space="0" w:color="auto"/>
              <w:bottom w:val="single" w:sz="4" w:space="0" w:color="auto"/>
              <w:right w:val="single" w:sz="4" w:space="0" w:color="auto"/>
            </w:tcBorders>
            <w:shd w:val="clear" w:color="auto" w:fill="auto"/>
            <w:vAlign w:val="bottom"/>
          </w:tcPr>
          <w:p w14:paraId="5475C6FB" w14:textId="77777777" w:rsidR="00937546" w:rsidRDefault="00937546" w:rsidP="00447817">
            <w:pPr>
              <w:jc w:val="right"/>
              <w:rPr>
                <w:rFonts w:ascii="Calibri" w:hAnsi="Calibri" w:cs="Calibri"/>
                <w:color w:val="000000"/>
              </w:rPr>
            </w:pPr>
            <w:r>
              <w:rPr>
                <w:rFonts w:ascii="Calibri" w:hAnsi="Calibri" w:cs="Calibri"/>
                <w:color w:val="000000"/>
              </w:rPr>
              <w:t>1682.9</w:t>
            </w:r>
          </w:p>
        </w:tc>
        <w:tc>
          <w:tcPr>
            <w:tcW w:w="272" w:type="pct"/>
            <w:tcBorders>
              <w:top w:val="nil"/>
              <w:left w:val="single" w:sz="4" w:space="0" w:color="auto"/>
              <w:bottom w:val="single" w:sz="4" w:space="0" w:color="auto"/>
              <w:right w:val="single" w:sz="4" w:space="0" w:color="auto"/>
            </w:tcBorders>
            <w:shd w:val="clear" w:color="auto" w:fill="auto"/>
            <w:vAlign w:val="bottom"/>
          </w:tcPr>
          <w:p w14:paraId="455F6CAA" w14:textId="77777777" w:rsidR="00937546" w:rsidRDefault="00937546" w:rsidP="00447817">
            <w:pPr>
              <w:jc w:val="right"/>
              <w:rPr>
                <w:rFonts w:ascii="Calibri" w:hAnsi="Calibri" w:cs="Calibri"/>
                <w:color w:val="000000"/>
              </w:rPr>
            </w:pPr>
            <w:r>
              <w:rPr>
                <w:rFonts w:ascii="Calibri" w:hAnsi="Calibri" w:cs="Calibri"/>
                <w:color w:val="000000"/>
              </w:rPr>
              <w:t>1552.2</w:t>
            </w:r>
          </w:p>
        </w:tc>
        <w:tc>
          <w:tcPr>
            <w:tcW w:w="272" w:type="pct"/>
            <w:tcBorders>
              <w:top w:val="nil"/>
              <w:left w:val="single" w:sz="4" w:space="0" w:color="auto"/>
              <w:bottom w:val="single" w:sz="4" w:space="0" w:color="auto"/>
              <w:right w:val="single" w:sz="4" w:space="0" w:color="auto"/>
            </w:tcBorders>
            <w:shd w:val="clear" w:color="auto" w:fill="auto"/>
            <w:vAlign w:val="bottom"/>
          </w:tcPr>
          <w:p w14:paraId="78D89BA8" w14:textId="77777777" w:rsidR="00937546" w:rsidRDefault="00937546" w:rsidP="00447817">
            <w:pPr>
              <w:jc w:val="right"/>
              <w:rPr>
                <w:rFonts w:ascii="Calibri" w:hAnsi="Calibri" w:cs="Calibri"/>
                <w:color w:val="000000"/>
              </w:rPr>
            </w:pPr>
            <w:r>
              <w:rPr>
                <w:rFonts w:ascii="Calibri" w:hAnsi="Calibri" w:cs="Calibri"/>
                <w:color w:val="000000"/>
              </w:rPr>
              <w:t>677.2</w:t>
            </w:r>
          </w:p>
        </w:tc>
        <w:tc>
          <w:tcPr>
            <w:tcW w:w="269" w:type="pct"/>
            <w:tcBorders>
              <w:top w:val="nil"/>
              <w:left w:val="nil"/>
              <w:bottom w:val="single" w:sz="4" w:space="0" w:color="auto"/>
              <w:right w:val="single" w:sz="4" w:space="0" w:color="auto"/>
            </w:tcBorders>
            <w:shd w:val="clear" w:color="auto" w:fill="auto"/>
            <w:vAlign w:val="bottom"/>
          </w:tcPr>
          <w:p w14:paraId="28D87D6F" w14:textId="77777777" w:rsidR="00937546" w:rsidRDefault="00937546" w:rsidP="00447817">
            <w:pPr>
              <w:jc w:val="right"/>
              <w:rPr>
                <w:rFonts w:ascii="Calibri" w:hAnsi="Calibri" w:cs="Calibri"/>
                <w:color w:val="000000"/>
              </w:rPr>
            </w:pPr>
            <w:r>
              <w:rPr>
                <w:rFonts w:ascii="Calibri" w:hAnsi="Calibri" w:cs="Calibri"/>
                <w:color w:val="000000"/>
              </w:rPr>
              <w:t>875.0</w:t>
            </w:r>
          </w:p>
        </w:tc>
      </w:tr>
      <w:tr w:rsidR="008B5959" w:rsidRPr="00E91A88" w14:paraId="52D8C7A3" w14:textId="77777777" w:rsidTr="00447817">
        <w:trPr>
          <w:trHeight w:val="251"/>
        </w:trPr>
        <w:tc>
          <w:tcPr>
            <w:tcW w:w="747" w:type="pct"/>
            <w:noWrap/>
            <w:vAlign w:val="bottom"/>
            <w:hideMark/>
          </w:tcPr>
          <w:p w14:paraId="7CB3E21A" w14:textId="77777777" w:rsidR="00937546" w:rsidRDefault="00937546" w:rsidP="00447817">
            <w:pPr>
              <w:rPr>
                <w:rFonts w:ascii="Calibri" w:hAnsi="Calibri" w:cs="Calibri"/>
                <w:color w:val="000000"/>
              </w:rPr>
            </w:pPr>
            <w:r>
              <w:rPr>
                <w:rFonts w:ascii="Calibri" w:hAnsi="Calibri" w:cs="Calibri"/>
                <w:color w:val="000000"/>
              </w:rPr>
              <w:t>KRISHNAGIRI</w:t>
            </w:r>
          </w:p>
        </w:tc>
        <w:tc>
          <w:tcPr>
            <w:tcW w:w="311" w:type="pct"/>
            <w:tcBorders>
              <w:top w:val="nil"/>
              <w:left w:val="single" w:sz="4" w:space="0" w:color="auto"/>
              <w:bottom w:val="single" w:sz="4" w:space="0" w:color="auto"/>
              <w:right w:val="single" w:sz="4" w:space="0" w:color="auto"/>
            </w:tcBorders>
            <w:shd w:val="clear" w:color="auto" w:fill="auto"/>
            <w:vAlign w:val="bottom"/>
          </w:tcPr>
          <w:p w14:paraId="1BF5F5E9" w14:textId="77777777" w:rsidR="00937546" w:rsidRDefault="00937546" w:rsidP="00447817">
            <w:pPr>
              <w:jc w:val="right"/>
              <w:rPr>
                <w:rFonts w:ascii="Calibri" w:hAnsi="Calibri" w:cs="Calibri"/>
                <w:color w:val="000000"/>
              </w:rPr>
            </w:pPr>
            <w:r>
              <w:rPr>
                <w:rFonts w:ascii="Calibri" w:hAnsi="Calibri" w:cs="Calibri"/>
                <w:color w:val="000000"/>
              </w:rPr>
              <w:t>0.808</w:t>
            </w:r>
          </w:p>
        </w:tc>
        <w:tc>
          <w:tcPr>
            <w:tcW w:w="391" w:type="pct"/>
            <w:tcBorders>
              <w:top w:val="nil"/>
              <w:left w:val="nil"/>
              <w:bottom w:val="single" w:sz="4" w:space="0" w:color="auto"/>
              <w:right w:val="single" w:sz="4" w:space="0" w:color="auto"/>
            </w:tcBorders>
            <w:shd w:val="clear" w:color="auto" w:fill="auto"/>
            <w:vAlign w:val="bottom"/>
          </w:tcPr>
          <w:p w14:paraId="45E7A5DD" w14:textId="77777777" w:rsidR="00937546" w:rsidRDefault="00937546" w:rsidP="00447817">
            <w:pPr>
              <w:jc w:val="right"/>
              <w:rPr>
                <w:rFonts w:ascii="Calibri" w:hAnsi="Calibri" w:cs="Calibri"/>
                <w:color w:val="000000"/>
              </w:rPr>
            </w:pPr>
            <w:r>
              <w:rPr>
                <w:rFonts w:ascii="Calibri" w:hAnsi="Calibri" w:cs="Calibri"/>
                <w:color w:val="000000"/>
              </w:rPr>
              <w:t>0.879</w:t>
            </w:r>
          </w:p>
        </w:tc>
        <w:tc>
          <w:tcPr>
            <w:tcW w:w="353" w:type="pct"/>
            <w:tcBorders>
              <w:top w:val="nil"/>
              <w:left w:val="nil"/>
              <w:bottom w:val="single" w:sz="4" w:space="0" w:color="auto"/>
              <w:right w:val="single" w:sz="4" w:space="0" w:color="auto"/>
            </w:tcBorders>
            <w:shd w:val="clear" w:color="auto" w:fill="auto"/>
            <w:vAlign w:val="bottom"/>
          </w:tcPr>
          <w:p w14:paraId="62D2EE4B" w14:textId="77777777" w:rsidR="00937546" w:rsidRDefault="00937546" w:rsidP="00447817">
            <w:pPr>
              <w:jc w:val="right"/>
              <w:rPr>
                <w:rFonts w:ascii="Calibri" w:hAnsi="Calibri" w:cs="Calibri"/>
                <w:color w:val="000000"/>
              </w:rPr>
            </w:pPr>
            <w:r>
              <w:rPr>
                <w:rFonts w:ascii="Calibri" w:hAnsi="Calibri" w:cs="Calibri"/>
                <w:color w:val="000000"/>
              </w:rPr>
              <w:t>0.69</w:t>
            </w:r>
          </w:p>
        </w:tc>
        <w:tc>
          <w:tcPr>
            <w:tcW w:w="313" w:type="pct"/>
            <w:tcBorders>
              <w:top w:val="nil"/>
              <w:left w:val="nil"/>
              <w:bottom w:val="single" w:sz="4" w:space="0" w:color="auto"/>
              <w:right w:val="single" w:sz="4" w:space="0" w:color="auto"/>
            </w:tcBorders>
            <w:shd w:val="clear" w:color="auto" w:fill="auto"/>
            <w:vAlign w:val="bottom"/>
          </w:tcPr>
          <w:p w14:paraId="510C995F" w14:textId="77777777" w:rsidR="00937546" w:rsidRDefault="00937546" w:rsidP="00447817">
            <w:pPr>
              <w:jc w:val="right"/>
              <w:rPr>
                <w:rFonts w:ascii="Calibri" w:hAnsi="Calibri" w:cs="Calibri"/>
                <w:color w:val="000000"/>
              </w:rPr>
            </w:pPr>
            <w:r>
              <w:rPr>
                <w:rFonts w:ascii="Calibri" w:hAnsi="Calibri" w:cs="Calibri"/>
                <w:color w:val="000000"/>
              </w:rPr>
              <w:t>0.788</w:t>
            </w:r>
          </w:p>
        </w:tc>
        <w:tc>
          <w:tcPr>
            <w:tcW w:w="353" w:type="pct"/>
            <w:tcBorders>
              <w:top w:val="nil"/>
              <w:left w:val="single" w:sz="4" w:space="0" w:color="auto"/>
              <w:bottom w:val="single" w:sz="4" w:space="0" w:color="auto"/>
              <w:right w:val="single" w:sz="4" w:space="0" w:color="auto"/>
            </w:tcBorders>
            <w:shd w:val="clear" w:color="auto" w:fill="auto"/>
            <w:vAlign w:val="bottom"/>
          </w:tcPr>
          <w:p w14:paraId="6B64C174" w14:textId="77777777" w:rsidR="00937546" w:rsidRDefault="00937546" w:rsidP="00447817">
            <w:pPr>
              <w:jc w:val="right"/>
              <w:rPr>
                <w:rFonts w:ascii="Calibri" w:hAnsi="Calibri" w:cs="Calibri"/>
                <w:color w:val="000000"/>
              </w:rPr>
            </w:pPr>
            <w:r>
              <w:rPr>
                <w:rFonts w:ascii="Calibri" w:hAnsi="Calibri" w:cs="Calibri"/>
                <w:color w:val="000000"/>
              </w:rPr>
              <w:t>59.6</w:t>
            </w:r>
          </w:p>
        </w:tc>
        <w:tc>
          <w:tcPr>
            <w:tcW w:w="352" w:type="pct"/>
            <w:tcBorders>
              <w:top w:val="nil"/>
              <w:left w:val="single" w:sz="4" w:space="0" w:color="auto"/>
              <w:bottom w:val="single" w:sz="4" w:space="0" w:color="auto"/>
              <w:right w:val="single" w:sz="4" w:space="0" w:color="auto"/>
            </w:tcBorders>
            <w:shd w:val="clear" w:color="auto" w:fill="auto"/>
            <w:vAlign w:val="bottom"/>
          </w:tcPr>
          <w:p w14:paraId="135E6738" w14:textId="77777777" w:rsidR="00937546" w:rsidRDefault="00937546" w:rsidP="00447817">
            <w:pPr>
              <w:jc w:val="right"/>
              <w:rPr>
                <w:rFonts w:ascii="Calibri" w:hAnsi="Calibri" w:cs="Calibri"/>
                <w:color w:val="000000"/>
              </w:rPr>
            </w:pPr>
            <w:r>
              <w:rPr>
                <w:rFonts w:ascii="Calibri" w:hAnsi="Calibri" w:cs="Calibri"/>
                <w:color w:val="000000"/>
              </w:rPr>
              <w:t>4.3</w:t>
            </w:r>
          </w:p>
        </w:tc>
        <w:tc>
          <w:tcPr>
            <w:tcW w:w="274" w:type="pct"/>
            <w:tcBorders>
              <w:top w:val="nil"/>
              <w:left w:val="single" w:sz="4" w:space="0" w:color="auto"/>
              <w:bottom w:val="single" w:sz="4" w:space="0" w:color="auto"/>
              <w:right w:val="single" w:sz="4" w:space="0" w:color="auto"/>
            </w:tcBorders>
            <w:shd w:val="clear" w:color="auto" w:fill="auto"/>
            <w:vAlign w:val="bottom"/>
          </w:tcPr>
          <w:p w14:paraId="27AA8E5C" w14:textId="77777777" w:rsidR="00937546" w:rsidRDefault="00937546" w:rsidP="00447817">
            <w:pPr>
              <w:jc w:val="right"/>
              <w:rPr>
                <w:rFonts w:ascii="Calibri" w:hAnsi="Calibri" w:cs="Calibri"/>
                <w:color w:val="000000"/>
              </w:rPr>
            </w:pPr>
            <w:r>
              <w:rPr>
                <w:rFonts w:ascii="Calibri" w:hAnsi="Calibri" w:cs="Calibri"/>
                <w:color w:val="000000"/>
              </w:rPr>
              <w:t>1.0</w:t>
            </w:r>
          </w:p>
        </w:tc>
        <w:tc>
          <w:tcPr>
            <w:tcW w:w="274" w:type="pct"/>
            <w:tcBorders>
              <w:top w:val="nil"/>
              <w:left w:val="single" w:sz="4" w:space="0" w:color="auto"/>
              <w:bottom w:val="single" w:sz="4" w:space="0" w:color="auto"/>
              <w:right w:val="single" w:sz="4" w:space="0" w:color="auto"/>
            </w:tcBorders>
            <w:shd w:val="clear" w:color="auto" w:fill="auto"/>
            <w:vAlign w:val="bottom"/>
          </w:tcPr>
          <w:p w14:paraId="5524300B" w14:textId="77777777" w:rsidR="00937546" w:rsidRDefault="00937546" w:rsidP="00447817">
            <w:pPr>
              <w:jc w:val="right"/>
              <w:rPr>
                <w:rFonts w:ascii="Calibri" w:hAnsi="Calibri" w:cs="Calibri"/>
                <w:color w:val="000000"/>
              </w:rPr>
            </w:pPr>
            <w:r>
              <w:rPr>
                <w:rFonts w:ascii="Calibri" w:hAnsi="Calibri" w:cs="Calibri"/>
                <w:color w:val="000000"/>
              </w:rPr>
              <w:t>3.4</w:t>
            </w:r>
          </w:p>
        </w:tc>
        <w:tc>
          <w:tcPr>
            <w:tcW w:w="234" w:type="pct"/>
            <w:tcBorders>
              <w:top w:val="nil"/>
              <w:left w:val="single" w:sz="4" w:space="0" w:color="auto"/>
              <w:bottom w:val="single" w:sz="4" w:space="0" w:color="auto"/>
              <w:right w:val="single" w:sz="4" w:space="0" w:color="auto"/>
            </w:tcBorders>
            <w:shd w:val="clear" w:color="auto" w:fill="auto"/>
            <w:vAlign w:val="bottom"/>
          </w:tcPr>
          <w:p w14:paraId="685400EB" w14:textId="77777777" w:rsidR="00937546" w:rsidRDefault="00937546" w:rsidP="00447817">
            <w:pPr>
              <w:jc w:val="right"/>
              <w:rPr>
                <w:rFonts w:ascii="Calibri" w:hAnsi="Calibri" w:cs="Calibri"/>
                <w:color w:val="000000"/>
              </w:rPr>
            </w:pPr>
            <w:r>
              <w:rPr>
                <w:rFonts w:ascii="Calibri" w:hAnsi="Calibri" w:cs="Calibri"/>
                <w:color w:val="000000"/>
              </w:rPr>
              <w:t>2447.9</w:t>
            </w:r>
          </w:p>
        </w:tc>
        <w:tc>
          <w:tcPr>
            <w:tcW w:w="313" w:type="pct"/>
            <w:tcBorders>
              <w:top w:val="nil"/>
              <w:left w:val="single" w:sz="4" w:space="0" w:color="auto"/>
              <w:bottom w:val="single" w:sz="4" w:space="0" w:color="auto"/>
              <w:right w:val="single" w:sz="4" w:space="0" w:color="auto"/>
            </w:tcBorders>
            <w:shd w:val="clear" w:color="auto" w:fill="auto"/>
            <w:vAlign w:val="bottom"/>
          </w:tcPr>
          <w:p w14:paraId="79B418ED" w14:textId="77777777" w:rsidR="00937546" w:rsidRDefault="00937546" w:rsidP="00447817">
            <w:pPr>
              <w:jc w:val="right"/>
              <w:rPr>
                <w:rFonts w:ascii="Calibri" w:hAnsi="Calibri" w:cs="Calibri"/>
                <w:color w:val="000000"/>
              </w:rPr>
            </w:pPr>
            <w:r>
              <w:rPr>
                <w:rFonts w:ascii="Calibri" w:hAnsi="Calibri" w:cs="Calibri"/>
                <w:color w:val="000000"/>
              </w:rPr>
              <w:t>1184.1</w:t>
            </w:r>
          </w:p>
        </w:tc>
        <w:tc>
          <w:tcPr>
            <w:tcW w:w="272" w:type="pct"/>
            <w:tcBorders>
              <w:top w:val="nil"/>
              <w:left w:val="single" w:sz="4" w:space="0" w:color="auto"/>
              <w:bottom w:val="single" w:sz="4" w:space="0" w:color="auto"/>
              <w:right w:val="single" w:sz="4" w:space="0" w:color="auto"/>
            </w:tcBorders>
            <w:shd w:val="clear" w:color="auto" w:fill="auto"/>
            <w:vAlign w:val="bottom"/>
          </w:tcPr>
          <w:p w14:paraId="0D2D28F9" w14:textId="77777777" w:rsidR="00937546" w:rsidRDefault="00937546" w:rsidP="00447817">
            <w:pPr>
              <w:jc w:val="right"/>
              <w:rPr>
                <w:rFonts w:ascii="Calibri" w:hAnsi="Calibri" w:cs="Calibri"/>
                <w:color w:val="000000"/>
              </w:rPr>
            </w:pPr>
            <w:r>
              <w:rPr>
                <w:rFonts w:ascii="Calibri" w:hAnsi="Calibri" w:cs="Calibri"/>
                <w:color w:val="000000"/>
              </w:rPr>
              <w:t>1263.8</w:t>
            </w:r>
          </w:p>
        </w:tc>
        <w:tc>
          <w:tcPr>
            <w:tcW w:w="272" w:type="pct"/>
            <w:tcBorders>
              <w:top w:val="nil"/>
              <w:left w:val="single" w:sz="4" w:space="0" w:color="auto"/>
              <w:bottom w:val="single" w:sz="4" w:space="0" w:color="auto"/>
              <w:right w:val="single" w:sz="4" w:space="0" w:color="auto"/>
            </w:tcBorders>
            <w:shd w:val="clear" w:color="auto" w:fill="auto"/>
            <w:vAlign w:val="bottom"/>
          </w:tcPr>
          <w:p w14:paraId="18898917" w14:textId="77777777" w:rsidR="00937546" w:rsidRDefault="00937546" w:rsidP="00447817">
            <w:pPr>
              <w:jc w:val="right"/>
              <w:rPr>
                <w:rFonts w:ascii="Calibri" w:hAnsi="Calibri" w:cs="Calibri"/>
                <w:color w:val="000000"/>
              </w:rPr>
            </w:pPr>
            <w:r>
              <w:rPr>
                <w:rFonts w:ascii="Calibri" w:hAnsi="Calibri" w:cs="Calibri"/>
                <w:color w:val="000000"/>
              </w:rPr>
              <w:t>1443.9</w:t>
            </w:r>
          </w:p>
        </w:tc>
        <w:tc>
          <w:tcPr>
            <w:tcW w:w="272" w:type="pct"/>
            <w:tcBorders>
              <w:top w:val="nil"/>
              <w:left w:val="single" w:sz="4" w:space="0" w:color="auto"/>
              <w:bottom w:val="single" w:sz="4" w:space="0" w:color="auto"/>
              <w:right w:val="single" w:sz="4" w:space="0" w:color="auto"/>
            </w:tcBorders>
            <w:shd w:val="clear" w:color="auto" w:fill="auto"/>
            <w:vAlign w:val="bottom"/>
          </w:tcPr>
          <w:p w14:paraId="6F5CE668" w14:textId="77777777" w:rsidR="00937546" w:rsidRDefault="00937546" w:rsidP="00447817">
            <w:pPr>
              <w:jc w:val="right"/>
              <w:rPr>
                <w:rFonts w:ascii="Calibri" w:hAnsi="Calibri" w:cs="Calibri"/>
                <w:color w:val="000000"/>
              </w:rPr>
            </w:pPr>
            <w:r>
              <w:rPr>
                <w:rFonts w:ascii="Calibri" w:hAnsi="Calibri" w:cs="Calibri"/>
                <w:color w:val="000000"/>
              </w:rPr>
              <w:t>762.9</w:t>
            </w:r>
          </w:p>
        </w:tc>
        <w:tc>
          <w:tcPr>
            <w:tcW w:w="269" w:type="pct"/>
            <w:tcBorders>
              <w:top w:val="nil"/>
              <w:left w:val="nil"/>
              <w:bottom w:val="single" w:sz="4" w:space="0" w:color="auto"/>
              <w:right w:val="single" w:sz="4" w:space="0" w:color="auto"/>
            </w:tcBorders>
            <w:shd w:val="clear" w:color="auto" w:fill="auto"/>
            <w:vAlign w:val="bottom"/>
          </w:tcPr>
          <w:p w14:paraId="5A0026AE" w14:textId="77777777" w:rsidR="00937546" w:rsidRDefault="00937546" w:rsidP="00447817">
            <w:pPr>
              <w:jc w:val="right"/>
              <w:rPr>
                <w:rFonts w:ascii="Calibri" w:hAnsi="Calibri" w:cs="Calibri"/>
                <w:color w:val="000000"/>
              </w:rPr>
            </w:pPr>
            <w:r>
              <w:rPr>
                <w:rFonts w:ascii="Calibri" w:hAnsi="Calibri" w:cs="Calibri"/>
                <w:color w:val="000000"/>
              </w:rPr>
              <w:t>681.0</w:t>
            </w:r>
          </w:p>
        </w:tc>
      </w:tr>
      <w:tr w:rsidR="008B5959" w:rsidRPr="00E91A88" w14:paraId="76DBA83F" w14:textId="77777777" w:rsidTr="00447817">
        <w:trPr>
          <w:trHeight w:val="251"/>
        </w:trPr>
        <w:tc>
          <w:tcPr>
            <w:tcW w:w="747" w:type="pct"/>
            <w:noWrap/>
            <w:vAlign w:val="bottom"/>
            <w:hideMark/>
          </w:tcPr>
          <w:p w14:paraId="616F9DAB" w14:textId="77777777" w:rsidR="00937546" w:rsidRDefault="00937546" w:rsidP="00447817">
            <w:pPr>
              <w:rPr>
                <w:rFonts w:ascii="Calibri" w:hAnsi="Calibri" w:cs="Calibri"/>
                <w:color w:val="000000"/>
              </w:rPr>
            </w:pPr>
            <w:r>
              <w:rPr>
                <w:rFonts w:ascii="Calibri" w:hAnsi="Calibri" w:cs="Calibri"/>
                <w:color w:val="000000"/>
              </w:rPr>
              <w:t>MADURAI</w:t>
            </w:r>
          </w:p>
        </w:tc>
        <w:tc>
          <w:tcPr>
            <w:tcW w:w="311" w:type="pct"/>
            <w:tcBorders>
              <w:top w:val="nil"/>
              <w:left w:val="single" w:sz="4" w:space="0" w:color="auto"/>
              <w:bottom w:val="single" w:sz="4" w:space="0" w:color="auto"/>
              <w:right w:val="single" w:sz="4" w:space="0" w:color="auto"/>
            </w:tcBorders>
            <w:shd w:val="clear" w:color="auto" w:fill="auto"/>
            <w:vAlign w:val="bottom"/>
          </w:tcPr>
          <w:p w14:paraId="120080B7" w14:textId="77777777" w:rsidR="00937546" w:rsidRDefault="00937546" w:rsidP="00447817">
            <w:pPr>
              <w:jc w:val="right"/>
              <w:rPr>
                <w:rFonts w:ascii="Calibri" w:hAnsi="Calibri" w:cs="Calibri"/>
                <w:color w:val="000000"/>
              </w:rPr>
            </w:pPr>
            <w:r>
              <w:rPr>
                <w:rFonts w:ascii="Calibri" w:hAnsi="Calibri" w:cs="Calibri"/>
                <w:color w:val="000000"/>
              </w:rPr>
              <w:t>0.79</w:t>
            </w:r>
          </w:p>
        </w:tc>
        <w:tc>
          <w:tcPr>
            <w:tcW w:w="391" w:type="pct"/>
            <w:tcBorders>
              <w:top w:val="nil"/>
              <w:left w:val="nil"/>
              <w:bottom w:val="single" w:sz="4" w:space="0" w:color="auto"/>
              <w:right w:val="single" w:sz="4" w:space="0" w:color="auto"/>
            </w:tcBorders>
            <w:shd w:val="clear" w:color="auto" w:fill="auto"/>
            <w:vAlign w:val="bottom"/>
          </w:tcPr>
          <w:p w14:paraId="3856ACEB" w14:textId="77777777" w:rsidR="00937546" w:rsidRDefault="00937546" w:rsidP="00447817">
            <w:pPr>
              <w:jc w:val="right"/>
              <w:rPr>
                <w:rFonts w:ascii="Calibri" w:hAnsi="Calibri" w:cs="Calibri"/>
                <w:color w:val="000000"/>
              </w:rPr>
            </w:pPr>
            <w:r>
              <w:rPr>
                <w:rFonts w:ascii="Calibri" w:hAnsi="Calibri" w:cs="Calibri"/>
                <w:color w:val="000000"/>
              </w:rPr>
              <w:t>0.51</w:t>
            </w:r>
          </w:p>
        </w:tc>
        <w:tc>
          <w:tcPr>
            <w:tcW w:w="353" w:type="pct"/>
            <w:tcBorders>
              <w:top w:val="nil"/>
              <w:left w:val="nil"/>
              <w:bottom w:val="single" w:sz="4" w:space="0" w:color="auto"/>
              <w:right w:val="single" w:sz="4" w:space="0" w:color="auto"/>
            </w:tcBorders>
            <w:shd w:val="clear" w:color="auto" w:fill="auto"/>
            <w:vAlign w:val="bottom"/>
          </w:tcPr>
          <w:p w14:paraId="7034954D" w14:textId="77777777" w:rsidR="00937546" w:rsidRDefault="00937546" w:rsidP="00447817">
            <w:pPr>
              <w:jc w:val="right"/>
              <w:rPr>
                <w:rFonts w:ascii="Calibri" w:hAnsi="Calibri" w:cs="Calibri"/>
                <w:color w:val="000000"/>
              </w:rPr>
            </w:pPr>
            <w:r>
              <w:rPr>
                <w:rFonts w:ascii="Calibri" w:hAnsi="Calibri" w:cs="Calibri"/>
                <w:color w:val="000000"/>
              </w:rPr>
              <w:t>0.812</w:t>
            </w:r>
          </w:p>
        </w:tc>
        <w:tc>
          <w:tcPr>
            <w:tcW w:w="313" w:type="pct"/>
            <w:tcBorders>
              <w:top w:val="nil"/>
              <w:left w:val="nil"/>
              <w:bottom w:val="single" w:sz="4" w:space="0" w:color="auto"/>
              <w:right w:val="single" w:sz="4" w:space="0" w:color="auto"/>
            </w:tcBorders>
            <w:shd w:val="clear" w:color="auto" w:fill="auto"/>
            <w:vAlign w:val="bottom"/>
          </w:tcPr>
          <w:p w14:paraId="2C509453" w14:textId="77777777" w:rsidR="00937546" w:rsidRDefault="00937546" w:rsidP="00447817">
            <w:pPr>
              <w:jc w:val="right"/>
              <w:rPr>
                <w:rFonts w:ascii="Calibri" w:hAnsi="Calibri" w:cs="Calibri"/>
                <w:color w:val="000000"/>
              </w:rPr>
            </w:pPr>
            <w:r>
              <w:rPr>
                <w:rFonts w:ascii="Calibri" w:hAnsi="Calibri" w:cs="Calibri"/>
                <w:color w:val="000000"/>
              </w:rPr>
              <w:t>0.689</w:t>
            </w:r>
          </w:p>
        </w:tc>
        <w:tc>
          <w:tcPr>
            <w:tcW w:w="353" w:type="pct"/>
            <w:tcBorders>
              <w:top w:val="nil"/>
              <w:left w:val="single" w:sz="4" w:space="0" w:color="auto"/>
              <w:bottom w:val="single" w:sz="4" w:space="0" w:color="auto"/>
              <w:right w:val="single" w:sz="4" w:space="0" w:color="auto"/>
            </w:tcBorders>
            <w:shd w:val="clear" w:color="auto" w:fill="auto"/>
            <w:vAlign w:val="bottom"/>
          </w:tcPr>
          <w:p w14:paraId="2A56F69E" w14:textId="77777777" w:rsidR="00937546" w:rsidRDefault="00937546" w:rsidP="00447817">
            <w:pPr>
              <w:jc w:val="right"/>
              <w:rPr>
                <w:rFonts w:ascii="Calibri" w:hAnsi="Calibri" w:cs="Calibri"/>
                <w:color w:val="000000"/>
              </w:rPr>
            </w:pPr>
            <w:r>
              <w:rPr>
                <w:rFonts w:ascii="Calibri" w:hAnsi="Calibri" w:cs="Calibri"/>
                <w:color w:val="000000"/>
              </w:rPr>
              <w:t>54.3</w:t>
            </w:r>
          </w:p>
        </w:tc>
        <w:tc>
          <w:tcPr>
            <w:tcW w:w="352" w:type="pct"/>
            <w:tcBorders>
              <w:top w:val="nil"/>
              <w:left w:val="single" w:sz="4" w:space="0" w:color="auto"/>
              <w:bottom w:val="single" w:sz="4" w:space="0" w:color="auto"/>
              <w:right w:val="single" w:sz="4" w:space="0" w:color="auto"/>
            </w:tcBorders>
            <w:shd w:val="clear" w:color="auto" w:fill="auto"/>
            <w:vAlign w:val="bottom"/>
          </w:tcPr>
          <w:p w14:paraId="653FC34B" w14:textId="77777777" w:rsidR="00937546" w:rsidRDefault="00937546" w:rsidP="00447817">
            <w:pPr>
              <w:jc w:val="right"/>
              <w:rPr>
                <w:rFonts w:ascii="Calibri" w:hAnsi="Calibri" w:cs="Calibri"/>
                <w:color w:val="000000"/>
              </w:rPr>
            </w:pPr>
            <w:r>
              <w:rPr>
                <w:rFonts w:ascii="Calibri" w:hAnsi="Calibri" w:cs="Calibri"/>
                <w:color w:val="000000"/>
              </w:rPr>
              <w:t>10.0</w:t>
            </w:r>
          </w:p>
        </w:tc>
        <w:tc>
          <w:tcPr>
            <w:tcW w:w="274" w:type="pct"/>
            <w:tcBorders>
              <w:top w:val="nil"/>
              <w:left w:val="single" w:sz="4" w:space="0" w:color="auto"/>
              <w:bottom w:val="single" w:sz="4" w:space="0" w:color="auto"/>
              <w:right w:val="single" w:sz="4" w:space="0" w:color="auto"/>
            </w:tcBorders>
            <w:shd w:val="clear" w:color="auto" w:fill="auto"/>
            <w:vAlign w:val="bottom"/>
          </w:tcPr>
          <w:p w14:paraId="5A34016A" w14:textId="77777777" w:rsidR="00937546" w:rsidRDefault="00937546" w:rsidP="00447817">
            <w:pPr>
              <w:jc w:val="right"/>
              <w:rPr>
                <w:rFonts w:ascii="Calibri" w:hAnsi="Calibri" w:cs="Calibri"/>
                <w:color w:val="000000"/>
              </w:rPr>
            </w:pPr>
            <w:r>
              <w:rPr>
                <w:rFonts w:ascii="Calibri" w:hAnsi="Calibri" w:cs="Calibri"/>
                <w:color w:val="000000"/>
              </w:rPr>
              <w:t>1.1</w:t>
            </w:r>
          </w:p>
        </w:tc>
        <w:tc>
          <w:tcPr>
            <w:tcW w:w="274" w:type="pct"/>
            <w:tcBorders>
              <w:top w:val="nil"/>
              <w:left w:val="single" w:sz="4" w:space="0" w:color="auto"/>
              <w:bottom w:val="single" w:sz="4" w:space="0" w:color="auto"/>
              <w:right w:val="single" w:sz="4" w:space="0" w:color="auto"/>
            </w:tcBorders>
            <w:shd w:val="clear" w:color="auto" w:fill="auto"/>
            <w:vAlign w:val="bottom"/>
          </w:tcPr>
          <w:p w14:paraId="1827324D" w14:textId="77777777" w:rsidR="00937546" w:rsidRDefault="00937546" w:rsidP="00447817">
            <w:pPr>
              <w:jc w:val="right"/>
              <w:rPr>
                <w:rFonts w:ascii="Calibri" w:hAnsi="Calibri" w:cs="Calibri"/>
                <w:color w:val="000000"/>
              </w:rPr>
            </w:pPr>
            <w:r>
              <w:rPr>
                <w:rFonts w:ascii="Calibri" w:hAnsi="Calibri" w:cs="Calibri"/>
                <w:color w:val="000000"/>
              </w:rPr>
              <w:t>8.8</w:t>
            </w:r>
          </w:p>
        </w:tc>
        <w:tc>
          <w:tcPr>
            <w:tcW w:w="234" w:type="pct"/>
            <w:tcBorders>
              <w:top w:val="nil"/>
              <w:left w:val="single" w:sz="4" w:space="0" w:color="auto"/>
              <w:bottom w:val="single" w:sz="4" w:space="0" w:color="auto"/>
              <w:right w:val="single" w:sz="4" w:space="0" w:color="auto"/>
            </w:tcBorders>
            <w:shd w:val="clear" w:color="auto" w:fill="auto"/>
            <w:vAlign w:val="bottom"/>
          </w:tcPr>
          <w:p w14:paraId="32C171F1" w14:textId="77777777" w:rsidR="00937546" w:rsidRDefault="00937546" w:rsidP="00447817">
            <w:pPr>
              <w:jc w:val="right"/>
              <w:rPr>
                <w:rFonts w:ascii="Calibri" w:hAnsi="Calibri" w:cs="Calibri"/>
                <w:color w:val="000000"/>
              </w:rPr>
            </w:pPr>
            <w:r>
              <w:rPr>
                <w:rFonts w:ascii="Calibri" w:hAnsi="Calibri" w:cs="Calibri"/>
                <w:color w:val="000000"/>
              </w:rPr>
              <w:t>4650.9</w:t>
            </w:r>
          </w:p>
        </w:tc>
        <w:tc>
          <w:tcPr>
            <w:tcW w:w="313" w:type="pct"/>
            <w:tcBorders>
              <w:top w:val="nil"/>
              <w:left w:val="single" w:sz="4" w:space="0" w:color="auto"/>
              <w:bottom w:val="single" w:sz="4" w:space="0" w:color="auto"/>
              <w:right w:val="single" w:sz="4" w:space="0" w:color="auto"/>
            </w:tcBorders>
            <w:shd w:val="clear" w:color="auto" w:fill="auto"/>
            <w:vAlign w:val="bottom"/>
          </w:tcPr>
          <w:p w14:paraId="423CE658" w14:textId="77777777" w:rsidR="00937546" w:rsidRDefault="00937546" w:rsidP="00447817">
            <w:pPr>
              <w:jc w:val="right"/>
              <w:rPr>
                <w:rFonts w:ascii="Calibri" w:hAnsi="Calibri" w:cs="Calibri"/>
                <w:color w:val="000000"/>
              </w:rPr>
            </w:pPr>
            <w:r>
              <w:rPr>
                <w:rFonts w:ascii="Calibri" w:hAnsi="Calibri" w:cs="Calibri"/>
                <w:color w:val="000000"/>
              </w:rPr>
              <w:t>1833.9</w:t>
            </w:r>
          </w:p>
        </w:tc>
        <w:tc>
          <w:tcPr>
            <w:tcW w:w="272" w:type="pct"/>
            <w:tcBorders>
              <w:top w:val="nil"/>
              <w:left w:val="single" w:sz="4" w:space="0" w:color="auto"/>
              <w:bottom w:val="single" w:sz="4" w:space="0" w:color="auto"/>
              <w:right w:val="single" w:sz="4" w:space="0" w:color="auto"/>
            </w:tcBorders>
            <w:shd w:val="clear" w:color="auto" w:fill="auto"/>
            <w:vAlign w:val="bottom"/>
          </w:tcPr>
          <w:p w14:paraId="355D95DC" w14:textId="77777777" w:rsidR="00937546" w:rsidRDefault="00937546" w:rsidP="00447817">
            <w:pPr>
              <w:jc w:val="right"/>
              <w:rPr>
                <w:rFonts w:ascii="Calibri" w:hAnsi="Calibri" w:cs="Calibri"/>
                <w:color w:val="000000"/>
              </w:rPr>
            </w:pPr>
            <w:r>
              <w:rPr>
                <w:rFonts w:ascii="Calibri" w:hAnsi="Calibri" w:cs="Calibri"/>
                <w:color w:val="000000"/>
              </w:rPr>
              <w:t>2817.0</w:t>
            </w:r>
          </w:p>
        </w:tc>
        <w:tc>
          <w:tcPr>
            <w:tcW w:w="272" w:type="pct"/>
            <w:tcBorders>
              <w:top w:val="nil"/>
              <w:left w:val="single" w:sz="4" w:space="0" w:color="auto"/>
              <w:bottom w:val="single" w:sz="4" w:space="0" w:color="auto"/>
              <w:right w:val="single" w:sz="4" w:space="0" w:color="auto"/>
            </w:tcBorders>
            <w:shd w:val="clear" w:color="auto" w:fill="auto"/>
            <w:vAlign w:val="bottom"/>
          </w:tcPr>
          <w:p w14:paraId="624AF53B" w14:textId="77777777" w:rsidR="00937546" w:rsidRDefault="00937546" w:rsidP="00447817">
            <w:pPr>
              <w:jc w:val="right"/>
              <w:rPr>
                <w:rFonts w:ascii="Calibri" w:hAnsi="Calibri" w:cs="Calibri"/>
                <w:color w:val="000000"/>
              </w:rPr>
            </w:pPr>
            <w:r>
              <w:rPr>
                <w:rFonts w:ascii="Calibri" w:hAnsi="Calibri" w:cs="Calibri"/>
                <w:color w:val="000000"/>
              </w:rPr>
              <w:t>9333.8</w:t>
            </w:r>
          </w:p>
        </w:tc>
        <w:tc>
          <w:tcPr>
            <w:tcW w:w="272" w:type="pct"/>
            <w:tcBorders>
              <w:top w:val="nil"/>
              <w:left w:val="single" w:sz="4" w:space="0" w:color="auto"/>
              <w:bottom w:val="single" w:sz="4" w:space="0" w:color="auto"/>
              <w:right w:val="single" w:sz="4" w:space="0" w:color="auto"/>
            </w:tcBorders>
            <w:shd w:val="clear" w:color="auto" w:fill="auto"/>
            <w:vAlign w:val="bottom"/>
          </w:tcPr>
          <w:p w14:paraId="70AED03E" w14:textId="77777777" w:rsidR="00937546" w:rsidRDefault="00937546" w:rsidP="00447817">
            <w:pPr>
              <w:jc w:val="right"/>
              <w:rPr>
                <w:rFonts w:ascii="Calibri" w:hAnsi="Calibri" w:cs="Calibri"/>
                <w:color w:val="000000"/>
              </w:rPr>
            </w:pPr>
            <w:r>
              <w:rPr>
                <w:rFonts w:ascii="Calibri" w:hAnsi="Calibri" w:cs="Calibri"/>
                <w:color w:val="000000"/>
              </w:rPr>
              <w:t>3152.9</w:t>
            </w:r>
          </w:p>
        </w:tc>
        <w:tc>
          <w:tcPr>
            <w:tcW w:w="269" w:type="pct"/>
            <w:tcBorders>
              <w:top w:val="nil"/>
              <w:left w:val="nil"/>
              <w:bottom w:val="single" w:sz="4" w:space="0" w:color="auto"/>
              <w:right w:val="single" w:sz="4" w:space="0" w:color="auto"/>
            </w:tcBorders>
            <w:shd w:val="clear" w:color="auto" w:fill="auto"/>
            <w:vAlign w:val="bottom"/>
          </w:tcPr>
          <w:p w14:paraId="7D77C55E" w14:textId="77777777" w:rsidR="00937546" w:rsidRDefault="00937546" w:rsidP="00447817">
            <w:pPr>
              <w:jc w:val="right"/>
              <w:rPr>
                <w:rFonts w:ascii="Calibri" w:hAnsi="Calibri" w:cs="Calibri"/>
                <w:color w:val="000000"/>
              </w:rPr>
            </w:pPr>
            <w:r>
              <w:rPr>
                <w:rFonts w:ascii="Calibri" w:hAnsi="Calibri" w:cs="Calibri"/>
                <w:color w:val="000000"/>
              </w:rPr>
              <w:t>6180.9</w:t>
            </w:r>
          </w:p>
        </w:tc>
      </w:tr>
      <w:tr w:rsidR="008B5959" w:rsidRPr="00E91A88" w14:paraId="50BC4285" w14:textId="77777777" w:rsidTr="00447817">
        <w:trPr>
          <w:trHeight w:val="251"/>
        </w:trPr>
        <w:tc>
          <w:tcPr>
            <w:tcW w:w="747" w:type="pct"/>
            <w:noWrap/>
            <w:vAlign w:val="bottom"/>
            <w:hideMark/>
          </w:tcPr>
          <w:p w14:paraId="63D277E3" w14:textId="77777777" w:rsidR="00937546" w:rsidRDefault="00937546" w:rsidP="00447817">
            <w:pPr>
              <w:rPr>
                <w:rFonts w:ascii="Calibri" w:hAnsi="Calibri" w:cs="Calibri"/>
                <w:color w:val="000000"/>
              </w:rPr>
            </w:pPr>
            <w:r>
              <w:rPr>
                <w:rFonts w:ascii="Calibri" w:hAnsi="Calibri" w:cs="Calibri"/>
                <w:color w:val="000000"/>
              </w:rPr>
              <w:t>NAGAPATTINAM</w:t>
            </w:r>
          </w:p>
        </w:tc>
        <w:tc>
          <w:tcPr>
            <w:tcW w:w="311" w:type="pct"/>
            <w:tcBorders>
              <w:top w:val="nil"/>
              <w:left w:val="single" w:sz="4" w:space="0" w:color="auto"/>
              <w:bottom w:val="single" w:sz="4" w:space="0" w:color="auto"/>
              <w:right w:val="single" w:sz="4" w:space="0" w:color="auto"/>
            </w:tcBorders>
            <w:shd w:val="clear" w:color="auto" w:fill="auto"/>
            <w:vAlign w:val="bottom"/>
          </w:tcPr>
          <w:p w14:paraId="1C4E3B2D" w14:textId="77777777" w:rsidR="00937546" w:rsidRDefault="00937546" w:rsidP="00447817">
            <w:pPr>
              <w:jc w:val="right"/>
              <w:rPr>
                <w:rFonts w:ascii="Calibri" w:hAnsi="Calibri" w:cs="Calibri"/>
                <w:color w:val="000000"/>
              </w:rPr>
            </w:pPr>
            <w:r>
              <w:rPr>
                <w:rFonts w:ascii="Calibri" w:hAnsi="Calibri" w:cs="Calibri"/>
                <w:color w:val="000000"/>
              </w:rPr>
              <w:t>0.503</w:t>
            </w:r>
          </w:p>
        </w:tc>
        <w:tc>
          <w:tcPr>
            <w:tcW w:w="391" w:type="pct"/>
            <w:tcBorders>
              <w:top w:val="nil"/>
              <w:left w:val="nil"/>
              <w:bottom w:val="single" w:sz="4" w:space="0" w:color="auto"/>
              <w:right w:val="single" w:sz="4" w:space="0" w:color="auto"/>
            </w:tcBorders>
            <w:shd w:val="clear" w:color="auto" w:fill="auto"/>
            <w:vAlign w:val="bottom"/>
          </w:tcPr>
          <w:p w14:paraId="0040DC8F" w14:textId="77777777" w:rsidR="00937546" w:rsidRDefault="00937546" w:rsidP="00447817">
            <w:pPr>
              <w:jc w:val="right"/>
              <w:rPr>
                <w:rFonts w:ascii="Calibri" w:hAnsi="Calibri" w:cs="Calibri"/>
                <w:color w:val="000000"/>
              </w:rPr>
            </w:pPr>
            <w:r>
              <w:rPr>
                <w:rFonts w:ascii="Calibri" w:hAnsi="Calibri" w:cs="Calibri"/>
                <w:color w:val="000000"/>
              </w:rPr>
              <w:t>0.503</w:t>
            </w:r>
          </w:p>
        </w:tc>
        <w:tc>
          <w:tcPr>
            <w:tcW w:w="353" w:type="pct"/>
            <w:tcBorders>
              <w:top w:val="nil"/>
              <w:left w:val="nil"/>
              <w:bottom w:val="single" w:sz="4" w:space="0" w:color="auto"/>
              <w:right w:val="single" w:sz="4" w:space="0" w:color="auto"/>
            </w:tcBorders>
            <w:shd w:val="clear" w:color="auto" w:fill="auto"/>
            <w:vAlign w:val="bottom"/>
          </w:tcPr>
          <w:p w14:paraId="5359F7B2" w14:textId="77777777" w:rsidR="00937546" w:rsidRDefault="00937546" w:rsidP="00447817">
            <w:pPr>
              <w:jc w:val="right"/>
              <w:rPr>
                <w:rFonts w:ascii="Calibri" w:hAnsi="Calibri" w:cs="Calibri"/>
                <w:color w:val="000000"/>
              </w:rPr>
            </w:pPr>
            <w:r>
              <w:rPr>
                <w:rFonts w:ascii="Calibri" w:hAnsi="Calibri" w:cs="Calibri"/>
                <w:color w:val="000000"/>
              </w:rPr>
              <w:t>0.859</w:t>
            </w:r>
          </w:p>
        </w:tc>
        <w:tc>
          <w:tcPr>
            <w:tcW w:w="313" w:type="pct"/>
            <w:tcBorders>
              <w:top w:val="nil"/>
              <w:left w:val="nil"/>
              <w:bottom w:val="single" w:sz="4" w:space="0" w:color="auto"/>
              <w:right w:val="single" w:sz="4" w:space="0" w:color="auto"/>
            </w:tcBorders>
            <w:shd w:val="clear" w:color="auto" w:fill="auto"/>
            <w:vAlign w:val="bottom"/>
          </w:tcPr>
          <w:p w14:paraId="3D8045C7" w14:textId="77777777" w:rsidR="00937546" w:rsidRDefault="00937546" w:rsidP="00447817">
            <w:pPr>
              <w:jc w:val="right"/>
              <w:rPr>
                <w:rFonts w:ascii="Calibri" w:hAnsi="Calibri" w:cs="Calibri"/>
                <w:color w:val="000000"/>
              </w:rPr>
            </w:pPr>
            <w:r>
              <w:rPr>
                <w:rFonts w:ascii="Calibri" w:hAnsi="Calibri" w:cs="Calibri"/>
                <w:color w:val="000000"/>
              </w:rPr>
              <w:t>0.601</w:t>
            </w:r>
          </w:p>
        </w:tc>
        <w:tc>
          <w:tcPr>
            <w:tcW w:w="353" w:type="pct"/>
            <w:tcBorders>
              <w:top w:val="nil"/>
              <w:left w:val="single" w:sz="4" w:space="0" w:color="auto"/>
              <w:bottom w:val="single" w:sz="4" w:space="0" w:color="auto"/>
              <w:right w:val="single" w:sz="4" w:space="0" w:color="auto"/>
            </w:tcBorders>
            <w:shd w:val="clear" w:color="auto" w:fill="auto"/>
            <w:vAlign w:val="bottom"/>
          </w:tcPr>
          <w:p w14:paraId="7D01AA8C" w14:textId="77777777" w:rsidR="00937546" w:rsidRDefault="00937546" w:rsidP="00447817">
            <w:pPr>
              <w:jc w:val="right"/>
              <w:rPr>
                <w:rFonts w:ascii="Calibri" w:hAnsi="Calibri" w:cs="Calibri"/>
                <w:color w:val="000000"/>
              </w:rPr>
            </w:pPr>
            <w:r>
              <w:rPr>
                <w:rFonts w:ascii="Calibri" w:hAnsi="Calibri" w:cs="Calibri"/>
                <w:color w:val="000000"/>
              </w:rPr>
              <w:t>54.4</w:t>
            </w:r>
          </w:p>
        </w:tc>
        <w:tc>
          <w:tcPr>
            <w:tcW w:w="352" w:type="pct"/>
            <w:tcBorders>
              <w:top w:val="nil"/>
              <w:left w:val="single" w:sz="4" w:space="0" w:color="auto"/>
              <w:bottom w:val="single" w:sz="4" w:space="0" w:color="auto"/>
              <w:right w:val="single" w:sz="4" w:space="0" w:color="auto"/>
            </w:tcBorders>
            <w:shd w:val="clear" w:color="auto" w:fill="auto"/>
            <w:vAlign w:val="bottom"/>
          </w:tcPr>
          <w:p w14:paraId="43F8B319" w14:textId="77777777" w:rsidR="00937546" w:rsidRDefault="00937546" w:rsidP="00447817">
            <w:pPr>
              <w:jc w:val="right"/>
              <w:rPr>
                <w:rFonts w:ascii="Calibri" w:hAnsi="Calibri" w:cs="Calibri"/>
                <w:color w:val="000000"/>
              </w:rPr>
            </w:pPr>
            <w:r>
              <w:rPr>
                <w:rFonts w:ascii="Calibri" w:hAnsi="Calibri" w:cs="Calibri"/>
                <w:color w:val="000000"/>
              </w:rPr>
              <w:t>4.6</w:t>
            </w:r>
          </w:p>
        </w:tc>
        <w:tc>
          <w:tcPr>
            <w:tcW w:w="274" w:type="pct"/>
            <w:tcBorders>
              <w:top w:val="nil"/>
              <w:left w:val="single" w:sz="4" w:space="0" w:color="auto"/>
              <w:bottom w:val="single" w:sz="4" w:space="0" w:color="auto"/>
              <w:right w:val="single" w:sz="4" w:space="0" w:color="auto"/>
            </w:tcBorders>
            <w:shd w:val="clear" w:color="auto" w:fill="auto"/>
            <w:vAlign w:val="bottom"/>
          </w:tcPr>
          <w:p w14:paraId="36FB91D6" w14:textId="77777777" w:rsidR="00937546" w:rsidRDefault="00937546" w:rsidP="00447817">
            <w:pPr>
              <w:jc w:val="right"/>
              <w:rPr>
                <w:rFonts w:ascii="Calibri" w:hAnsi="Calibri" w:cs="Calibri"/>
                <w:color w:val="000000"/>
              </w:rPr>
            </w:pPr>
            <w:r>
              <w:rPr>
                <w:rFonts w:ascii="Calibri" w:hAnsi="Calibri" w:cs="Calibri"/>
                <w:color w:val="000000"/>
              </w:rPr>
              <w:t>3.1</w:t>
            </w:r>
          </w:p>
        </w:tc>
        <w:tc>
          <w:tcPr>
            <w:tcW w:w="274" w:type="pct"/>
            <w:tcBorders>
              <w:top w:val="nil"/>
              <w:left w:val="single" w:sz="4" w:space="0" w:color="auto"/>
              <w:bottom w:val="single" w:sz="4" w:space="0" w:color="auto"/>
              <w:right w:val="single" w:sz="4" w:space="0" w:color="auto"/>
            </w:tcBorders>
            <w:shd w:val="clear" w:color="auto" w:fill="auto"/>
            <w:vAlign w:val="bottom"/>
          </w:tcPr>
          <w:p w14:paraId="6C168AB8" w14:textId="77777777" w:rsidR="00937546" w:rsidRDefault="00937546" w:rsidP="00447817">
            <w:pPr>
              <w:jc w:val="right"/>
              <w:rPr>
                <w:rFonts w:ascii="Calibri" w:hAnsi="Calibri" w:cs="Calibri"/>
                <w:color w:val="000000"/>
              </w:rPr>
            </w:pPr>
            <w:r>
              <w:rPr>
                <w:rFonts w:ascii="Calibri" w:hAnsi="Calibri" w:cs="Calibri"/>
                <w:color w:val="000000"/>
              </w:rPr>
              <w:t>1.5</w:t>
            </w:r>
          </w:p>
        </w:tc>
        <w:tc>
          <w:tcPr>
            <w:tcW w:w="234" w:type="pct"/>
            <w:tcBorders>
              <w:top w:val="nil"/>
              <w:left w:val="single" w:sz="4" w:space="0" w:color="auto"/>
              <w:bottom w:val="single" w:sz="4" w:space="0" w:color="auto"/>
              <w:right w:val="single" w:sz="4" w:space="0" w:color="auto"/>
            </w:tcBorders>
            <w:shd w:val="clear" w:color="auto" w:fill="auto"/>
            <w:vAlign w:val="bottom"/>
          </w:tcPr>
          <w:p w14:paraId="37D495BA" w14:textId="77777777" w:rsidR="00937546" w:rsidRDefault="00937546" w:rsidP="00447817">
            <w:pPr>
              <w:jc w:val="right"/>
              <w:rPr>
                <w:rFonts w:ascii="Calibri" w:hAnsi="Calibri" w:cs="Calibri"/>
                <w:color w:val="000000"/>
              </w:rPr>
            </w:pPr>
            <w:r>
              <w:rPr>
                <w:rFonts w:ascii="Calibri" w:hAnsi="Calibri" w:cs="Calibri"/>
                <w:color w:val="000000"/>
              </w:rPr>
              <w:t>2981.2</w:t>
            </w:r>
          </w:p>
        </w:tc>
        <w:tc>
          <w:tcPr>
            <w:tcW w:w="313" w:type="pct"/>
            <w:tcBorders>
              <w:top w:val="nil"/>
              <w:left w:val="single" w:sz="4" w:space="0" w:color="auto"/>
              <w:bottom w:val="single" w:sz="4" w:space="0" w:color="auto"/>
              <w:right w:val="single" w:sz="4" w:space="0" w:color="auto"/>
            </w:tcBorders>
            <w:shd w:val="clear" w:color="auto" w:fill="auto"/>
            <w:vAlign w:val="bottom"/>
          </w:tcPr>
          <w:p w14:paraId="7180D529" w14:textId="77777777" w:rsidR="00937546" w:rsidRDefault="00937546" w:rsidP="00447817">
            <w:pPr>
              <w:jc w:val="right"/>
              <w:rPr>
                <w:rFonts w:ascii="Calibri" w:hAnsi="Calibri" w:cs="Calibri"/>
                <w:color w:val="000000"/>
              </w:rPr>
            </w:pPr>
            <w:r>
              <w:rPr>
                <w:rFonts w:ascii="Calibri" w:hAnsi="Calibri" w:cs="Calibri"/>
                <w:color w:val="000000"/>
              </w:rPr>
              <w:t>1920.5</w:t>
            </w:r>
          </w:p>
        </w:tc>
        <w:tc>
          <w:tcPr>
            <w:tcW w:w="272" w:type="pct"/>
            <w:tcBorders>
              <w:top w:val="nil"/>
              <w:left w:val="single" w:sz="4" w:space="0" w:color="auto"/>
              <w:bottom w:val="single" w:sz="4" w:space="0" w:color="auto"/>
              <w:right w:val="single" w:sz="4" w:space="0" w:color="auto"/>
            </w:tcBorders>
            <w:shd w:val="clear" w:color="auto" w:fill="auto"/>
            <w:vAlign w:val="bottom"/>
          </w:tcPr>
          <w:p w14:paraId="767E88DE" w14:textId="77777777" w:rsidR="00937546" w:rsidRDefault="00937546" w:rsidP="00447817">
            <w:pPr>
              <w:jc w:val="right"/>
              <w:rPr>
                <w:rFonts w:ascii="Calibri" w:hAnsi="Calibri" w:cs="Calibri"/>
                <w:color w:val="000000"/>
              </w:rPr>
            </w:pPr>
            <w:r>
              <w:rPr>
                <w:rFonts w:ascii="Calibri" w:hAnsi="Calibri" w:cs="Calibri"/>
                <w:color w:val="000000"/>
              </w:rPr>
              <w:t>1060.7</w:t>
            </w:r>
          </w:p>
        </w:tc>
        <w:tc>
          <w:tcPr>
            <w:tcW w:w="272" w:type="pct"/>
            <w:tcBorders>
              <w:top w:val="nil"/>
              <w:left w:val="single" w:sz="4" w:space="0" w:color="auto"/>
              <w:bottom w:val="single" w:sz="4" w:space="0" w:color="auto"/>
              <w:right w:val="single" w:sz="4" w:space="0" w:color="auto"/>
            </w:tcBorders>
            <w:shd w:val="clear" w:color="auto" w:fill="auto"/>
            <w:vAlign w:val="bottom"/>
          </w:tcPr>
          <w:p w14:paraId="6F5599F7" w14:textId="77777777" w:rsidR="00937546" w:rsidRDefault="00937546" w:rsidP="00447817">
            <w:pPr>
              <w:jc w:val="right"/>
              <w:rPr>
                <w:rFonts w:ascii="Calibri" w:hAnsi="Calibri" w:cs="Calibri"/>
                <w:color w:val="000000"/>
              </w:rPr>
            </w:pPr>
            <w:r>
              <w:rPr>
                <w:rFonts w:ascii="Calibri" w:hAnsi="Calibri" w:cs="Calibri"/>
                <w:color w:val="000000"/>
              </w:rPr>
              <w:t>1022.3</w:t>
            </w:r>
          </w:p>
        </w:tc>
        <w:tc>
          <w:tcPr>
            <w:tcW w:w="272" w:type="pct"/>
            <w:tcBorders>
              <w:top w:val="nil"/>
              <w:left w:val="single" w:sz="4" w:space="0" w:color="auto"/>
              <w:bottom w:val="single" w:sz="4" w:space="0" w:color="auto"/>
              <w:right w:val="single" w:sz="4" w:space="0" w:color="auto"/>
            </w:tcBorders>
            <w:shd w:val="clear" w:color="auto" w:fill="auto"/>
            <w:vAlign w:val="bottom"/>
          </w:tcPr>
          <w:p w14:paraId="42009988" w14:textId="77777777" w:rsidR="00937546" w:rsidRDefault="00937546" w:rsidP="00447817">
            <w:pPr>
              <w:jc w:val="right"/>
              <w:rPr>
                <w:rFonts w:ascii="Calibri" w:hAnsi="Calibri" w:cs="Calibri"/>
                <w:color w:val="000000"/>
              </w:rPr>
            </w:pPr>
            <w:r>
              <w:rPr>
                <w:rFonts w:ascii="Calibri" w:hAnsi="Calibri" w:cs="Calibri"/>
                <w:color w:val="000000"/>
              </w:rPr>
              <w:t>991.9</w:t>
            </w:r>
          </w:p>
        </w:tc>
        <w:tc>
          <w:tcPr>
            <w:tcW w:w="269" w:type="pct"/>
            <w:tcBorders>
              <w:top w:val="nil"/>
              <w:left w:val="nil"/>
              <w:bottom w:val="single" w:sz="4" w:space="0" w:color="auto"/>
              <w:right w:val="single" w:sz="4" w:space="0" w:color="auto"/>
            </w:tcBorders>
            <w:shd w:val="clear" w:color="auto" w:fill="auto"/>
            <w:vAlign w:val="bottom"/>
          </w:tcPr>
          <w:p w14:paraId="2C0ED98A" w14:textId="77777777" w:rsidR="00937546" w:rsidRDefault="00937546" w:rsidP="00447817">
            <w:pPr>
              <w:jc w:val="right"/>
              <w:rPr>
                <w:rFonts w:ascii="Calibri" w:hAnsi="Calibri" w:cs="Calibri"/>
                <w:color w:val="000000"/>
              </w:rPr>
            </w:pPr>
            <w:r>
              <w:rPr>
                <w:rFonts w:ascii="Calibri" w:hAnsi="Calibri" w:cs="Calibri"/>
                <w:color w:val="000000"/>
              </w:rPr>
              <w:t>30.4</w:t>
            </w:r>
          </w:p>
        </w:tc>
      </w:tr>
      <w:tr w:rsidR="008B5959" w:rsidRPr="00E91A88" w14:paraId="101F61DD" w14:textId="77777777" w:rsidTr="00447817">
        <w:trPr>
          <w:trHeight w:val="251"/>
        </w:trPr>
        <w:tc>
          <w:tcPr>
            <w:tcW w:w="747" w:type="pct"/>
            <w:noWrap/>
            <w:vAlign w:val="bottom"/>
            <w:hideMark/>
          </w:tcPr>
          <w:p w14:paraId="6150DBC7" w14:textId="77777777" w:rsidR="00937546" w:rsidRDefault="00937546" w:rsidP="00447817">
            <w:pPr>
              <w:rPr>
                <w:rFonts w:ascii="Calibri" w:hAnsi="Calibri" w:cs="Calibri"/>
                <w:color w:val="000000"/>
              </w:rPr>
            </w:pPr>
            <w:r>
              <w:rPr>
                <w:rFonts w:ascii="Calibri" w:hAnsi="Calibri" w:cs="Calibri"/>
                <w:color w:val="000000"/>
              </w:rPr>
              <w:t>NAMAKKAL</w:t>
            </w:r>
          </w:p>
        </w:tc>
        <w:tc>
          <w:tcPr>
            <w:tcW w:w="311" w:type="pct"/>
            <w:tcBorders>
              <w:top w:val="nil"/>
              <w:left w:val="single" w:sz="4" w:space="0" w:color="auto"/>
              <w:bottom w:val="single" w:sz="4" w:space="0" w:color="auto"/>
              <w:right w:val="single" w:sz="4" w:space="0" w:color="auto"/>
            </w:tcBorders>
            <w:shd w:val="clear" w:color="auto" w:fill="auto"/>
            <w:vAlign w:val="bottom"/>
          </w:tcPr>
          <w:p w14:paraId="760C5DF8" w14:textId="77777777" w:rsidR="00937546" w:rsidRDefault="00937546" w:rsidP="00447817">
            <w:pPr>
              <w:jc w:val="right"/>
              <w:rPr>
                <w:rFonts w:ascii="Calibri" w:hAnsi="Calibri" w:cs="Calibri"/>
                <w:color w:val="000000"/>
              </w:rPr>
            </w:pPr>
            <w:r>
              <w:rPr>
                <w:rFonts w:ascii="Calibri" w:hAnsi="Calibri" w:cs="Calibri"/>
                <w:color w:val="000000"/>
              </w:rPr>
              <w:t>0.799</w:t>
            </w:r>
          </w:p>
        </w:tc>
        <w:tc>
          <w:tcPr>
            <w:tcW w:w="391" w:type="pct"/>
            <w:tcBorders>
              <w:top w:val="nil"/>
              <w:left w:val="nil"/>
              <w:bottom w:val="single" w:sz="4" w:space="0" w:color="auto"/>
              <w:right w:val="single" w:sz="4" w:space="0" w:color="auto"/>
            </w:tcBorders>
            <w:shd w:val="clear" w:color="auto" w:fill="auto"/>
            <w:vAlign w:val="bottom"/>
          </w:tcPr>
          <w:p w14:paraId="537DFCE3" w14:textId="77777777" w:rsidR="00937546" w:rsidRDefault="00937546" w:rsidP="00447817">
            <w:pPr>
              <w:jc w:val="right"/>
              <w:rPr>
                <w:rFonts w:ascii="Calibri" w:hAnsi="Calibri" w:cs="Calibri"/>
                <w:color w:val="000000"/>
              </w:rPr>
            </w:pPr>
            <w:r>
              <w:rPr>
                <w:rFonts w:ascii="Calibri" w:hAnsi="Calibri" w:cs="Calibri"/>
                <w:color w:val="000000"/>
              </w:rPr>
              <w:t>0.746</w:t>
            </w:r>
          </w:p>
        </w:tc>
        <w:tc>
          <w:tcPr>
            <w:tcW w:w="353" w:type="pct"/>
            <w:tcBorders>
              <w:top w:val="nil"/>
              <w:left w:val="nil"/>
              <w:bottom w:val="single" w:sz="4" w:space="0" w:color="auto"/>
              <w:right w:val="single" w:sz="4" w:space="0" w:color="auto"/>
            </w:tcBorders>
            <w:shd w:val="clear" w:color="auto" w:fill="auto"/>
            <w:vAlign w:val="bottom"/>
          </w:tcPr>
          <w:p w14:paraId="235B6BCE" w14:textId="77777777" w:rsidR="00937546" w:rsidRDefault="00937546" w:rsidP="00447817">
            <w:pPr>
              <w:jc w:val="right"/>
              <w:rPr>
                <w:rFonts w:ascii="Calibri" w:hAnsi="Calibri" w:cs="Calibri"/>
                <w:color w:val="000000"/>
              </w:rPr>
            </w:pPr>
            <w:r>
              <w:rPr>
                <w:rFonts w:ascii="Calibri" w:hAnsi="Calibri" w:cs="Calibri"/>
                <w:color w:val="000000"/>
              </w:rPr>
              <w:t>0.673</w:t>
            </w:r>
          </w:p>
        </w:tc>
        <w:tc>
          <w:tcPr>
            <w:tcW w:w="313" w:type="pct"/>
            <w:tcBorders>
              <w:top w:val="nil"/>
              <w:left w:val="nil"/>
              <w:bottom w:val="single" w:sz="4" w:space="0" w:color="auto"/>
              <w:right w:val="single" w:sz="4" w:space="0" w:color="auto"/>
            </w:tcBorders>
            <w:shd w:val="clear" w:color="auto" w:fill="auto"/>
            <w:vAlign w:val="bottom"/>
          </w:tcPr>
          <w:p w14:paraId="0543816D" w14:textId="77777777" w:rsidR="00937546" w:rsidRDefault="00937546" w:rsidP="00447817">
            <w:pPr>
              <w:jc w:val="right"/>
              <w:rPr>
                <w:rFonts w:ascii="Calibri" w:hAnsi="Calibri" w:cs="Calibri"/>
                <w:color w:val="000000"/>
              </w:rPr>
            </w:pPr>
            <w:r>
              <w:rPr>
                <w:rFonts w:ascii="Calibri" w:hAnsi="Calibri" w:cs="Calibri"/>
                <w:color w:val="000000"/>
              </w:rPr>
              <w:t>0.738</w:t>
            </w:r>
          </w:p>
        </w:tc>
        <w:tc>
          <w:tcPr>
            <w:tcW w:w="353" w:type="pct"/>
            <w:tcBorders>
              <w:top w:val="nil"/>
              <w:left w:val="single" w:sz="4" w:space="0" w:color="auto"/>
              <w:bottom w:val="single" w:sz="4" w:space="0" w:color="auto"/>
              <w:right w:val="single" w:sz="4" w:space="0" w:color="auto"/>
            </w:tcBorders>
            <w:shd w:val="clear" w:color="auto" w:fill="auto"/>
            <w:vAlign w:val="bottom"/>
          </w:tcPr>
          <w:p w14:paraId="09C8DFEF" w14:textId="77777777" w:rsidR="00937546" w:rsidRDefault="00937546" w:rsidP="00447817">
            <w:pPr>
              <w:jc w:val="right"/>
              <w:rPr>
                <w:rFonts w:ascii="Calibri" w:hAnsi="Calibri" w:cs="Calibri"/>
                <w:color w:val="000000"/>
              </w:rPr>
            </w:pPr>
            <w:r>
              <w:rPr>
                <w:rFonts w:ascii="Calibri" w:hAnsi="Calibri" w:cs="Calibri"/>
                <w:color w:val="000000"/>
              </w:rPr>
              <w:t>58.9</w:t>
            </w:r>
          </w:p>
        </w:tc>
        <w:tc>
          <w:tcPr>
            <w:tcW w:w="352" w:type="pct"/>
            <w:tcBorders>
              <w:top w:val="nil"/>
              <w:left w:val="single" w:sz="4" w:space="0" w:color="auto"/>
              <w:bottom w:val="single" w:sz="4" w:space="0" w:color="auto"/>
              <w:right w:val="single" w:sz="4" w:space="0" w:color="auto"/>
            </w:tcBorders>
            <w:shd w:val="clear" w:color="auto" w:fill="auto"/>
            <w:vAlign w:val="bottom"/>
          </w:tcPr>
          <w:p w14:paraId="7A43832D" w14:textId="77777777" w:rsidR="00937546" w:rsidRDefault="00937546" w:rsidP="00447817">
            <w:pPr>
              <w:jc w:val="right"/>
              <w:rPr>
                <w:rFonts w:ascii="Calibri" w:hAnsi="Calibri" w:cs="Calibri"/>
                <w:color w:val="000000"/>
              </w:rPr>
            </w:pPr>
            <w:r>
              <w:rPr>
                <w:rFonts w:ascii="Calibri" w:hAnsi="Calibri" w:cs="Calibri"/>
                <w:color w:val="000000"/>
              </w:rPr>
              <w:t>8.8</w:t>
            </w:r>
          </w:p>
        </w:tc>
        <w:tc>
          <w:tcPr>
            <w:tcW w:w="274" w:type="pct"/>
            <w:tcBorders>
              <w:top w:val="nil"/>
              <w:left w:val="single" w:sz="4" w:space="0" w:color="auto"/>
              <w:bottom w:val="single" w:sz="4" w:space="0" w:color="auto"/>
              <w:right w:val="single" w:sz="4" w:space="0" w:color="auto"/>
            </w:tcBorders>
            <w:shd w:val="clear" w:color="auto" w:fill="auto"/>
            <w:vAlign w:val="bottom"/>
          </w:tcPr>
          <w:p w14:paraId="0B0C4DC3" w14:textId="77777777" w:rsidR="00937546" w:rsidRDefault="00937546" w:rsidP="00447817">
            <w:pPr>
              <w:jc w:val="right"/>
              <w:rPr>
                <w:rFonts w:ascii="Calibri" w:hAnsi="Calibri" w:cs="Calibri"/>
                <w:color w:val="000000"/>
              </w:rPr>
            </w:pPr>
            <w:r>
              <w:rPr>
                <w:rFonts w:ascii="Calibri" w:hAnsi="Calibri" w:cs="Calibri"/>
                <w:color w:val="000000"/>
              </w:rPr>
              <w:t>1.6</w:t>
            </w:r>
          </w:p>
        </w:tc>
        <w:tc>
          <w:tcPr>
            <w:tcW w:w="274" w:type="pct"/>
            <w:tcBorders>
              <w:top w:val="nil"/>
              <w:left w:val="single" w:sz="4" w:space="0" w:color="auto"/>
              <w:bottom w:val="single" w:sz="4" w:space="0" w:color="auto"/>
              <w:right w:val="single" w:sz="4" w:space="0" w:color="auto"/>
            </w:tcBorders>
            <w:shd w:val="clear" w:color="auto" w:fill="auto"/>
            <w:vAlign w:val="bottom"/>
          </w:tcPr>
          <w:p w14:paraId="720FE16B" w14:textId="77777777" w:rsidR="00937546" w:rsidRDefault="00937546" w:rsidP="00447817">
            <w:pPr>
              <w:jc w:val="right"/>
              <w:rPr>
                <w:rFonts w:ascii="Calibri" w:hAnsi="Calibri" w:cs="Calibri"/>
                <w:color w:val="000000"/>
              </w:rPr>
            </w:pPr>
            <w:r>
              <w:rPr>
                <w:rFonts w:ascii="Calibri" w:hAnsi="Calibri" w:cs="Calibri"/>
                <w:color w:val="000000"/>
              </w:rPr>
              <w:t>7.2</w:t>
            </w:r>
          </w:p>
        </w:tc>
        <w:tc>
          <w:tcPr>
            <w:tcW w:w="234" w:type="pct"/>
            <w:tcBorders>
              <w:top w:val="nil"/>
              <w:left w:val="single" w:sz="4" w:space="0" w:color="auto"/>
              <w:bottom w:val="single" w:sz="4" w:space="0" w:color="auto"/>
              <w:right w:val="single" w:sz="4" w:space="0" w:color="auto"/>
            </w:tcBorders>
            <w:shd w:val="clear" w:color="auto" w:fill="auto"/>
            <w:vAlign w:val="bottom"/>
          </w:tcPr>
          <w:p w14:paraId="6647ACD2" w14:textId="77777777" w:rsidR="00937546" w:rsidRDefault="00937546" w:rsidP="00447817">
            <w:pPr>
              <w:jc w:val="right"/>
              <w:rPr>
                <w:rFonts w:ascii="Calibri" w:hAnsi="Calibri" w:cs="Calibri"/>
                <w:color w:val="000000"/>
              </w:rPr>
            </w:pPr>
            <w:r>
              <w:rPr>
                <w:rFonts w:ascii="Calibri" w:hAnsi="Calibri" w:cs="Calibri"/>
                <w:color w:val="000000"/>
              </w:rPr>
              <w:t>3541.2</w:t>
            </w:r>
          </w:p>
        </w:tc>
        <w:tc>
          <w:tcPr>
            <w:tcW w:w="313" w:type="pct"/>
            <w:tcBorders>
              <w:top w:val="nil"/>
              <w:left w:val="single" w:sz="4" w:space="0" w:color="auto"/>
              <w:bottom w:val="single" w:sz="4" w:space="0" w:color="auto"/>
              <w:right w:val="single" w:sz="4" w:space="0" w:color="auto"/>
            </w:tcBorders>
            <w:shd w:val="clear" w:color="auto" w:fill="auto"/>
            <w:vAlign w:val="bottom"/>
          </w:tcPr>
          <w:p w14:paraId="66BDE44E" w14:textId="77777777" w:rsidR="00937546" w:rsidRDefault="00937546" w:rsidP="00447817">
            <w:pPr>
              <w:jc w:val="right"/>
              <w:rPr>
                <w:rFonts w:ascii="Calibri" w:hAnsi="Calibri" w:cs="Calibri"/>
                <w:color w:val="000000"/>
              </w:rPr>
            </w:pPr>
            <w:r>
              <w:rPr>
                <w:rFonts w:ascii="Calibri" w:hAnsi="Calibri" w:cs="Calibri"/>
                <w:color w:val="000000"/>
              </w:rPr>
              <w:t>1028.5</w:t>
            </w:r>
          </w:p>
        </w:tc>
        <w:tc>
          <w:tcPr>
            <w:tcW w:w="272" w:type="pct"/>
            <w:tcBorders>
              <w:top w:val="nil"/>
              <w:left w:val="single" w:sz="4" w:space="0" w:color="auto"/>
              <w:bottom w:val="single" w:sz="4" w:space="0" w:color="auto"/>
              <w:right w:val="single" w:sz="4" w:space="0" w:color="auto"/>
            </w:tcBorders>
            <w:shd w:val="clear" w:color="auto" w:fill="auto"/>
            <w:vAlign w:val="bottom"/>
          </w:tcPr>
          <w:p w14:paraId="1DEC7362" w14:textId="77777777" w:rsidR="00937546" w:rsidRDefault="00937546" w:rsidP="00447817">
            <w:pPr>
              <w:jc w:val="right"/>
              <w:rPr>
                <w:rFonts w:ascii="Calibri" w:hAnsi="Calibri" w:cs="Calibri"/>
                <w:color w:val="000000"/>
              </w:rPr>
            </w:pPr>
            <w:r>
              <w:rPr>
                <w:rFonts w:ascii="Calibri" w:hAnsi="Calibri" w:cs="Calibri"/>
                <w:color w:val="000000"/>
              </w:rPr>
              <w:t>2512.7</w:t>
            </w:r>
          </w:p>
        </w:tc>
        <w:tc>
          <w:tcPr>
            <w:tcW w:w="272" w:type="pct"/>
            <w:tcBorders>
              <w:top w:val="nil"/>
              <w:left w:val="single" w:sz="4" w:space="0" w:color="auto"/>
              <w:bottom w:val="single" w:sz="4" w:space="0" w:color="auto"/>
              <w:right w:val="single" w:sz="4" w:space="0" w:color="auto"/>
            </w:tcBorders>
            <w:shd w:val="clear" w:color="auto" w:fill="auto"/>
            <w:vAlign w:val="bottom"/>
          </w:tcPr>
          <w:p w14:paraId="1313316C" w14:textId="77777777" w:rsidR="00937546" w:rsidRDefault="00937546" w:rsidP="00447817">
            <w:pPr>
              <w:jc w:val="right"/>
              <w:rPr>
                <w:rFonts w:ascii="Calibri" w:hAnsi="Calibri" w:cs="Calibri"/>
                <w:color w:val="000000"/>
              </w:rPr>
            </w:pPr>
            <w:r>
              <w:rPr>
                <w:rFonts w:ascii="Calibri" w:hAnsi="Calibri" w:cs="Calibri"/>
                <w:color w:val="000000"/>
              </w:rPr>
              <w:t>1807.6</w:t>
            </w:r>
          </w:p>
        </w:tc>
        <w:tc>
          <w:tcPr>
            <w:tcW w:w="272" w:type="pct"/>
            <w:tcBorders>
              <w:top w:val="nil"/>
              <w:left w:val="single" w:sz="4" w:space="0" w:color="auto"/>
              <w:bottom w:val="single" w:sz="4" w:space="0" w:color="auto"/>
              <w:right w:val="single" w:sz="4" w:space="0" w:color="auto"/>
            </w:tcBorders>
            <w:shd w:val="clear" w:color="auto" w:fill="auto"/>
            <w:vAlign w:val="bottom"/>
          </w:tcPr>
          <w:p w14:paraId="625BC643" w14:textId="77777777" w:rsidR="00937546" w:rsidRDefault="00937546" w:rsidP="00447817">
            <w:pPr>
              <w:jc w:val="right"/>
              <w:rPr>
                <w:rFonts w:ascii="Calibri" w:hAnsi="Calibri" w:cs="Calibri"/>
                <w:color w:val="000000"/>
              </w:rPr>
            </w:pPr>
            <w:r>
              <w:rPr>
                <w:rFonts w:ascii="Calibri" w:hAnsi="Calibri" w:cs="Calibri"/>
                <w:color w:val="000000"/>
              </w:rPr>
              <w:t>636.4</w:t>
            </w:r>
          </w:p>
        </w:tc>
        <w:tc>
          <w:tcPr>
            <w:tcW w:w="269" w:type="pct"/>
            <w:tcBorders>
              <w:top w:val="nil"/>
              <w:left w:val="nil"/>
              <w:bottom w:val="single" w:sz="4" w:space="0" w:color="auto"/>
              <w:right w:val="single" w:sz="4" w:space="0" w:color="auto"/>
            </w:tcBorders>
            <w:shd w:val="clear" w:color="auto" w:fill="auto"/>
            <w:vAlign w:val="bottom"/>
          </w:tcPr>
          <w:p w14:paraId="75D1E3DC" w14:textId="77777777" w:rsidR="00937546" w:rsidRDefault="00937546" w:rsidP="00447817">
            <w:pPr>
              <w:jc w:val="right"/>
              <w:rPr>
                <w:rFonts w:ascii="Calibri" w:hAnsi="Calibri" w:cs="Calibri"/>
                <w:color w:val="000000"/>
              </w:rPr>
            </w:pPr>
            <w:r>
              <w:rPr>
                <w:rFonts w:ascii="Calibri" w:hAnsi="Calibri" w:cs="Calibri"/>
                <w:color w:val="000000"/>
              </w:rPr>
              <w:t>1171.2</w:t>
            </w:r>
          </w:p>
        </w:tc>
      </w:tr>
      <w:tr w:rsidR="008B5959" w:rsidRPr="00E91A88" w14:paraId="361978A3" w14:textId="77777777" w:rsidTr="00447817">
        <w:trPr>
          <w:trHeight w:val="251"/>
        </w:trPr>
        <w:tc>
          <w:tcPr>
            <w:tcW w:w="747" w:type="pct"/>
            <w:noWrap/>
            <w:vAlign w:val="bottom"/>
            <w:hideMark/>
          </w:tcPr>
          <w:p w14:paraId="1EFA2757" w14:textId="77777777" w:rsidR="00937546" w:rsidRDefault="00937546" w:rsidP="00447817">
            <w:pPr>
              <w:rPr>
                <w:rFonts w:ascii="Calibri" w:hAnsi="Calibri" w:cs="Calibri"/>
                <w:color w:val="000000"/>
              </w:rPr>
            </w:pPr>
            <w:r>
              <w:rPr>
                <w:rFonts w:ascii="Calibri" w:hAnsi="Calibri" w:cs="Calibri"/>
                <w:color w:val="000000"/>
              </w:rPr>
              <w:t>NILGIRIS</w:t>
            </w:r>
          </w:p>
        </w:tc>
        <w:tc>
          <w:tcPr>
            <w:tcW w:w="311" w:type="pct"/>
            <w:tcBorders>
              <w:top w:val="nil"/>
              <w:left w:val="single" w:sz="4" w:space="0" w:color="auto"/>
              <w:bottom w:val="single" w:sz="4" w:space="0" w:color="auto"/>
              <w:right w:val="single" w:sz="4" w:space="0" w:color="auto"/>
            </w:tcBorders>
            <w:shd w:val="clear" w:color="auto" w:fill="auto"/>
            <w:vAlign w:val="bottom"/>
          </w:tcPr>
          <w:p w14:paraId="7DC3F617" w14:textId="77777777" w:rsidR="00937546" w:rsidRDefault="00937546" w:rsidP="00447817">
            <w:pPr>
              <w:jc w:val="right"/>
              <w:rPr>
                <w:rFonts w:ascii="Calibri" w:hAnsi="Calibri" w:cs="Calibri"/>
                <w:color w:val="000000"/>
              </w:rPr>
            </w:pPr>
            <w:r>
              <w:rPr>
                <w:rFonts w:ascii="Calibri" w:hAnsi="Calibri" w:cs="Calibri"/>
                <w:color w:val="000000"/>
              </w:rPr>
              <w:t>0.636</w:t>
            </w:r>
          </w:p>
        </w:tc>
        <w:tc>
          <w:tcPr>
            <w:tcW w:w="391" w:type="pct"/>
            <w:tcBorders>
              <w:top w:val="nil"/>
              <w:left w:val="nil"/>
              <w:bottom w:val="single" w:sz="4" w:space="0" w:color="auto"/>
              <w:right w:val="single" w:sz="4" w:space="0" w:color="auto"/>
            </w:tcBorders>
            <w:shd w:val="clear" w:color="auto" w:fill="auto"/>
            <w:vAlign w:val="bottom"/>
          </w:tcPr>
          <w:p w14:paraId="61C4C71D" w14:textId="77777777" w:rsidR="00937546" w:rsidRDefault="00937546" w:rsidP="00447817">
            <w:pPr>
              <w:jc w:val="right"/>
              <w:rPr>
                <w:rFonts w:ascii="Calibri" w:hAnsi="Calibri" w:cs="Calibri"/>
                <w:color w:val="000000"/>
              </w:rPr>
            </w:pPr>
            <w:r>
              <w:rPr>
                <w:rFonts w:ascii="Calibri" w:hAnsi="Calibri" w:cs="Calibri"/>
                <w:color w:val="000000"/>
              </w:rPr>
              <w:t>0.443</w:t>
            </w:r>
          </w:p>
        </w:tc>
        <w:tc>
          <w:tcPr>
            <w:tcW w:w="353" w:type="pct"/>
            <w:tcBorders>
              <w:top w:val="nil"/>
              <w:left w:val="nil"/>
              <w:bottom w:val="single" w:sz="4" w:space="0" w:color="auto"/>
              <w:right w:val="single" w:sz="4" w:space="0" w:color="auto"/>
            </w:tcBorders>
            <w:shd w:val="clear" w:color="auto" w:fill="auto"/>
            <w:vAlign w:val="bottom"/>
          </w:tcPr>
          <w:p w14:paraId="55179FFD" w14:textId="77777777" w:rsidR="00937546" w:rsidRDefault="00937546" w:rsidP="00447817">
            <w:pPr>
              <w:jc w:val="right"/>
              <w:rPr>
                <w:rFonts w:ascii="Calibri" w:hAnsi="Calibri" w:cs="Calibri"/>
                <w:color w:val="000000"/>
              </w:rPr>
            </w:pPr>
            <w:r>
              <w:rPr>
                <w:rFonts w:ascii="Calibri" w:hAnsi="Calibri" w:cs="Calibri"/>
                <w:color w:val="000000"/>
              </w:rPr>
              <w:t>0.861</w:t>
            </w:r>
          </w:p>
        </w:tc>
        <w:tc>
          <w:tcPr>
            <w:tcW w:w="313" w:type="pct"/>
            <w:tcBorders>
              <w:top w:val="nil"/>
              <w:left w:val="nil"/>
              <w:bottom w:val="single" w:sz="4" w:space="0" w:color="auto"/>
              <w:right w:val="single" w:sz="4" w:space="0" w:color="auto"/>
            </w:tcBorders>
            <w:shd w:val="clear" w:color="auto" w:fill="auto"/>
            <w:vAlign w:val="bottom"/>
          </w:tcPr>
          <w:p w14:paraId="0661A1CD" w14:textId="77777777" w:rsidR="00937546" w:rsidRDefault="00937546" w:rsidP="00447817">
            <w:pPr>
              <w:jc w:val="right"/>
              <w:rPr>
                <w:rFonts w:ascii="Calibri" w:hAnsi="Calibri" w:cs="Calibri"/>
                <w:color w:val="000000"/>
              </w:rPr>
            </w:pPr>
            <w:r>
              <w:rPr>
                <w:rFonts w:ascii="Calibri" w:hAnsi="Calibri" w:cs="Calibri"/>
                <w:color w:val="000000"/>
              </w:rPr>
              <w:t>0.624</w:t>
            </w:r>
          </w:p>
        </w:tc>
        <w:tc>
          <w:tcPr>
            <w:tcW w:w="353" w:type="pct"/>
            <w:tcBorders>
              <w:top w:val="nil"/>
              <w:left w:val="single" w:sz="4" w:space="0" w:color="auto"/>
              <w:bottom w:val="single" w:sz="4" w:space="0" w:color="auto"/>
              <w:right w:val="single" w:sz="4" w:space="0" w:color="auto"/>
            </w:tcBorders>
            <w:shd w:val="clear" w:color="auto" w:fill="auto"/>
            <w:vAlign w:val="bottom"/>
          </w:tcPr>
          <w:p w14:paraId="6A88F6BC" w14:textId="77777777" w:rsidR="00937546" w:rsidRDefault="00937546" w:rsidP="00447817">
            <w:pPr>
              <w:jc w:val="right"/>
              <w:rPr>
                <w:rFonts w:ascii="Calibri" w:hAnsi="Calibri" w:cs="Calibri"/>
                <w:color w:val="000000"/>
              </w:rPr>
            </w:pPr>
            <w:r>
              <w:rPr>
                <w:rFonts w:ascii="Calibri" w:hAnsi="Calibri" w:cs="Calibri"/>
                <w:color w:val="000000"/>
              </w:rPr>
              <w:t>57.4</w:t>
            </w:r>
          </w:p>
        </w:tc>
        <w:tc>
          <w:tcPr>
            <w:tcW w:w="352" w:type="pct"/>
            <w:tcBorders>
              <w:top w:val="nil"/>
              <w:left w:val="single" w:sz="4" w:space="0" w:color="auto"/>
              <w:bottom w:val="single" w:sz="4" w:space="0" w:color="auto"/>
              <w:right w:val="single" w:sz="4" w:space="0" w:color="auto"/>
            </w:tcBorders>
            <w:shd w:val="clear" w:color="auto" w:fill="auto"/>
            <w:vAlign w:val="bottom"/>
          </w:tcPr>
          <w:p w14:paraId="236E6C28" w14:textId="77777777" w:rsidR="00937546" w:rsidRDefault="00937546" w:rsidP="00447817">
            <w:pPr>
              <w:jc w:val="right"/>
              <w:rPr>
                <w:rFonts w:ascii="Calibri" w:hAnsi="Calibri" w:cs="Calibri"/>
                <w:color w:val="000000"/>
              </w:rPr>
            </w:pPr>
            <w:r>
              <w:rPr>
                <w:rFonts w:ascii="Calibri" w:hAnsi="Calibri" w:cs="Calibri"/>
                <w:color w:val="000000"/>
              </w:rPr>
              <w:t>5.1</w:t>
            </w:r>
          </w:p>
        </w:tc>
        <w:tc>
          <w:tcPr>
            <w:tcW w:w="274" w:type="pct"/>
            <w:tcBorders>
              <w:top w:val="nil"/>
              <w:left w:val="single" w:sz="4" w:space="0" w:color="auto"/>
              <w:bottom w:val="single" w:sz="4" w:space="0" w:color="auto"/>
              <w:right w:val="single" w:sz="4" w:space="0" w:color="auto"/>
            </w:tcBorders>
            <w:shd w:val="clear" w:color="auto" w:fill="auto"/>
            <w:vAlign w:val="bottom"/>
          </w:tcPr>
          <w:p w14:paraId="5E37F68C" w14:textId="77777777" w:rsidR="00937546" w:rsidRDefault="00937546" w:rsidP="00447817">
            <w:pPr>
              <w:jc w:val="right"/>
              <w:rPr>
                <w:rFonts w:ascii="Calibri" w:hAnsi="Calibri" w:cs="Calibri"/>
                <w:color w:val="000000"/>
              </w:rPr>
            </w:pPr>
            <w:r>
              <w:rPr>
                <w:rFonts w:ascii="Calibri" w:hAnsi="Calibri" w:cs="Calibri"/>
                <w:color w:val="000000"/>
              </w:rPr>
              <w:t>3.2</w:t>
            </w:r>
          </w:p>
        </w:tc>
        <w:tc>
          <w:tcPr>
            <w:tcW w:w="274" w:type="pct"/>
            <w:tcBorders>
              <w:top w:val="nil"/>
              <w:left w:val="single" w:sz="4" w:space="0" w:color="auto"/>
              <w:bottom w:val="single" w:sz="4" w:space="0" w:color="auto"/>
              <w:right w:val="single" w:sz="4" w:space="0" w:color="auto"/>
            </w:tcBorders>
            <w:shd w:val="clear" w:color="auto" w:fill="auto"/>
            <w:vAlign w:val="bottom"/>
          </w:tcPr>
          <w:p w14:paraId="23FA45A8" w14:textId="77777777" w:rsidR="00937546" w:rsidRDefault="00937546" w:rsidP="00447817">
            <w:pPr>
              <w:jc w:val="right"/>
              <w:rPr>
                <w:rFonts w:ascii="Calibri" w:hAnsi="Calibri" w:cs="Calibri"/>
                <w:color w:val="000000"/>
              </w:rPr>
            </w:pPr>
            <w:r>
              <w:rPr>
                <w:rFonts w:ascii="Calibri" w:hAnsi="Calibri" w:cs="Calibri"/>
                <w:color w:val="000000"/>
              </w:rPr>
              <w:t>1.9</w:t>
            </w:r>
          </w:p>
        </w:tc>
        <w:tc>
          <w:tcPr>
            <w:tcW w:w="234" w:type="pct"/>
            <w:tcBorders>
              <w:top w:val="nil"/>
              <w:left w:val="single" w:sz="4" w:space="0" w:color="auto"/>
              <w:bottom w:val="single" w:sz="4" w:space="0" w:color="auto"/>
              <w:right w:val="single" w:sz="4" w:space="0" w:color="auto"/>
            </w:tcBorders>
            <w:shd w:val="clear" w:color="auto" w:fill="auto"/>
            <w:vAlign w:val="bottom"/>
          </w:tcPr>
          <w:p w14:paraId="534F0DFB" w14:textId="77777777" w:rsidR="00937546" w:rsidRDefault="00937546" w:rsidP="00447817">
            <w:pPr>
              <w:jc w:val="right"/>
              <w:rPr>
                <w:rFonts w:ascii="Calibri" w:hAnsi="Calibri" w:cs="Calibri"/>
                <w:color w:val="000000"/>
              </w:rPr>
            </w:pPr>
            <w:r>
              <w:rPr>
                <w:rFonts w:ascii="Calibri" w:hAnsi="Calibri" w:cs="Calibri"/>
                <w:color w:val="000000"/>
              </w:rPr>
              <w:t>2404.3</w:t>
            </w:r>
          </w:p>
        </w:tc>
        <w:tc>
          <w:tcPr>
            <w:tcW w:w="313" w:type="pct"/>
            <w:tcBorders>
              <w:top w:val="nil"/>
              <w:left w:val="single" w:sz="4" w:space="0" w:color="auto"/>
              <w:bottom w:val="single" w:sz="4" w:space="0" w:color="auto"/>
              <w:right w:val="single" w:sz="4" w:space="0" w:color="auto"/>
            </w:tcBorders>
            <w:shd w:val="clear" w:color="auto" w:fill="auto"/>
            <w:vAlign w:val="bottom"/>
          </w:tcPr>
          <w:p w14:paraId="1AD828C2" w14:textId="77777777" w:rsidR="00937546" w:rsidRDefault="00937546" w:rsidP="00447817">
            <w:pPr>
              <w:jc w:val="right"/>
              <w:rPr>
                <w:rFonts w:ascii="Calibri" w:hAnsi="Calibri" w:cs="Calibri"/>
                <w:color w:val="000000"/>
              </w:rPr>
            </w:pPr>
            <w:r>
              <w:rPr>
                <w:rFonts w:ascii="Calibri" w:hAnsi="Calibri" w:cs="Calibri"/>
                <w:color w:val="000000"/>
              </w:rPr>
              <w:t>990.5</w:t>
            </w:r>
          </w:p>
        </w:tc>
        <w:tc>
          <w:tcPr>
            <w:tcW w:w="272" w:type="pct"/>
            <w:tcBorders>
              <w:top w:val="nil"/>
              <w:left w:val="single" w:sz="4" w:space="0" w:color="auto"/>
              <w:bottom w:val="single" w:sz="4" w:space="0" w:color="auto"/>
              <w:right w:val="single" w:sz="4" w:space="0" w:color="auto"/>
            </w:tcBorders>
            <w:shd w:val="clear" w:color="auto" w:fill="auto"/>
            <w:vAlign w:val="bottom"/>
          </w:tcPr>
          <w:p w14:paraId="71A05465" w14:textId="77777777" w:rsidR="00937546" w:rsidRDefault="00937546" w:rsidP="00447817">
            <w:pPr>
              <w:jc w:val="right"/>
              <w:rPr>
                <w:rFonts w:ascii="Calibri" w:hAnsi="Calibri" w:cs="Calibri"/>
                <w:color w:val="000000"/>
              </w:rPr>
            </w:pPr>
            <w:r>
              <w:rPr>
                <w:rFonts w:ascii="Calibri" w:hAnsi="Calibri" w:cs="Calibri"/>
                <w:color w:val="000000"/>
              </w:rPr>
              <w:t>1413.8</w:t>
            </w:r>
          </w:p>
        </w:tc>
        <w:tc>
          <w:tcPr>
            <w:tcW w:w="272" w:type="pct"/>
            <w:tcBorders>
              <w:top w:val="nil"/>
              <w:left w:val="single" w:sz="4" w:space="0" w:color="auto"/>
              <w:bottom w:val="single" w:sz="4" w:space="0" w:color="auto"/>
              <w:right w:val="single" w:sz="4" w:space="0" w:color="auto"/>
            </w:tcBorders>
            <w:shd w:val="clear" w:color="auto" w:fill="auto"/>
            <w:vAlign w:val="bottom"/>
          </w:tcPr>
          <w:p w14:paraId="2ED29031" w14:textId="77777777" w:rsidR="00937546" w:rsidRDefault="00937546" w:rsidP="00447817">
            <w:pPr>
              <w:jc w:val="right"/>
              <w:rPr>
                <w:rFonts w:ascii="Calibri" w:hAnsi="Calibri" w:cs="Calibri"/>
                <w:color w:val="000000"/>
              </w:rPr>
            </w:pPr>
            <w:r>
              <w:rPr>
                <w:rFonts w:ascii="Calibri" w:hAnsi="Calibri" w:cs="Calibri"/>
                <w:color w:val="000000"/>
              </w:rPr>
              <w:t>704.0</w:t>
            </w:r>
          </w:p>
        </w:tc>
        <w:tc>
          <w:tcPr>
            <w:tcW w:w="272" w:type="pct"/>
            <w:tcBorders>
              <w:top w:val="nil"/>
              <w:left w:val="single" w:sz="4" w:space="0" w:color="auto"/>
              <w:bottom w:val="single" w:sz="4" w:space="0" w:color="auto"/>
              <w:right w:val="single" w:sz="4" w:space="0" w:color="auto"/>
            </w:tcBorders>
            <w:shd w:val="clear" w:color="auto" w:fill="auto"/>
            <w:vAlign w:val="bottom"/>
          </w:tcPr>
          <w:p w14:paraId="5EF2780C" w14:textId="77777777" w:rsidR="00937546" w:rsidRDefault="00937546" w:rsidP="00447817">
            <w:pPr>
              <w:jc w:val="right"/>
              <w:rPr>
                <w:rFonts w:ascii="Calibri" w:hAnsi="Calibri" w:cs="Calibri"/>
                <w:color w:val="000000"/>
              </w:rPr>
            </w:pPr>
            <w:r>
              <w:rPr>
                <w:rFonts w:ascii="Calibri" w:hAnsi="Calibri" w:cs="Calibri"/>
                <w:color w:val="000000"/>
              </w:rPr>
              <w:t>617.7</w:t>
            </w:r>
          </w:p>
        </w:tc>
        <w:tc>
          <w:tcPr>
            <w:tcW w:w="269" w:type="pct"/>
            <w:tcBorders>
              <w:top w:val="nil"/>
              <w:left w:val="nil"/>
              <w:bottom w:val="single" w:sz="4" w:space="0" w:color="auto"/>
              <w:right w:val="single" w:sz="4" w:space="0" w:color="auto"/>
            </w:tcBorders>
            <w:shd w:val="clear" w:color="auto" w:fill="auto"/>
            <w:vAlign w:val="bottom"/>
          </w:tcPr>
          <w:p w14:paraId="16F452CE" w14:textId="77777777" w:rsidR="00937546" w:rsidRDefault="00937546" w:rsidP="00447817">
            <w:pPr>
              <w:jc w:val="right"/>
              <w:rPr>
                <w:rFonts w:ascii="Calibri" w:hAnsi="Calibri" w:cs="Calibri"/>
                <w:color w:val="000000"/>
              </w:rPr>
            </w:pPr>
            <w:r>
              <w:rPr>
                <w:rFonts w:ascii="Calibri" w:hAnsi="Calibri" w:cs="Calibri"/>
                <w:color w:val="000000"/>
              </w:rPr>
              <w:t>86.3</w:t>
            </w:r>
          </w:p>
        </w:tc>
      </w:tr>
      <w:tr w:rsidR="008B5959" w:rsidRPr="00E91A88" w14:paraId="0B59E665" w14:textId="77777777" w:rsidTr="00447817">
        <w:trPr>
          <w:trHeight w:val="251"/>
        </w:trPr>
        <w:tc>
          <w:tcPr>
            <w:tcW w:w="747" w:type="pct"/>
            <w:noWrap/>
            <w:vAlign w:val="bottom"/>
            <w:hideMark/>
          </w:tcPr>
          <w:p w14:paraId="0A35C9DA" w14:textId="77777777" w:rsidR="00937546" w:rsidRDefault="00937546" w:rsidP="00447817">
            <w:pPr>
              <w:rPr>
                <w:rFonts w:ascii="Calibri" w:hAnsi="Calibri" w:cs="Calibri"/>
                <w:color w:val="000000"/>
              </w:rPr>
            </w:pPr>
            <w:r>
              <w:rPr>
                <w:rFonts w:ascii="Calibri" w:hAnsi="Calibri" w:cs="Calibri"/>
                <w:color w:val="000000"/>
              </w:rPr>
              <w:t>PERAMBALUR</w:t>
            </w:r>
          </w:p>
        </w:tc>
        <w:tc>
          <w:tcPr>
            <w:tcW w:w="311" w:type="pct"/>
            <w:tcBorders>
              <w:top w:val="nil"/>
              <w:left w:val="single" w:sz="4" w:space="0" w:color="auto"/>
              <w:bottom w:val="single" w:sz="4" w:space="0" w:color="auto"/>
              <w:right w:val="single" w:sz="4" w:space="0" w:color="auto"/>
            </w:tcBorders>
            <w:shd w:val="clear" w:color="auto" w:fill="auto"/>
            <w:vAlign w:val="bottom"/>
          </w:tcPr>
          <w:p w14:paraId="4C8D725B" w14:textId="77777777" w:rsidR="00937546" w:rsidRDefault="00937546" w:rsidP="00447817">
            <w:pPr>
              <w:jc w:val="right"/>
              <w:rPr>
                <w:rFonts w:ascii="Calibri" w:hAnsi="Calibri" w:cs="Calibri"/>
                <w:color w:val="000000"/>
              </w:rPr>
            </w:pPr>
            <w:r>
              <w:rPr>
                <w:rFonts w:ascii="Calibri" w:hAnsi="Calibri" w:cs="Calibri"/>
                <w:color w:val="000000"/>
              </w:rPr>
              <w:t>0.191</w:t>
            </w:r>
          </w:p>
        </w:tc>
        <w:tc>
          <w:tcPr>
            <w:tcW w:w="391" w:type="pct"/>
            <w:tcBorders>
              <w:top w:val="nil"/>
              <w:left w:val="nil"/>
              <w:bottom w:val="single" w:sz="4" w:space="0" w:color="auto"/>
              <w:right w:val="single" w:sz="4" w:space="0" w:color="auto"/>
            </w:tcBorders>
            <w:shd w:val="clear" w:color="auto" w:fill="auto"/>
            <w:vAlign w:val="bottom"/>
          </w:tcPr>
          <w:p w14:paraId="6968F5CE" w14:textId="77777777" w:rsidR="00937546" w:rsidRDefault="00937546" w:rsidP="00447817">
            <w:pPr>
              <w:jc w:val="right"/>
              <w:rPr>
                <w:rFonts w:ascii="Calibri" w:hAnsi="Calibri" w:cs="Calibri"/>
                <w:color w:val="000000"/>
              </w:rPr>
            </w:pPr>
            <w:r>
              <w:rPr>
                <w:rFonts w:ascii="Calibri" w:hAnsi="Calibri" w:cs="Calibri"/>
                <w:color w:val="000000"/>
              </w:rPr>
              <w:t>0.653</w:t>
            </w:r>
          </w:p>
        </w:tc>
        <w:tc>
          <w:tcPr>
            <w:tcW w:w="353" w:type="pct"/>
            <w:tcBorders>
              <w:top w:val="nil"/>
              <w:left w:val="nil"/>
              <w:bottom w:val="single" w:sz="4" w:space="0" w:color="auto"/>
              <w:right w:val="single" w:sz="4" w:space="0" w:color="auto"/>
            </w:tcBorders>
            <w:shd w:val="clear" w:color="auto" w:fill="auto"/>
            <w:vAlign w:val="bottom"/>
          </w:tcPr>
          <w:p w14:paraId="7AAADD7D" w14:textId="77777777" w:rsidR="00937546" w:rsidRDefault="00937546" w:rsidP="00447817">
            <w:pPr>
              <w:jc w:val="right"/>
              <w:rPr>
                <w:rFonts w:ascii="Calibri" w:hAnsi="Calibri" w:cs="Calibri"/>
                <w:color w:val="000000"/>
              </w:rPr>
            </w:pPr>
            <w:r>
              <w:rPr>
                <w:rFonts w:ascii="Calibri" w:hAnsi="Calibri" w:cs="Calibri"/>
                <w:color w:val="000000"/>
              </w:rPr>
              <w:t>0.715</w:t>
            </w:r>
          </w:p>
        </w:tc>
        <w:tc>
          <w:tcPr>
            <w:tcW w:w="313" w:type="pct"/>
            <w:tcBorders>
              <w:top w:val="nil"/>
              <w:left w:val="nil"/>
              <w:bottom w:val="single" w:sz="4" w:space="0" w:color="auto"/>
              <w:right w:val="single" w:sz="4" w:space="0" w:color="auto"/>
            </w:tcBorders>
            <w:shd w:val="clear" w:color="auto" w:fill="auto"/>
            <w:vAlign w:val="bottom"/>
          </w:tcPr>
          <w:p w14:paraId="07FFF5B5" w14:textId="77777777" w:rsidR="00937546" w:rsidRDefault="00937546" w:rsidP="00447817">
            <w:pPr>
              <w:jc w:val="right"/>
              <w:rPr>
                <w:rFonts w:ascii="Calibri" w:hAnsi="Calibri" w:cs="Calibri"/>
                <w:color w:val="000000"/>
              </w:rPr>
            </w:pPr>
            <w:r>
              <w:rPr>
                <w:rFonts w:ascii="Calibri" w:hAnsi="Calibri" w:cs="Calibri"/>
                <w:color w:val="000000"/>
              </w:rPr>
              <w:t>0.447</w:t>
            </w:r>
          </w:p>
        </w:tc>
        <w:tc>
          <w:tcPr>
            <w:tcW w:w="353" w:type="pct"/>
            <w:tcBorders>
              <w:top w:val="nil"/>
              <w:left w:val="single" w:sz="4" w:space="0" w:color="auto"/>
              <w:bottom w:val="single" w:sz="4" w:space="0" w:color="auto"/>
              <w:right w:val="single" w:sz="4" w:space="0" w:color="auto"/>
            </w:tcBorders>
            <w:shd w:val="clear" w:color="auto" w:fill="auto"/>
            <w:vAlign w:val="bottom"/>
          </w:tcPr>
          <w:p w14:paraId="0181C672" w14:textId="77777777" w:rsidR="00937546" w:rsidRDefault="00937546" w:rsidP="00447817">
            <w:pPr>
              <w:jc w:val="right"/>
              <w:rPr>
                <w:rFonts w:ascii="Calibri" w:hAnsi="Calibri" w:cs="Calibri"/>
                <w:color w:val="000000"/>
              </w:rPr>
            </w:pPr>
            <w:r>
              <w:rPr>
                <w:rFonts w:ascii="Calibri" w:hAnsi="Calibri" w:cs="Calibri"/>
                <w:color w:val="000000"/>
              </w:rPr>
              <w:t>66.6</w:t>
            </w:r>
          </w:p>
        </w:tc>
        <w:tc>
          <w:tcPr>
            <w:tcW w:w="352" w:type="pct"/>
            <w:tcBorders>
              <w:top w:val="nil"/>
              <w:left w:val="single" w:sz="4" w:space="0" w:color="auto"/>
              <w:bottom w:val="single" w:sz="4" w:space="0" w:color="auto"/>
              <w:right w:val="single" w:sz="4" w:space="0" w:color="auto"/>
            </w:tcBorders>
            <w:shd w:val="clear" w:color="auto" w:fill="auto"/>
            <w:vAlign w:val="bottom"/>
          </w:tcPr>
          <w:p w14:paraId="6AA6C4E6" w14:textId="77777777" w:rsidR="00937546" w:rsidRDefault="00937546" w:rsidP="00447817">
            <w:pPr>
              <w:jc w:val="right"/>
              <w:rPr>
                <w:rFonts w:ascii="Calibri" w:hAnsi="Calibri" w:cs="Calibri"/>
                <w:color w:val="000000"/>
              </w:rPr>
            </w:pPr>
            <w:r>
              <w:rPr>
                <w:rFonts w:ascii="Calibri" w:hAnsi="Calibri" w:cs="Calibri"/>
                <w:color w:val="000000"/>
              </w:rPr>
              <w:t>5.7</w:t>
            </w:r>
          </w:p>
        </w:tc>
        <w:tc>
          <w:tcPr>
            <w:tcW w:w="274" w:type="pct"/>
            <w:tcBorders>
              <w:top w:val="nil"/>
              <w:left w:val="single" w:sz="4" w:space="0" w:color="auto"/>
              <w:bottom w:val="single" w:sz="4" w:space="0" w:color="auto"/>
              <w:right w:val="single" w:sz="4" w:space="0" w:color="auto"/>
            </w:tcBorders>
            <w:shd w:val="clear" w:color="auto" w:fill="auto"/>
            <w:vAlign w:val="bottom"/>
          </w:tcPr>
          <w:p w14:paraId="1ADCA252" w14:textId="77777777" w:rsidR="00937546" w:rsidRDefault="00937546" w:rsidP="00447817">
            <w:pPr>
              <w:jc w:val="right"/>
              <w:rPr>
                <w:rFonts w:ascii="Calibri" w:hAnsi="Calibri" w:cs="Calibri"/>
                <w:color w:val="000000"/>
              </w:rPr>
            </w:pPr>
            <w:r>
              <w:rPr>
                <w:rFonts w:ascii="Calibri" w:hAnsi="Calibri" w:cs="Calibri"/>
                <w:color w:val="000000"/>
              </w:rPr>
              <w:t>0.7</w:t>
            </w:r>
          </w:p>
        </w:tc>
        <w:tc>
          <w:tcPr>
            <w:tcW w:w="274" w:type="pct"/>
            <w:tcBorders>
              <w:top w:val="nil"/>
              <w:left w:val="single" w:sz="4" w:space="0" w:color="auto"/>
              <w:bottom w:val="single" w:sz="4" w:space="0" w:color="auto"/>
              <w:right w:val="single" w:sz="4" w:space="0" w:color="auto"/>
            </w:tcBorders>
            <w:shd w:val="clear" w:color="auto" w:fill="auto"/>
            <w:vAlign w:val="bottom"/>
          </w:tcPr>
          <w:p w14:paraId="1D4BDEE9" w14:textId="77777777" w:rsidR="00937546" w:rsidRDefault="00937546" w:rsidP="00447817">
            <w:pPr>
              <w:jc w:val="right"/>
              <w:rPr>
                <w:rFonts w:ascii="Calibri" w:hAnsi="Calibri" w:cs="Calibri"/>
                <w:color w:val="000000"/>
              </w:rPr>
            </w:pPr>
            <w:r>
              <w:rPr>
                <w:rFonts w:ascii="Calibri" w:hAnsi="Calibri" w:cs="Calibri"/>
                <w:color w:val="000000"/>
              </w:rPr>
              <w:t>5.0</w:t>
            </w:r>
          </w:p>
        </w:tc>
        <w:tc>
          <w:tcPr>
            <w:tcW w:w="234" w:type="pct"/>
            <w:tcBorders>
              <w:top w:val="nil"/>
              <w:left w:val="single" w:sz="4" w:space="0" w:color="auto"/>
              <w:bottom w:val="single" w:sz="4" w:space="0" w:color="auto"/>
              <w:right w:val="single" w:sz="4" w:space="0" w:color="auto"/>
            </w:tcBorders>
            <w:shd w:val="clear" w:color="auto" w:fill="auto"/>
            <w:vAlign w:val="bottom"/>
          </w:tcPr>
          <w:p w14:paraId="02B35030" w14:textId="77777777" w:rsidR="00937546" w:rsidRDefault="00937546" w:rsidP="00447817">
            <w:pPr>
              <w:jc w:val="right"/>
              <w:rPr>
                <w:rFonts w:ascii="Calibri" w:hAnsi="Calibri" w:cs="Calibri"/>
                <w:color w:val="000000"/>
              </w:rPr>
            </w:pPr>
            <w:r>
              <w:rPr>
                <w:rFonts w:ascii="Calibri" w:hAnsi="Calibri" w:cs="Calibri"/>
                <w:color w:val="000000"/>
              </w:rPr>
              <w:t>3895.0</w:t>
            </w:r>
          </w:p>
        </w:tc>
        <w:tc>
          <w:tcPr>
            <w:tcW w:w="313" w:type="pct"/>
            <w:tcBorders>
              <w:top w:val="nil"/>
              <w:left w:val="single" w:sz="4" w:space="0" w:color="auto"/>
              <w:bottom w:val="single" w:sz="4" w:space="0" w:color="auto"/>
              <w:right w:val="single" w:sz="4" w:space="0" w:color="auto"/>
            </w:tcBorders>
            <w:shd w:val="clear" w:color="auto" w:fill="auto"/>
            <w:vAlign w:val="bottom"/>
          </w:tcPr>
          <w:p w14:paraId="3417F61D" w14:textId="77777777" w:rsidR="00937546" w:rsidRDefault="00937546" w:rsidP="00447817">
            <w:pPr>
              <w:jc w:val="right"/>
              <w:rPr>
                <w:rFonts w:ascii="Calibri" w:hAnsi="Calibri" w:cs="Calibri"/>
                <w:color w:val="000000"/>
              </w:rPr>
            </w:pPr>
            <w:r>
              <w:rPr>
                <w:rFonts w:ascii="Calibri" w:hAnsi="Calibri" w:cs="Calibri"/>
                <w:color w:val="000000"/>
              </w:rPr>
              <w:t>1440.4</w:t>
            </w:r>
          </w:p>
        </w:tc>
        <w:tc>
          <w:tcPr>
            <w:tcW w:w="272" w:type="pct"/>
            <w:tcBorders>
              <w:top w:val="nil"/>
              <w:left w:val="single" w:sz="4" w:space="0" w:color="auto"/>
              <w:bottom w:val="single" w:sz="4" w:space="0" w:color="auto"/>
              <w:right w:val="single" w:sz="4" w:space="0" w:color="auto"/>
            </w:tcBorders>
            <w:shd w:val="clear" w:color="auto" w:fill="auto"/>
            <w:vAlign w:val="bottom"/>
          </w:tcPr>
          <w:p w14:paraId="1649849E" w14:textId="77777777" w:rsidR="00937546" w:rsidRDefault="00937546" w:rsidP="00447817">
            <w:pPr>
              <w:jc w:val="right"/>
              <w:rPr>
                <w:rFonts w:ascii="Calibri" w:hAnsi="Calibri" w:cs="Calibri"/>
                <w:color w:val="000000"/>
              </w:rPr>
            </w:pPr>
            <w:r>
              <w:rPr>
                <w:rFonts w:ascii="Calibri" w:hAnsi="Calibri" w:cs="Calibri"/>
                <w:color w:val="000000"/>
              </w:rPr>
              <w:t>2454.6</w:t>
            </w:r>
          </w:p>
        </w:tc>
        <w:tc>
          <w:tcPr>
            <w:tcW w:w="272" w:type="pct"/>
            <w:tcBorders>
              <w:top w:val="nil"/>
              <w:left w:val="single" w:sz="4" w:space="0" w:color="auto"/>
              <w:bottom w:val="single" w:sz="4" w:space="0" w:color="auto"/>
              <w:right w:val="single" w:sz="4" w:space="0" w:color="auto"/>
            </w:tcBorders>
            <w:shd w:val="clear" w:color="auto" w:fill="auto"/>
            <w:vAlign w:val="bottom"/>
          </w:tcPr>
          <w:p w14:paraId="1D714FDB" w14:textId="77777777" w:rsidR="00937546" w:rsidRDefault="00937546" w:rsidP="00447817">
            <w:pPr>
              <w:jc w:val="right"/>
              <w:rPr>
                <w:rFonts w:ascii="Calibri" w:hAnsi="Calibri" w:cs="Calibri"/>
                <w:color w:val="000000"/>
              </w:rPr>
            </w:pPr>
            <w:r>
              <w:rPr>
                <w:rFonts w:ascii="Calibri" w:hAnsi="Calibri" w:cs="Calibri"/>
                <w:color w:val="000000"/>
              </w:rPr>
              <w:t>5019.0</w:t>
            </w:r>
          </w:p>
        </w:tc>
        <w:tc>
          <w:tcPr>
            <w:tcW w:w="272" w:type="pct"/>
            <w:tcBorders>
              <w:top w:val="nil"/>
              <w:left w:val="single" w:sz="4" w:space="0" w:color="auto"/>
              <w:bottom w:val="single" w:sz="4" w:space="0" w:color="auto"/>
              <w:right w:val="single" w:sz="4" w:space="0" w:color="auto"/>
            </w:tcBorders>
            <w:shd w:val="clear" w:color="auto" w:fill="auto"/>
            <w:vAlign w:val="bottom"/>
          </w:tcPr>
          <w:p w14:paraId="1F114FB7" w14:textId="77777777" w:rsidR="00937546" w:rsidRDefault="00937546" w:rsidP="00447817">
            <w:pPr>
              <w:jc w:val="right"/>
              <w:rPr>
                <w:rFonts w:ascii="Calibri" w:hAnsi="Calibri" w:cs="Calibri"/>
                <w:color w:val="000000"/>
              </w:rPr>
            </w:pPr>
            <w:r>
              <w:rPr>
                <w:rFonts w:ascii="Calibri" w:hAnsi="Calibri" w:cs="Calibri"/>
                <w:color w:val="000000"/>
              </w:rPr>
              <w:t>1269.6</w:t>
            </w:r>
          </w:p>
        </w:tc>
        <w:tc>
          <w:tcPr>
            <w:tcW w:w="269" w:type="pct"/>
            <w:tcBorders>
              <w:top w:val="nil"/>
              <w:left w:val="nil"/>
              <w:bottom w:val="single" w:sz="4" w:space="0" w:color="auto"/>
              <w:right w:val="single" w:sz="4" w:space="0" w:color="auto"/>
            </w:tcBorders>
            <w:shd w:val="clear" w:color="auto" w:fill="auto"/>
            <w:vAlign w:val="bottom"/>
          </w:tcPr>
          <w:p w14:paraId="762BDA12" w14:textId="77777777" w:rsidR="00937546" w:rsidRDefault="00937546" w:rsidP="00447817">
            <w:pPr>
              <w:jc w:val="right"/>
              <w:rPr>
                <w:rFonts w:ascii="Calibri" w:hAnsi="Calibri" w:cs="Calibri"/>
                <w:color w:val="000000"/>
              </w:rPr>
            </w:pPr>
            <w:r>
              <w:rPr>
                <w:rFonts w:ascii="Calibri" w:hAnsi="Calibri" w:cs="Calibri"/>
                <w:color w:val="000000"/>
              </w:rPr>
              <w:t>3749.4</w:t>
            </w:r>
          </w:p>
        </w:tc>
      </w:tr>
      <w:tr w:rsidR="008B5959" w:rsidRPr="00E91A88" w14:paraId="1205A94F" w14:textId="77777777" w:rsidTr="00447817">
        <w:trPr>
          <w:trHeight w:val="251"/>
        </w:trPr>
        <w:tc>
          <w:tcPr>
            <w:tcW w:w="747" w:type="pct"/>
            <w:noWrap/>
            <w:vAlign w:val="bottom"/>
            <w:hideMark/>
          </w:tcPr>
          <w:p w14:paraId="12E85BEE" w14:textId="77777777" w:rsidR="00937546" w:rsidRDefault="00937546" w:rsidP="00447817">
            <w:pPr>
              <w:rPr>
                <w:rFonts w:ascii="Calibri" w:hAnsi="Calibri" w:cs="Calibri"/>
                <w:color w:val="000000"/>
              </w:rPr>
            </w:pPr>
            <w:r>
              <w:rPr>
                <w:rFonts w:ascii="Calibri" w:hAnsi="Calibri" w:cs="Calibri"/>
                <w:color w:val="000000"/>
              </w:rPr>
              <w:t>PUDUKOTTAI</w:t>
            </w:r>
          </w:p>
        </w:tc>
        <w:tc>
          <w:tcPr>
            <w:tcW w:w="311" w:type="pct"/>
            <w:tcBorders>
              <w:top w:val="nil"/>
              <w:left w:val="single" w:sz="4" w:space="0" w:color="auto"/>
              <w:bottom w:val="single" w:sz="4" w:space="0" w:color="auto"/>
              <w:right w:val="single" w:sz="4" w:space="0" w:color="auto"/>
            </w:tcBorders>
            <w:shd w:val="clear" w:color="auto" w:fill="auto"/>
            <w:vAlign w:val="bottom"/>
          </w:tcPr>
          <w:p w14:paraId="771B6584" w14:textId="77777777" w:rsidR="00937546" w:rsidRDefault="00937546" w:rsidP="00447817">
            <w:pPr>
              <w:jc w:val="right"/>
              <w:rPr>
                <w:rFonts w:ascii="Calibri" w:hAnsi="Calibri" w:cs="Calibri"/>
                <w:color w:val="000000"/>
              </w:rPr>
            </w:pPr>
            <w:r>
              <w:rPr>
                <w:rFonts w:ascii="Calibri" w:hAnsi="Calibri" w:cs="Calibri"/>
                <w:color w:val="000000"/>
              </w:rPr>
              <w:t>0.54</w:t>
            </w:r>
          </w:p>
        </w:tc>
        <w:tc>
          <w:tcPr>
            <w:tcW w:w="391" w:type="pct"/>
            <w:tcBorders>
              <w:top w:val="nil"/>
              <w:left w:val="nil"/>
              <w:bottom w:val="single" w:sz="4" w:space="0" w:color="auto"/>
              <w:right w:val="single" w:sz="4" w:space="0" w:color="auto"/>
            </w:tcBorders>
            <w:shd w:val="clear" w:color="auto" w:fill="auto"/>
            <w:vAlign w:val="bottom"/>
          </w:tcPr>
          <w:p w14:paraId="711271A9" w14:textId="77777777" w:rsidR="00937546" w:rsidRDefault="00937546" w:rsidP="00447817">
            <w:pPr>
              <w:jc w:val="right"/>
              <w:rPr>
                <w:rFonts w:ascii="Calibri" w:hAnsi="Calibri" w:cs="Calibri"/>
                <w:color w:val="000000"/>
              </w:rPr>
            </w:pPr>
            <w:r>
              <w:rPr>
                <w:rFonts w:ascii="Calibri" w:hAnsi="Calibri" w:cs="Calibri"/>
                <w:color w:val="000000"/>
              </w:rPr>
              <w:t>0.648</w:t>
            </w:r>
          </w:p>
        </w:tc>
        <w:tc>
          <w:tcPr>
            <w:tcW w:w="353" w:type="pct"/>
            <w:tcBorders>
              <w:top w:val="nil"/>
              <w:left w:val="nil"/>
              <w:bottom w:val="single" w:sz="4" w:space="0" w:color="auto"/>
              <w:right w:val="single" w:sz="4" w:space="0" w:color="auto"/>
            </w:tcBorders>
            <w:shd w:val="clear" w:color="auto" w:fill="auto"/>
            <w:vAlign w:val="bottom"/>
          </w:tcPr>
          <w:p w14:paraId="6B9F5235" w14:textId="77777777" w:rsidR="00937546" w:rsidRDefault="00937546" w:rsidP="00447817">
            <w:pPr>
              <w:jc w:val="right"/>
              <w:rPr>
                <w:rFonts w:ascii="Calibri" w:hAnsi="Calibri" w:cs="Calibri"/>
                <w:color w:val="000000"/>
              </w:rPr>
            </w:pPr>
            <w:r>
              <w:rPr>
                <w:rFonts w:ascii="Calibri" w:hAnsi="Calibri" w:cs="Calibri"/>
                <w:color w:val="000000"/>
              </w:rPr>
              <w:t>0.719</w:t>
            </w:r>
          </w:p>
        </w:tc>
        <w:tc>
          <w:tcPr>
            <w:tcW w:w="313" w:type="pct"/>
            <w:tcBorders>
              <w:top w:val="nil"/>
              <w:left w:val="nil"/>
              <w:bottom w:val="single" w:sz="4" w:space="0" w:color="auto"/>
              <w:right w:val="single" w:sz="4" w:space="0" w:color="auto"/>
            </w:tcBorders>
            <w:shd w:val="clear" w:color="auto" w:fill="auto"/>
            <w:vAlign w:val="bottom"/>
          </w:tcPr>
          <w:p w14:paraId="5A21B828" w14:textId="77777777" w:rsidR="00937546" w:rsidRDefault="00937546" w:rsidP="00447817">
            <w:pPr>
              <w:jc w:val="right"/>
              <w:rPr>
                <w:rFonts w:ascii="Calibri" w:hAnsi="Calibri" w:cs="Calibri"/>
                <w:color w:val="000000"/>
              </w:rPr>
            </w:pPr>
            <w:r>
              <w:rPr>
                <w:rFonts w:ascii="Calibri" w:hAnsi="Calibri" w:cs="Calibri"/>
                <w:color w:val="000000"/>
              </w:rPr>
              <w:t>0.631</w:t>
            </w:r>
          </w:p>
        </w:tc>
        <w:tc>
          <w:tcPr>
            <w:tcW w:w="353" w:type="pct"/>
            <w:tcBorders>
              <w:top w:val="nil"/>
              <w:left w:val="single" w:sz="4" w:space="0" w:color="auto"/>
              <w:bottom w:val="single" w:sz="4" w:space="0" w:color="auto"/>
              <w:right w:val="single" w:sz="4" w:space="0" w:color="auto"/>
            </w:tcBorders>
            <w:shd w:val="clear" w:color="auto" w:fill="auto"/>
            <w:vAlign w:val="bottom"/>
          </w:tcPr>
          <w:p w14:paraId="5AA2CEF1" w14:textId="77777777" w:rsidR="00937546" w:rsidRDefault="00937546" w:rsidP="00447817">
            <w:pPr>
              <w:jc w:val="right"/>
              <w:rPr>
                <w:rFonts w:ascii="Calibri" w:hAnsi="Calibri" w:cs="Calibri"/>
                <w:color w:val="000000"/>
              </w:rPr>
            </w:pPr>
            <w:r>
              <w:rPr>
                <w:rFonts w:ascii="Calibri" w:hAnsi="Calibri" w:cs="Calibri"/>
                <w:color w:val="000000"/>
              </w:rPr>
              <w:t>64.9</w:t>
            </w:r>
          </w:p>
        </w:tc>
        <w:tc>
          <w:tcPr>
            <w:tcW w:w="352" w:type="pct"/>
            <w:tcBorders>
              <w:top w:val="nil"/>
              <w:left w:val="single" w:sz="4" w:space="0" w:color="auto"/>
              <w:bottom w:val="single" w:sz="4" w:space="0" w:color="auto"/>
              <w:right w:val="single" w:sz="4" w:space="0" w:color="auto"/>
            </w:tcBorders>
            <w:shd w:val="clear" w:color="auto" w:fill="auto"/>
            <w:vAlign w:val="bottom"/>
          </w:tcPr>
          <w:p w14:paraId="32E9C96B" w14:textId="77777777" w:rsidR="00937546" w:rsidRDefault="00937546" w:rsidP="00447817">
            <w:pPr>
              <w:jc w:val="right"/>
              <w:rPr>
                <w:rFonts w:ascii="Calibri" w:hAnsi="Calibri" w:cs="Calibri"/>
                <w:color w:val="000000"/>
              </w:rPr>
            </w:pPr>
            <w:r>
              <w:rPr>
                <w:rFonts w:ascii="Calibri" w:hAnsi="Calibri" w:cs="Calibri"/>
                <w:color w:val="000000"/>
              </w:rPr>
              <w:t>4.4</w:t>
            </w:r>
          </w:p>
        </w:tc>
        <w:tc>
          <w:tcPr>
            <w:tcW w:w="274" w:type="pct"/>
            <w:tcBorders>
              <w:top w:val="nil"/>
              <w:left w:val="single" w:sz="4" w:space="0" w:color="auto"/>
              <w:bottom w:val="single" w:sz="4" w:space="0" w:color="auto"/>
              <w:right w:val="single" w:sz="4" w:space="0" w:color="auto"/>
            </w:tcBorders>
            <w:shd w:val="clear" w:color="auto" w:fill="auto"/>
            <w:vAlign w:val="bottom"/>
          </w:tcPr>
          <w:p w14:paraId="4DE0EDDB" w14:textId="77777777" w:rsidR="00937546" w:rsidRDefault="00937546" w:rsidP="00447817">
            <w:pPr>
              <w:jc w:val="right"/>
              <w:rPr>
                <w:rFonts w:ascii="Calibri" w:hAnsi="Calibri" w:cs="Calibri"/>
                <w:color w:val="000000"/>
              </w:rPr>
            </w:pPr>
            <w:r>
              <w:rPr>
                <w:rFonts w:ascii="Calibri" w:hAnsi="Calibri" w:cs="Calibri"/>
                <w:color w:val="000000"/>
              </w:rPr>
              <w:t>2.3</w:t>
            </w:r>
          </w:p>
        </w:tc>
        <w:tc>
          <w:tcPr>
            <w:tcW w:w="274" w:type="pct"/>
            <w:tcBorders>
              <w:top w:val="nil"/>
              <w:left w:val="single" w:sz="4" w:space="0" w:color="auto"/>
              <w:bottom w:val="single" w:sz="4" w:space="0" w:color="auto"/>
              <w:right w:val="single" w:sz="4" w:space="0" w:color="auto"/>
            </w:tcBorders>
            <w:shd w:val="clear" w:color="auto" w:fill="auto"/>
            <w:vAlign w:val="bottom"/>
          </w:tcPr>
          <w:p w14:paraId="4911B82F" w14:textId="77777777" w:rsidR="00937546" w:rsidRDefault="00937546" w:rsidP="00447817">
            <w:pPr>
              <w:jc w:val="right"/>
              <w:rPr>
                <w:rFonts w:ascii="Calibri" w:hAnsi="Calibri" w:cs="Calibri"/>
                <w:color w:val="000000"/>
              </w:rPr>
            </w:pPr>
            <w:r>
              <w:rPr>
                <w:rFonts w:ascii="Calibri" w:hAnsi="Calibri" w:cs="Calibri"/>
                <w:color w:val="000000"/>
              </w:rPr>
              <w:t>2.1</w:t>
            </w:r>
          </w:p>
        </w:tc>
        <w:tc>
          <w:tcPr>
            <w:tcW w:w="234" w:type="pct"/>
            <w:tcBorders>
              <w:top w:val="nil"/>
              <w:left w:val="single" w:sz="4" w:space="0" w:color="auto"/>
              <w:bottom w:val="single" w:sz="4" w:space="0" w:color="auto"/>
              <w:right w:val="single" w:sz="4" w:space="0" w:color="auto"/>
            </w:tcBorders>
            <w:shd w:val="clear" w:color="auto" w:fill="auto"/>
            <w:vAlign w:val="bottom"/>
          </w:tcPr>
          <w:p w14:paraId="47D3C3CE" w14:textId="77777777" w:rsidR="00937546" w:rsidRDefault="00937546" w:rsidP="00447817">
            <w:pPr>
              <w:jc w:val="right"/>
              <w:rPr>
                <w:rFonts w:ascii="Calibri" w:hAnsi="Calibri" w:cs="Calibri"/>
                <w:color w:val="000000"/>
              </w:rPr>
            </w:pPr>
            <w:r>
              <w:rPr>
                <w:rFonts w:ascii="Calibri" w:hAnsi="Calibri" w:cs="Calibri"/>
                <w:color w:val="000000"/>
              </w:rPr>
              <w:t>2771.9</w:t>
            </w:r>
          </w:p>
        </w:tc>
        <w:tc>
          <w:tcPr>
            <w:tcW w:w="313" w:type="pct"/>
            <w:tcBorders>
              <w:top w:val="nil"/>
              <w:left w:val="single" w:sz="4" w:space="0" w:color="auto"/>
              <w:bottom w:val="single" w:sz="4" w:space="0" w:color="auto"/>
              <w:right w:val="single" w:sz="4" w:space="0" w:color="auto"/>
            </w:tcBorders>
            <w:shd w:val="clear" w:color="auto" w:fill="auto"/>
            <w:vAlign w:val="bottom"/>
          </w:tcPr>
          <w:p w14:paraId="220BA2C9" w14:textId="77777777" w:rsidR="00937546" w:rsidRDefault="00937546" w:rsidP="00447817">
            <w:pPr>
              <w:jc w:val="right"/>
              <w:rPr>
                <w:rFonts w:ascii="Calibri" w:hAnsi="Calibri" w:cs="Calibri"/>
                <w:color w:val="000000"/>
              </w:rPr>
            </w:pPr>
            <w:r>
              <w:rPr>
                <w:rFonts w:ascii="Calibri" w:hAnsi="Calibri" w:cs="Calibri"/>
                <w:color w:val="000000"/>
              </w:rPr>
              <w:t>1292.4</w:t>
            </w:r>
          </w:p>
        </w:tc>
        <w:tc>
          <w:tcPr>
            <w:tcW w:w="272" w:type="pct"/>
            <w:tcBorders>
              <w:top w:val="nil"/>
              <w:left w:val="single" w:sz="4" w:space="0" w:color="auto"/>
              <w:bottom w:val="single" w:sz="4" w:space="0" w:color="auto"/>
              <w:right w:val="single" w:sz="4" w:space="0" w:color="auto"/>
            </w:tcBorders>
            <w:shd w:val="clear" w:color="auto" w:fill="auto"/>
            <w:vAlign w:val="bottom"/>
          </w:tcPr>
          <w:p w14:paraId="3370B08B" w14:textId="77777777" w:rsidR="00937546" w:rsidRDefault="00937546" w:rsidP="00447817">
            <w:pPr>
              <w:jc w:val="right"/>
              <w:rPr>
                <w:rFonts w:ascii="Calibri" w:hAnsi="Calibri" w:cs="Calibri"/>
                <w:color w:val="000000"/>
              </w:rPr>
            </w:pPr>
            <w:r>
              <w:rPr>
                <w:rFonts w:ascii="Calibri" w:hAnsi="Calibri" w:cs="Calibri"/>
                <w:color w:val="000000"/>
              </w:rPr>
              <w:t>1479.5</w:t>
            </w:r>
          </w:p>
        </w:tc>
        <w:tc>
          <w:tcPr>
            <w:tcW w:w="272" w:type="pct"/>
            <w:tcBorders>
              <w:top w:val="nil"/>
              <w:left w:val="single" w:sz="4" w:space="0" w:color="auto"/>
              <w:bottom w:val="single" w:sz="4" w:space="0" w:color="auto"/>
              <w:right w:val="single" w:sz="4" w:space="0" w:color="auto"/>
            </w:tcBorders>
            <w:shd w:val="clear" w:color="auto" w:fill="auto"/>
            <w:vAlign w:val="bottom"/>
          </w:tcPr>
          <w:p w14:paraId="05318ED4" w14:textId="77777777" w:rsidR="00937546" w:rsidRDefault="00937546" w:rsidP="00447817">
            <w:pPr>
              <w:jc w:val="right"/>
              <w:rPr>
                <w:rFonts w:ascii="Calibri" w:hAnsi="Calibri" w:cs="Calibri"/>
                <w:color w:val="000000"/>
              </w:rPr>
            </w:pPr>
            <w:r>
              <w:rPr>
                <w:rFonts w:ascii="Calibri" w:hAnsi="Calibri" w:cs="Calibri"/>
                <w:color w:val="000000"/>
              </w:rPr>
              <w:t>949.5</w:t>
            </w:r>
          </w:p>
        </w:tc>
        <w:tc>
          <w:tcPr>
            <w:tcW w:w="272" w:type="pct"/>
            <w:tcBorders>
              <w:top w:val="nil"/>
              <w:left w:val="single" w:sz="4" w:space="0" w:color="auto"/>
              <w:bottom w:val="single" w:sz="4" w:space="0" w:color="auto"/>
              <w:right w:val="single" w:sz="4" w:space="0" w:color="auto"/>
            </w:tcBorders>
            <w:shd w:val="clear" w:color="auto" w:fill="auto"/>
            <w:vAlign w:val="bottom"/>
          </w:tcPr>
          <w:p w14:paraId="594115AF" w14:textId="77777777" w:rsidR="00937546" w:rsidRDefault="00937546" w:rsidP="00447817">
            <w:pPr>
              <w:jc w:val="right"/>
              <w:rPr>
                <w:rFonts w:ascii="Calibri" w:hAnsi="Calibri" w:cs="Calibri"/>
                <w:color w:val="000000"/>
              </w:rPr>
            </w:pPr>
            <w:r>
              <w:rPr>
                <w:rFonts w:ascii="Calibri" w:hAnsi="Calibri" w:cs="Calibri"/>
                <w:color w:val="000000"/>
              </w:rPr>
              <w:t>591.2</w:t>
            </w:r>
          </w:p>
        </w:tc>
        <w:tc>
          <w:tcPr>
            <w:tcW w:w="269" w:type="pct"/>
            <w:tcBorders>
              <w:top w:val="nil"/>
              <w:left w:val="nil"/>
              <w:bottom w:val="single" w:sz="4" w:space="0" w:color="auto"/>
              <w:right w:val="single" w:sz="4" w:space="0" w:color="auto"/>
            </w:tcBorders>
            <w:shd w:val="clear" w:color="auto" w:fill="auto"/>
            <w:vAlign w:val="bottom"/>
          </w:tcPr>
          <w:p w14:paraId="30E9BD08" w14:textId="77777777" w:rsidR="00937546" w:rsidRDefault="00937546" w:rsidP="00447817">
            <w:pPr>
              <w:jc w:val="right"/>
              <w:rPr>
                <w:rFonts w:ascii="Calibri" w:hAnsi="Calibri" w:cs="Calibri"/>
                <w:color w:val="000000"/>
              </w:rPr>
            </w:pPr>
            <w:r>
              <w:rPr>
                <w:rFonts w:ascii="Calibri" w:hAnsi="Calibri" w:cs="Calibri"/>
                <w:color w:val="000000"/>
              </w:rPr>
              <w:t>358.3</w:t>
            </w:r>
          </w:p>
        </w:tc>
      </w:tr>
      <w:tr w:rsidR="008B5959" w:rsidRPr="00E91A88" w14:paraId="4059A8C9" w14:textId="77777777" w:rsidTr="00447817">
        <w:trPr>
          <w:trHeight w:val="251"/>
        </w:trPr>
        <w:tc>
          <w:tcPr>
            <w:tcW w:w="747" w:type="pct"/>
            <w:noWrap/>
            <w:vAlign w:val="bottom"/>
            <w:hideMark/>
          </w:tcPr>
          <w:p w14:paraId="7E3D0786" w14:textId="77777777" w:rsidR="00937546" w:rsidRDefault="00937546" w:rsidP="00447817">
            <w:pPr>
              <w:rPr>
                <w:rFonts w:ascii="Calibri" w:hAnsi="Calibri" w:cs="Calibri"/>
                <w:color w:val="000000"/>
              </w:rPr>
            </w:pPr>
            <w:r>
              <w:rPr>
                <w:rFonts w:ascii="Calibri" w:hAnsi="Calibri" w:cs="Calibri"/>
                <w:color w:val="000000"/>
              </w:rPr>
              <w:t>RAMANATHAPURAM</w:t>
            </w:r>
          </w:p>
        </w:tc>
        <w:tc>
          <w:tcPr>
            <w:tcW w:w="311" w:type="pct"/>
            <w:tcBorders>
              <w:top w:val="nil"/>
              <w:left w:val="single" w:sz="4" w:space="0" w:color="auto"/>
              <w:bottom w:val="single" w:sz="4" w:space="0" w:color="auto"/>
              <w:right w:val="single" w:sz="4" w:space="0" w:color="auto"/>
            </w:tcBorders>
            <w:shd w:val="clear" w:color="auto" w:fill="auto"/>
            <w:vAlign w:val="bottom"/>
          </w:tcPr>
          <w:p w14:paraId="065698FE" w14:textId="77777777" w:rsidR="00937546" w:rsidRDefault="00937546" w:rsidP="00447817">
            <w:pPr>
              <w:jc w:val="right"/>
              <w:rPr>
                <w:rFonts w:ascii="Calibri" w:hAnsi="Calibri" w:cs="Calibri"/>
                <w:color w:val="000000"/>
              </w:rPr>
            </w:pPr>
            <w:r>
              <w:rPr>
                <w:rFonts w:ascii="Calibri" w:hAnsi="Calibri" w:cs="Calibri"/>
                <w:color w:val="000000"/>
              </w:rPr>
              <w:t>0.55</w:t>
            </w:r>
          </w:p>
        </w:tc>
        <w:tc>
          <w:tcPr>
            <w:tcW w:w="391" w:type="pct"/>
            <w:tcBorders>
              <w:top w:val="nil"/>
              <w:left w:val="nil"/>
              <w:bottom w:val="single" w:sz="4" w:space="0" w:color="auto"/>
              <w:right w:val="single" w:sz="4" w:space="0" w:color="auto"/>
            </w:tcBorders>
            <w:shd w:val="clear" w:color="auto" w:fill="auto"/>
            <w:vAlign w:val="bottom"/>
          </w:tcPr>
          <w:p w14:paraId="4337FEBF" w14:textId="77777777" w:rsidR="00937546" w:rsidRDefault="00937546" w:rsidP="00447817">
            <w:pPr>
              <w:jc w:val="right"/>
              <w:rPr>
                <w:rFonts w:ascii="Calibri" w:hAnsi="Calibri" w:cs="Calibri"/>
                <w:color w:val="000000"/>
              </w:rPr>
            </w:pPr>
            <w:r>
              <w:rPr>
                <w:rFonts w:ascii="Calibri" w:hAnsi="Calibri" w:cs="Calibri"/>
                <w:color w:val="000000"/>
              </w:rPr>
              <w:t>0.659</w:t>
            </w:r>
          </w:p>
        </w:tc>
        <w:tc>
          <w:tcPr>
            <w:tcW w:w="353" w:type="pct"/>
            <w:tcBorders>
              <w:top w:val="nil"/>
              <w:left w:val="nil"/>
              <w:bottom w:val="single" w:sz="4" w:space="0" w:color="auto"/>
              <w:right w:val="single" w:sz="4" w:space="0" w:color="auto"/>
            </w:tcBorders>
            <w:shd w:val="clear" w:color="auto" w:fill="auto"/>
            <w:vAlign w:val="bottom"/>
          </w:tcPr>
          <w:p w14:paraId="5634C13F" w14:textId="77777777" w:rsidR="00937546" w:rsidRDefault="00937546" w:rsidP="00447817">
            <w:pPr>
              <w:jc w:val="right"/>
              <w:rPr>
                <w:rFonts w:ascii="Calibri" w:hAnsi="Calibri" w:cs="Calibri"/>
                <w:color w:val="000000"/>
              </w:rPr>
            </w:pPr>
            <w:r>
              <w:rPr>
                <w:rFonts w:ascii="Calibri" w:hAnsi="Calibri" w:cs="Calibri"/>
                <w:color w:val="000000"/>
              </w:rPr>
              <w:t>0.769</w:t>
            </w:r>
          </w:p>
        </w:tc>
        <w:tc>
          <w:tcPr>
            <w:tcW w:w="313" w:type="pct"/>
            <w:tcBorders>
              <w:top w:val="nil"/>
              <w:left w:val="nil"/>
              <w:bottom w:val="single" w:sz="4" w:space="0" w:color="auto"/>
              <w:right w:val="single" w:sz="4" w:space="0" w:color="auto"/>
            </w:tcBorders>
            <w:shd w:val="clear" w:color="auto" w:fill="auto"/>
            <w:vAlign w:val="bottom"/>
          </w:tcPr>
          <w:p w14:paraId="40E68240" w14:textId="77777777" w:rsidR="00937546" w:rsidRDefault="00937546" w:rsidP="00447817">
            <w:pPr>
              <w:jc w:val="right"/>
              <w:rPr>
                <w:rFonts w:ascii="Calibri" w:hAnsi="Calibri" w:cs="Calibri"/>
                <w:color w:val="000000"/>
              </w:rPr>
            </w:pPr>
            <w:r>
              <w:rPr>
                <w:rFonts w:ascii="Calibri" w:hAnsi="Calibri" w:cs="Calibri"/>
                <w:color w:val="000000"/>
              </w:rPr>
              <w:t>0.653</w:t>
            </w:r>
          </w:p>
        </w:tc>
        <w:tc>
          <w:tcPr>
            <w:tcW w:w="353" w:type="pct"/>
            <w:tcBorders>
              <w:top w:val="nil"/>
              <w:left w:val="single" w:sz="4" w:space="0" w:color="auto"/>
              <w:bottom w:val="single" w:sz="4" w:space="0" w:color="auto"/>
              <w:right w:val="single" w:sz="4" w:space="0" w:color="auto"/>
            </w:tcBorders>
            <w:shd w:val="clear" w:color="auto" w:fill="auto"/>
            <w:vAlign w:val="bottom"/>
          </w:tcPr>
          <w:p w14:paraId="661FAE75" w14:textId="77777777" w:rsidR="00937546" w:rsidRDefault="00937546" w:rsidP="00447817">
            <w:pPr>
              <w:jc w:val="right"/>
              <w:rPr>
                <w:rFonts w:ascii="Calibri" w:hAnsi="Calibri" w:cs="Calibri"/>
                <w:color w:val="000000"/>
              </w:rPr>
            </w:pPr>
            <w:r>
              <w:rPr>
                <w:rFonts w:ascii="Calibri" w:hAnsi="Calibri" w:cs="Calibri"/>
                <w:color w:val="000000"/>
              </w:rPr>
              <w:t>57.2</w:t>
            </w:r>
          </w:p>
        </w:tc>
        <w:tc>
          <w:tcPr>
            <w:tcW w:w="352" w:type="pct"/>
            <w:tcBorders>
              <w:top w:val="nil"/>
              <w:left w:val="single" w:sz="4" w:space="0" w:color="auto"/>
              <w:bottom w:val="single" w:sz="4" w:space="0" w:color="auto"/>
              <w:right w:val="single" w:sz="4" w:space="0" w:color="auto"/>
            </w:tcBorders>
            <w:shd w:val="clear" w:color="auto" w:fill="auto"/>
            <w:vAlign w:val="bottom"/>
          </w:tcPr>
          <w:p w14:paraId="6874BD35" w14:textId="77777777" w:rsidR="00937546" w:rsidRDefault="00937546" w:rsidP="00447817">
            <w:pPr>
              <w:jc w:val="right"/>
              <w:rPr>
                <w:rFonts w:ascii="Calibri" w:hAnsi="Calibri" w:cs="Calibri"/>
                <w:color w:val="000000"/>
              </w:rPr>
            </w:pPr>
            <w:r>
              <w:rPr>
                <w:rFonts w:ascii="Calibri" w:hAnsi="Calibri" w:cs="Calibri"/>
                <w:color w:val="000000"/>
              </w:rPr>
              <w:t>4.5</w:t>
            </w:r>
          </w:p>
        </w:tc>
        <w:tc>
          <w:tcPr>
            <w:tcW w:w="274" w:type="pct"/>
            <w:tcBorders>
              <w:top w:val="nil"/>
              <w:left w:val="single" w:sz="4" w:space="0" w:color="auto"/>
              <w:bottom w:val="single" w:sz="4" w:space="0" w:color="auto"/>
              <w:right w:val="single" w:sz="4" w:space="0" w:color="auto"/>
            </w:tcBorders>
            <w:shd w:val="clear" w:color="auto" w:fill="auto"/>
            <w:vAlign w:val="bottom"/>
          </w:tcPr>
          <w:p w14:paraId="618B7A03" w14:textId="77777777" w:rsidR="00937546" w:rsidRDefault="00937546" w:rsidP="00447817">
            <w:pPr>
              <w:jc w:val="right"/>
              <w:rPr>
                <w:rFonts w:ascii="Calibri" w:hAnsi="Calibri" w:cs="Calibri"/>
                <w:color w:val="000000"/>
              </w:rPr>
            </w:pPr>
            <w:r>
              <w:rPr>
                <w:rFonts w:ascii="Calibri" w:hAnsi="Calibri" w:cs="Calibri"/>
                <w:color w:val="000000"/>
              </w:rPr>
              <w:t>3.5</w:t>
            </w:r>
          </w:p>
        </w:tc>
        <w:tc>
          <w:tcPr>
            <w:tcW w:w="274" w:type="pct"/>
            <w:tcBorders>
              <w:top w:val="nil"/>
              <w:left w:val="single" w:sz="4" w:space="0" w:color="auto"/>
              <w:bottom w:val="single" w:sz="4" w:space="0" w:color="auto"/>
              <w:right w:val="single" w:sz="4" w:space="0" w:color="auto"/>
            </w:tcBorders>
            <w:shd w:val="clear" w:color="auto" w:fill="auto"/>
            <w:vAlign w:val="bottom"/>
          </w:tcPr>
          <w:p w14:paraId="3ED4A42D" w14:textId="77777777" w:rsidR="00937546" w:rsidRDefault="00937546" w:rsidP="00447817">
            <w:pPr>
              <w:jc w:val="right"/>
              <w:rPr>
                <w:rFonts w:ascii="Calibri" w:hAnsi="Calibri" w:cs="Calibri"/>
                <w:color w:val="000000"/>
              </w:rPr>
            </w:pPr>
            <w:r>
              <w:rPr>
                <w:rFonts w:ascii="Calibri" w:hAnsi="Calibri" w:cs="Calibri"/>
                <w:color w:val="000000"/>
              </w:rPr>
              <w:t>1.0</w:t>
            </w:r>
          </w:p>
        </w:tc>
        <w:tc>
          <w:tcPr>
            <w:tcW w:w="234" w:type="pct"/>
            <w:tcBorders>
              <w:top w:val="nil"/>
              <w:left w:val="single" w:sz="4" w:space="0" w:color="auto"/>
              <w:bottom w:val="single" w:sz="4" w:space="0" w:color="auto"/>
              <w:right w:val="single" w:sz="4" w:space="0" w:color="auto"/>
            </w:tcBorders>
            <w:shd w:val="clear" w:color="auto" w:fill="auto"/>
            <w:vAlign w:val="bottom"/>
          </w:tcPr>
          <w:p w14:paraId="7EAB1914" w14:textId="77777777" w:rsidR="00937546" w:rsidRDefault="00937546" w:rsidP="00447817">
            <w:pPr>
              <w:jc w:val="right"/>
              <w:rPr>
                <w:rFonts w:ascii="Calibri" w:hAnsi="Calibri" w:cs="Calibri"/>
                <w:color w:val="000000"/>
              </w:rPr>
            </w:pPr>
            <w:r>
              <w:rPr>
                <w:rFonts w:ascii="Calibri" w:hAnsi="Calibri" w:cs="Calibri"/>
                <w:color w:val="000000"/>
              </w:rPr>
              <w:t>3849.5</w:t>
            </w:r>
          </w:p>
        </w:tc>
        <w:tc>
          <w:tcPr>
            <w:tcW w:w="313" w:type="pct"/>
            <w:tcBorders>
              <w:top w:val="nil"/>
              <w:left w:val="single" w:sz="4" w:space="0" w:color="auto"/>
              <w:bottom w:val="single" w:sz="4" w:space="0" w:color="auto"/>
              <w:right w:val="single" w:sz="4" w:space="0" w:color="auto"/>
            </w:tcBorders>
            <w:shd w:val="clear" w:color="auto" w:fill="auto"/>
            <w:vAlign w:val="bottom"/>
          </w:tcPr>
          <w:p w14:paraId="04EE0017" w14:textId="77777777" w:rsidR="00937546" w:rsidRDefault="00937546" w:rsidP="00447817">
            <w:pPr>
              <w:jc w:val="right"/>
              <w:rPr>
                <w:rFonts w:ascii="Calibri" w:hAnsi="Calibri" w:cs="Calibri"/>
                <w:color w:val="000000"/>
              </w:rPr>
            </w:pPr>
            <w:r>
              <w:rPr>
                <w:rFonts w:ascii="Calibri" w:hAnsi="Calibri" w:cs="Calibri"/>
                <w:color w:val="000000"/>
              </w:rPr>
              <w:t>2008.6</w:t>
            </w:r>
          </w:p>
        </w:tc>
        <w:tc>
          <w:tcPr>
            <w:tcW w:w="272" w:type="pct"/>
            <w:tcBorders>
              <w:top w:val="nil"/>
              <w:left w:val="single" w:sz="4" w:space="0" w:color="auto"/>
              <w:bottom w:val="single" w:sz="4" w:space="0" w:color="auto"/>
              <w:right w:val="single" w:sz="4" w:space="0" w:color="auto"/>
            </w:tcBorders>
            <w:shd w:val="clear" w:color="auto" w:fill="auto"/>
            <w:vAlign w:val="bottom"/>
          </w:tcPr>
          <w:p w14:paraId="39863485" w14:textId="77777777" w:rsidR="00937546" w:rsidRDefault="00937546" w:rsidP="00447817">
            <w:pPr>
              <w:jc w:val="right"/>
              <w:rPr>
                <w:rFonts w:ascii="Calibri" w:hAnsi="Calibri" w:cs="Calibri"/>
                <w:color w:val="000000"/>
              </w:rPr>
            </w:pPr>
            <w:r>
              <w:rPr>
                <w:rFonts w:ascii="Calibri" w:hAnsi="Calibri" w:cs="Calibri"/>
                <w:color w:val="000000"/>
              </w:rPr>
              <w:t>1840.9</w:t>
            </w:r>
          </w:p>
        </w:tc>
        <w:tc>
          <w:tcPr>
            <w:tcW w:w="272" w:type="pct"/>
            <w:tcBorders>
              <w:top w:val="nil"/>
              <w:left w:val="single" w:sz="4" w:space="0" w:color="auto"/>
              <w:bottom w:val="single" w:sz="4" w:space="0" w:color="auto"/>
              <w:right w:val="single" w:sz="4" w:space="0" w:color="auto"/>
            </w:tcBorders>
            <w:shd w:val="clear" w:color="auto" w:fill="auto"/>
            <w:vAlign w:val="bottom"/>
          </w:tcPr>
          <w:p w14:paraId="6C9994B3" w14:textId="77777777" w:rsidR="00937546" w:rsidRDefault="00937546" w:rsidP="00447817">
            <w:pPr>
              <w:jc w:val="right"/>
              <w:rPr>
                <w:rFonts w:ascii="Calibri" w:hAnsi="Calibri" w:cs="Calibri"/>
                <w:color w:val="000000"/>
              </w:rPr>
            </w:pPr>
            <w:r>
              <w:rPr>
                <w:rFonts w:ascii="Calibri" w:hAnsi="Calibri" w:cs="Calibri"/>
                <w:color w:val="000000"/>
              </w:rPr>
              <w:t>1503.7</w:t>
            </w:r>
          </w:p>
        </w:tc>
        <w:tc>
          <w:tcPr>
            <w:tcW w:w="272" w:type="pct"/>
            <w:tcBorders>
              <w:top w:val="nil"/>
              <w:left w:val="single" w:sz="4" w:space="0" w:color="auto"/>
              <w:bottom w:val="single" w:sz="4" w:space="0" w:color="auto"/>
              <w:right w:val="single" w:sz="4" w:space="0" w:color="auto"/>
            </w:tcBorders>
            <w:shd w:val="clear" w:color="auto" w:fill="auto"/>
            <w:vAlign w:val="bottom"/>
          </w:tcPr>
          <w:p w14:paraId="5AEA94AE" w14:textId="77777777" w:rsidR="00937546" w:rsidRDefault="00937546" w:rsidP="00447817">
            <w:pPr>
              <w:jc w:val="right"/>
              <w:rPr>
                <w:rFonts w:ascii="Calibri" w:hAnsi="Calibri" w:cs="Calibri"/>
                <w:color w:val="000000"/>
              </w:rPr>
            </w:pPr>
            <w:r>
              <w:rPr>
                <w:rFonts w:ascii="Calibri" w:hAnsi="Calibri" w:cs="Calibri"/>
                <w:color w:val="000000"/>
              </w:rPr>
              <w:t>1341.9</w:t>
            </w:r>
          </w:p>
        </w:tc>
        <w:tc>
          <w:tcPr>
            <w:tcW w:w="269" w:type="pct"/>
            <w:tcBorders>
              <w:top w:val="nil"/>
              <w:left w:val="nil"/>
              <w:bottom w:val="single" w:sz="4" w:space="0" w:color="auto"/>
              <w:right w:val="single" w:sz="4" w:space="0" w:color="auto"/>
            </w:tcBorders>
            <w:shd w:val="clear" w:color="auto" w:fill="auto"/>
            <w:vAlign w:val="bottom"/>
          </w:tcPr>
          <w:p w14:paraId="7456C893" w14:textId="77777777" w:rsidR="00937546" w:rsidRDefault="00937546" w:rsidP="00447817">
            <w:pPr>
              <w:jc w:val="right"/>
              <w:rPr>
                <w:rFonts w:ascii="Calibri" w:hAnsi="Calibri" w:cs="Calibri"/>
                <w:color w:val="000000"/>
              </w:rPr>
            </w:pPr>
            <w:r>
              <w:rPr>
                <w:rFonts w:ascii="Calibri" w:hAnsi="Calibri" w:cs="Calibri"/>
                <w:color w:val="000000"/>
              </w:rPr>
              <w:t>161.8</w:t>
            </w:r>
          </w:p>
        </w:tc>
      </w:tr>
      <w:tr w:rsidR="008B5959" w:rsidRPr="00E91A88" w14:paraId="03A3D167" w14:textId="77777777" w:rsidTr="00447817">
        <w:trPr>
          <w:trHeight w:val="251"/>
        </w:trPr>
        <w:tc>
          <w:tcPr>
            <w:tcW w:w="747" w:type="pct"/>
            <w:noWrap/>
            <w:vAlign w:val="bottom"/>
            <w:hideMark/>
          </w:tcPr>
          <w:p w14:paraId="4AAD0AC0" w14:textId="77777777" w:rsidR="00937546" w:rsidRDefault="00937546" w:rsidP="00447817">
            <w:pPr>
              <w:rPr>
                <w:rFonts w:ascii="Calibri" w:hAnsi="Calibri" w:cs="Calibri"/>
                <w:color w:val="000000"/>
              </w:rPr>
            </w:pPr>
            <w:r>
              <w:rPr>
                <w:rFonts w:ascii="Calibri" w:hAnsi="Calibri" w:cs="Calibri"/>
                <w:color w:val="000000"/>
              </w:rPr>
              <w:t>SALEM</w:t>
            </w:r>
          </w:p>
        </w:tc>
        <w:tc>
          <w:tcPr>
            <w:tcW w:w="311" w:type="pct"/>
            <w:tcBorders>
              <w:top w:val="nil"/>
              <w:left w:val="single" w:sz="4" w:space="0" w:color="auto"/>
              <w:bottom w:val="single" w:sz="4" w:space="0" w:color="auto"/>
              <w:right w:val="single" w:sz="4" w:space="0" w:color="auto"/>
            </w:tcBorders>
            <w:shd w:val="clear" w:color="auto" w:fill="auto"/>
            <w:vAlign w:val="bottom"/>
          </w:tcPr>
          <w:p w14:paraId="6B823885" w14:textId="77777777" w:rsidR="00937546" w:rsidRDefault="00937546" w:rsidP="00447817">
            <w:pPr>
              <w:jc w:val="right"/>
              <w:rPr>
                <w:rFonts w:ascii="Calibri" w:hAnsi="Calibri" w:cs="Calibri"/>
                <w:color w:val="000000"/>
              </w:rPr>
            </w:pPr>
            <w:r>
              <w:rPr>
                <w:rFonts w:ascii="Calibri" w:hAnsi="Calibri" w:cs="Calibri"/>
                <w:color w:val="000000"/>
              </w:rPr>
              <w:t>0.71</w:t>
            </w:r>
          </w:p>
        </w:tc>
        <w:tc>
          <w:tcPr>
            <w:tcW w:w="391" w:type="pct"/>
            <w:tcBorders>
              <w:top w:val="nil"/>
              <w:left w:val="nil"/>
              <w:bottom w:val="single" w:sz="4" w:space="0" w:color="auto"/>
              <w:right w:val="single" w:sz="4" w:space="0" w:color="auto"/>
            </w:tcBorders>
            <w:shd w:val="clear" w:color="auto" w:fill="auto"/>
            <w:vAlign w:val="bottom"/>
          </w:tcPr>
          <w:p w14:paraId="7DBF3F2C" w14:textId="77777777" w:rsidR="00937546" w:rsidRDefault="00937546" w:rsidP="00447817">
            <w:pPr>
              <w:jc w:val="right"/>
              <w:rPr>
                <w:rFonts w:ascii="Calibri" w:hAnsi="Calibri" w:cs="Calibri"/>
                <w:color w:val="000000"/>
              </w:rPr>
            </w:pPr>
            <w:r>
              <w:rPr>
                <w:rFonts w:ascii="Calibri" w:hAnsi="Calibri" w:cs="Calibri"/>
                <w:color w:val="000000"/>
              </w:rPr>
              <w:t>0.694</w:t>
            </w:r>
          </w:p>
        </w:tc>
        <w:tc>
          <w:tcPr>
            <w:tcW w:w="353" w:type="pct"/>
            <w:tcBorders>
              <w:top w:val="nil"/>
              <w:left w:val="nil"/>
              <w:bottom w:val="single" w:sz="4" w:space="0" w:color="auto"/>
              <w:right w:val="single" w:sz="4" w:space="0" w:color="auto"/>
            </w:tcBorders>
            <w:shd w:val="clear" w:color="auto" w:fill="auto"/>
            <w:vAlign w:val="bottom"/>
          </w:tcPr>
          <w:p w14:paraId="2CE77ABD" w14:textId="77777777" w:rsidR="00937546" w:rsidRDefault="00937546" w:rsidP="00447817">
            <w:pPr>
              <w:jc w:val="right"/>
              <w:rPr>
                <w:rFonts w:ascii="Calibri" w:hAnsi="Calibri" w:cs="Calibri"/>
                <w:color w:val="000000"/>
              </w:rPr>
            </w:pPr>
            <w:r>
              <w:rPr>
                <w:rFonts w:ascii="Calibri" w:hAnsi="Calibri" w:cs="Calibri"/>
                <w:color w:val="000000"/>
              </w:rPr>
              <w:t>0.607</w:t>
            </w:r>
          </w:p>
        </w:tc>
        <w:tc>
          <w:tcPr>
            <w:tcW w:w="313" w:type="pct"/>
            <w:tcBorders>
              <w:top w:val="nil"/>
              <w:left w:val="nil"/>
              <w:bottom w:val="single" w:sz="4" w:space="0" w:color="auto"/>
              <w:right w:val="single" w:sz="4" w:space="0" w:color="auto"/>
            </w:tcBorders>
            <w:shd w:val="clear" w:color="auto" w:fill="auto"/>
            <w:vAlign w:val="bottom"/>
          </w:tcPr>
          <w:p w14:paraId="475C72F6" w14:textId="77777777" w:rsidR="00937546" w:rsidRDefault="00937546" w:rsidP="00447817">
            <w:pPr>
              <w:jc w:val="right"/>
              <w:rPr>
                <w:rFonts w:ascii="Calibri" w:hAnsi="Calibri" w:cs="Calibri"/>
                <w:color w:val="000000"/>
              </w:rPr>
            </w:pPr>
            <w:r>
              <w:rPr>
                <w:rFonts w:ascii="Calibri" w:hAnsi="Calibri" w:cs="Calibri"/>
                <w:color w:val="000000"/>
              </w:rPr>
              <w:t>0.669</w:t>
            </w:r>
          </w:p>
        </w:tc>
        <w:tc>
          <w:tcPr>
            <w:tcW w:w="353" w:type="pct"/>
            <w:tcBorders>
              <w:top w:val="nil"/>
              <w:left w:val="single" w:sz="4" w:space="0" w:color="auto"/>
              <w:bottom w:val="single" w:sz="4" w:space="0" w:color="auto"/>
              <w:right w:val="single" w:sz="4" w:space="0" w:color="auto"/>
            </w:tcBorders>
            <w:shd w:val="clear" w:color="auto" w:fill="auto"/>
            <w:vAlign w:val="bottom"/>
          </w:tcPr>
          <w:p w14:paraId="40B31A17" w14:textId="77777777" w:rsidR="00937546" w:rsidRDefault="00937546" w:rsidP="00447817">
            <w:pPr>
              <w:jc w:val="right"/>
              <w:rPr>
                <w:rFonts w:ascii="Calibri" w:hAnsi="Calibri" w:cs="Calibri"/>
                <w:color w:val="000000"/>
              </w:rPr>
            </w:pPr>
            <w:r>
              <w:rPr>
                <w:rFonts w:ascii="Calibri" w:hAnsi="Calibri" w:cs="Calibri"/>
                <w:color w:val="000000"/>
              </w:rPr>
              <w:t>60.3</w:t>
            </w:r>
          </w:p>
        </w:tc>
        <w:tc>
          <w:tcPr>
            <w:tcW w:w="352" w:type="pct"/>
            <w:tcBorders>
              <w:top w:val="nil"/>
              <w:left w:val="single" w:sz="4" w:space="0" w:color="auto"/>
              <w:bottom w:val="single" w:sz="4" w:space="0" w:color="auto"/>
              <w:right w:val="single" w:sz="4" w:space="0" w:color="auto"/>
            </w:tcBorders>
            <w:shd w:val="clear" w:color="auto" w:fill="auto"/>
            <w:vAlign w:val="bottom"/>
          </w:tcPr>
          <w:p w14:paraId="31FCAC36" w14:textId="77777777" w:rsidR="00937546" w:rsidRDefault="00937546" w:rsidP="00447817">
            <w:pPr>
              <w:jc w:val="right"/>
              <w:rPr>
                <w:rFonts w:ascii="Calibri" w:hAnsi="Calibri" w:cs="Calibri"/>
                <w:color w:val="000000"/>
              </w:rPr>
            </w:pPr>
            <w:r>
              <w:rPr>
                <w:rFonts w:ascii="Calibri" w:hAnsi="Calibri" w:cs="Calibri"/>
                <w:color w:val="000000"/>
              </w:rPr>
              <w:t>7.7</w:t>
            </w:r>
          </w:p>
        </w:tc>
        <w:tc>
          <w:tcPr>
            <w:tcW w:w="274" w:type="pct"/>
            <w:tcBorders>
              <w:top w:val="nil"/>
              <w:left w:val="single" w:sz="4" w:space="0" w:color="auto"/>
              <w:bottom w:val="single" w:sz="4" w:space="0" w:color="auto"/>
              <w:right w:val="single" w:sz="4" w:space="0" w:color="auto"/>
            </w:tcBorders>
            <w:shd w:val="clear" w:color="auto" w:fill="auto"/>
            <w:vAlign w:val="bottom"/>
          </w:tcPr>
          <w:p w14:paraId="456774E0" w14:textId="77777777" w:rsidR="00937546" w:rsidRDefault="00937546" w:rsidP="00447817">
            <w:pPr>
              <w:jc w:val="right"/>
              <w:rPr>
                <w:rFonts w:ascii="Calibri" w:hAnsi="Calibri" w:cs="Calibri"/>
                <w:color w:val="000000"/>
              </w:rPr>
            </w:pPr>
            <w:r>
              <w:rPr>
                <w:rFonts w:ascii="Calibri" w:hAnsi="Calibri" w:cs="Calibri"/>
                <w:color w:val="000000"/>
              </w:rPr>
              <w:t>0.6</w:t>
            </w:r>
          </w:p>
        </w:tc>
        <w:tc>
          <w:tcPr>
            <w:tcW w:w="274" w:type="pct"/>
            <w:tcBorders>
              <w:top w:val="nil"/>
              <w:left w:val="single" w:sz="4" w:space="0" w:color="auto"/>
              <w:bottom w:val="single" w:sz="4" w:space="0" w:color="auto"/>
              <w:right w:val="single" w:sz="4" w:space="0" w:color="auto"/>
            </w:tcBorders>
            <w:shd w:val="clear" w:color="auto" w:fill="auto"/>
            <w:vAlign w:val="bottom"/>
          </w:tcPr>
          <w:p w14:paraId="2CFB8660" w14:textId="77777777" w:rsidR="00937546" w:rsidRDefault="00937546" w:rsidP="00447817">
            <w:pPr>
              <w:jc w:val="right"/>
              <w:rPr>
                <w:rFonts w:ascii="Calibri" w:hAnsi="Calibri" w:cs="Calibri"/>
                <w:color w:val="000000"/>
              </w:rPr>
            </w:pPr>
            <w:r>
              <w:rPr>
                <w:rFonts w:ascii="Calibri" w:hAnsi="Calibri" w:cs="Calibri"/>
                <w:color w:val="000000"/>
              </w:rPr>
              <w:t>7.1</w:t>
            </w:r>
          </w:p>
        </w:tc>
        <w:tc>
          <w:tcPr>
            <w:tcW w:w="234" w:type="pct"/>
            <w:tcBorders>
              <w:top w:val="nil"/>
              <w:left w:val="single" w:sz="4" w:space="0" w:color="auto"/>
              <w:bottom w:val="single" w:sz="4" w:space="0" w:color="auto"/>
              <w:right w:val="single" w:sz="4" w:space="0" w:color="auto"/>
            </w:tcBorders>
            <w:shd w:val="clear" w:color="auto" w:fill="auto"/>
            <w:vAlign w:val="bottom"/>
          </w:tcPr>
          <w:p w14:paraId="485ED1EA" w14:textId="77777777" w:rsidR="00937546" w:rsidRDefault="00937546" w:rsidP="00447817">
            <w:pPr>
              <w:jc w:val="right"/>
              <w:rPr>
                <w:rFonts w:ascii="Calibri" w:hAnsi="Calibri" w:cs="Calibri"/>
                <w:color w:val="000000"/>
              </w:rPr>
            </w:pPr>
            <w:r>
              <w:rPr>
                <w:rFonts w:ascii="Calibri" w:hAnsi="Calibri" w:cs="Calibri"/>
                <w:color w:val="000000"/>
              </w:rPr>
              <w:t>3612.9</w:t>
            </w:r>
          </w:p>
        </w:tc>
        <w:tc>
          <w:tcPr>
            <w:tcW w:w="313" w:type="pct"/>
            <w:tcBorders>
              <w:top w:val="nil"/>
              <w:left w:val="single" w:sz="4" w:space="0" w:color="auto"/>
              <w:bottom w:val="single" w:sz="4" w:space="0" w:color="auto"/>
              <w:right w:val="single" w:sz="4" w:space="0" w:color="auto"/>
            </w:tcBorders>
            <w:shd w:val="clear" w:color="auto" w:fill="auto"/>
            <w:vAlign w:val="bottom"/>
          </w:tcPr>
          <w:p w14:paraId="78A7CAF5" w14:textId="77777777" w:rsidR="00937546" w:rsidRDefault="00937546" w:rsidP="00447817">
            <w:pPr>
              <w:jc w:val="right"/>
              <w:rPr>
                <w:rFonts w:ascii="Calibri" w:hAnsi="Calibri" w:cs="Calibri"/>
                <w:color w:val="000000"/>
              </w:rPr>
            </w:pPr>
            <w:r>
              <w:rPr>
                <w:rFonts w:ascii="Calibri" w:hAnsi="Calibri" w:cs="Calibri"/>
                <w:color w:val="000000"/>
              </w:rPr>
              <w:t>1263.0</w:t>
            </w:r>
          </w:p>
        </w:tc>
        <w:tc>
          <w:tcPr>
            <w:tcW w:w="272" w:type="pct"/>
            <w:tcBorders>
              <w:top w:val="nil"/>
              <w:left w:val="single" w:sz="4" w:space="0" w:color="auto"/>
              <w:bottom w:val="single" w:sz="4" w:space="0" w:color="auto"/>
              <w:right w:val="single" w:sz="4" w:space="0" w:color="auto"/>
            </w:tcBorders>
            <w:shd w:val="clear" w:color="auto" w:fill="auto"/>
            <w:vAlign w:val="bottom"/>
          </w:tcPr>
          <w:p w14:paraId="582207BF" w14:textId="77777777" w:rsidR="00937546" w:rsidRDefault="00937546" w:rsidP="00447817">
            <w:pPr>
              <w:jc w:val="right"/>
              <w:rPr>
                <w:rFonts w:ascii="Calibri" w:hAnsi="Calibri" w:cs="Calibri"/>
                <w:color w:val="000000"/>
              </w:rPr>
            </w:pPr>
            <w:r>
              <w:rPr>
                <w:rFonts w:ascii="Calibri" w:hAnsi="Calibri" w:cs="Calibri"/>
                <w:color w:val="000000"/>
              </w:rPr>
              <w:t>2350.0</w:t>
            </w:r>
          </w:p>
        </w:tc>
        <w:tc>
          <w:tcPr>
            <w:tcW w:w="272" w:type="pct"/>
            <w:tcBorders>
              <w:top w:val="nil"/>
              <w:left w:val="single" w:sz="4" w:space="0" w:color="auto"/>
              <w:bottom w:val="single" w:sz="4" w:space="0" w:color="auto"/>
              <w:right w:val="single" w:sz="4" w:space="0" w:color="auto"/>
            </w:tcBorders>
            <w:shd w:val="clear" w:color="auto" w:fill="auto"/>
            <w:vAlign w:val="bottom"/>
          </w:tcPr>
          <w:p w14:paraId="2C901636" w14:textId="77777777" w:rsidR="00937546" w:rsidRDefault="00937546" w:rsidP="00447817">
            <w:pPr>
              <w:jc w:val="right"/>
              <w:rPr>
                <w:rFonts w:ascii="Calibri" w:hAnsi="Calibri" w:cs="Calibri"/>
                <w:color w:val="000000"/>
              </w:rPr>
            </w:pPr>
            <w:r>
              <w:rPr>
                <w:rFonts w:ascii="Calibri" w:hAnsi="Calibri" w:cs="Calibri"/>
                <w:color w:val="000000"/>
              </w:rPr>
              <w:t>4237.9</w:t>
            </w:r>
          </w:p>
        </w:tc>
        <w:tc>
          <w:tcPr>
            <w:tcW w:w="272" w:type="pct"/>
            <w:tcBorders>
              <w:top w:val="nil"/>
              <w:left w:val="single" w:sz="4" w:space="0" w:color="auto"/>
              <w:bottom w:val="single" w:sz="4" w:space="0" w:color="auto"/>
              <w:right w:val="single" w:sz="4" w:space="0" w:color="auto"/>
            </w:tcBorders>
            <w:shd w:val="clear" w:color="auto" w:fill="auto"/>
            <w:vAlign w:val="bottom"/>
          </w:tcPr>
          <w:p w14:paraId="2EB0D7B5" w14:textId="77777777" w:rsidR="00937546" w:rsidRDefault="00937546" w:rsidP="00447817">
            <w:pPr>
              <w:jc w:val="right"/>
              <w:rPr>
                <w:rFonts w:ascii="Calibri" w:hAnsi="Calibri" w:cs="Calibri"/>
                <w:color w:val="000000"/>
              </w:rPr>
            </w:pPr>
            <w:r>
              <w:rPr>
                <w:rFonts w:ascii="Calibri" w:hAnsi="Calibri" w:cs="Calibri"/>
                <w:color w:val="000000"/>
              </w:rPr>
              <w:t>1474.8</w:t>
            </w:r>
          </w:p>
        </w:tc>
        <w:tc>
          <w:tcPr>
            <w:tcW w:w="269" w:type="pct"/>
            <w:tcBorders>
              <w:top w:val="nil"/>
              <w:left w:val="nil"/>
              <w:bottom w:val="single" w:sz="4" w:space="0" w:color="auto"/>
              <w:right w:val="single" w:sz="4" w:space="0" w:color="auto"/>
            </w:tcBorders>
            <w:shd w:val="clear" w:color="auto" w:fill="auto"/>
            <w:vAlign w:val="bottom"/>
          </w:tcPr>
          <w:p w14:paraId="514FF62C" w14:textId="77777777" w:rsidR="00937546" w:rsidRDefault="00937546" w:rsidP="00447817">
            <w:pPr>
              <w:jc w:val="right"/>
              <w:rPr>
                <w:rFonts w:ascii="Calibri" w:hAnsi="Calibri" w:cs="Calibri"/>
                <w:color w:val="000000"/>
              </w:rPr>
            </w:pPr>
            <w:r>
              <w:rPr>
                <w:rFonts w:ascii="Calibri" w:hAnsi="Calibri" w:cs="Calibri"/>
                <w:color w:val="000000"/>
              </w:rPr>
              <w:t>2763.0</w:t>
            </w:r>
          </w:p>
        </w:tc>
      </w:tr>
      <w:tr w:rsidR="008B5959" w:rsidRPr="00E91A88" w14:paraId="659A1F82" w14:textId="77777777" w:rsidTr="00447817">
        <w:trPr>
          <w:trHeight w:val="251"/>
        </w:trPr>
        <w:tc>
          <w:tcPr>
            <w:tcW w:w="747" w:type="pct"/>
            <w:noWrap/>
            <w:vAlign w:val="bottom"/>
            <w:hideMark/>
          </w:tcPr>
          <w:p w14:paraId="3EA5009C" w14:textId="77777777" w:rsidR="00937546" w:rsidRDefault="00937546" w:rsidP="00447817">
            <w:pPr>
              <w:rPr>
                <w:rFonts w:ascii="Calibri" w:hAnsi="Calibri" w:cs="Calibri"/>
                <w:color w:val="000000"/>
              </w:rPr>
            </w:pPr>
            <w:r>
              <w:rPr>
                <w:rFonts w:ascii="Calibri" w:hAnsi="Calibri" w:cs="Calibri"/>
                <w:color w:val="000000"/>
              </w:rPr>
              <w:t>SIVAGANGAI</w:t>
            </w:r>
          </w:p>
        </w:tc>
        <w:tc>
          <w:tcPr>
            <w:tcW w:w="311" w:type="pct"/>
            <w:tcBorders>
              <w:top w:val="nil"/>
              <w:left w:val="single" w:sz="4" w:space="0" w:color="auto"/>
              <w:bottom w:val="single" w:sz="4" w:space="0" w:color="auto"/>
              <w:right w:val="single" w:sz="4" w:space="0" w:color="auto"/>
            </w:tcBorders>
            <w:shd w:val="clear" w:color="auto" w:fill="auto"/>
            <w:vAlign w:val="bottom"/>
          </w:tcPr>
          <w:p w14:paraId="5B15303F" w14:textId="77777777" w:rsidR="00937546" w:rsidRDefault="00937546" w:rsidP="00447817">
            <w:pPr>
              <w:jc w:val="right"/>
              <w:rPr>
                <w:rFonts w:ascii="Calibri" w:hAnsi="Calibri" w:cs="Calibri"/>
                <w:color w:val="000000"/>
              </w:rPr>
            </w:pPr>
            <w:r>
              <w:rPr>
                <w:rFonts w:ascii="Calibri" w:hAnsi="Calibri" w:cs="Calibri"/>
                <w:color w:val="000000"/>
              </w:rPr>
              <w:t>0.622</w:t>
            </w:r>
          </w:p>
        </w:tc>
        <w:tc>
          <w:tcPr>
            <w:tcW w:w="391" w:type="pct"/>
            <w:tcBorders>
              <w:top w:val="nil"/>
              <w:left w:val="nil"/>
              <w:bottom w:val="single" w:sz="4" w:space="0" w:color="auto"/>
              <w:right w:val="single" w:sz="4" w:space="0" w:color="auto"/>
            </w:tcBorders>
            <w:shd w:val="clear" w:color="auto" w:fill="auto"/>
            <w:vAlign w:val="bottom"/>
          </w:tcPr>
          <w:p w14:paraId="56E8B6FA" w14:textId="77777777" w:rsidR="00937546" w:rsidRDefault="00937546" w:rsidP="00447817">
            <w:pPr>
              <w:jc w:val="right"/>
              <w:rPr>
                <w:rFonts w:ascii="Calibri" w:hAnsi="Calibri" w:cs="Calibri"/>
                <w:color w:val="000000"/>
              </w:rPr>
            </w:pPr>
            <w:r>
              <w:rPr>
                <w:rFonts w:ascii="Calibri" w:hAnsi="Calibri" w:cs="Calibri"/>
                <w:color w:val="000000"/>
              </w:rPr>
              <w:t>0.636</w:t>
            </w:r>
          </w:p>
        </w:tc>
        <w:tc>
          <w:tcPr>
            <w:tcW w:w="353" w:type="pct"/>
            <w:tcBorders>
              <w:top w:val="nil"/>
              <w:left w:val="nil"/>
              <w:bottom w:val="single" w:sz="4" w:space="0" w:color="auto"/>
              <w:right w:val="single" w:sz="4" w:space="0" w:color="auto"/>
            </w:tcBorders>
            <w:shd w:val="clear" w:color="auto" w:fill="auto"/>
            <w:vAlign w:val="bottom"/>
          </w:tcPr>
          <w:p w14:paraId="38C089B6" w14:textId="77777777" w:rsidR="00937546" w:rsidRDefault="00937546" w:rsidP="00447817">
            <w:pPr>
              <w:jc w:val="right"/>
              <w:rPr>
                <w:rFonts w:ascii="Calibri" w:hAnsi="Calibri" w:cs="Calibri"/>
                <w:color w:val="000000"/>
              </w:rPr>
            </w:pPr>
            <w:r>
              <w:rPr>
                <w:rFonts w:ascii="Calibri" w:hAnsi="Calibri" w:cs="Calibri"/>
                <w:color w:val="000000"/>
              </w:rPr>
              <w:t>0.766</w:t>
            </w:r>
          </w:p>
        </w:tc>
        <w:tc>
          <w:tcPr>
            <w:tcW w:w="313" w:type="pct"/>
            <w:tcBorders>
              <w:top w:val="nil"/>
              <w:left w:val="nil"/>
              <w:bottom w:val="single" w:sz="4" w:space="0" w:color="auto"/>
              <w:right w:val="single" w:sz="4" w:space="0" w:color="auto"/>
            </w:tcBorders>
            <w:shd w:val="clear" w:color="auto" w:fill="auto"/>
            <w:vAlign w:val="bottom"/>
          </w:tcPr>
          <w:p w14:paraId="4D6FCC61" w14:textId="77777777" w:rsidR="00937546" w:rsidRDefault="00937546" w:rsidP="00447817">
            <w:pPr>
              <w:jc w:val="right"/>
              <w:rPr>
                <w:rFonts w:ascii="Calibri" w:hAnsi="Calibri" w:cs="Calibri"/>
                <w:color w:val="000000"/>
              </w:rPr>
            </w:pPr>
            <w:r>
              <w:rPr>
                <w:rFonts w:ascii="Calibri" w:hAnsi="Calibri" w:cs="Calibri"/>
                <w:color w:val="000000"/>
              </w:rPr>
              <w:t>0.671</w:t>
            </w:r>
          </w:p>
        </w:tc>
        <w:tc>
          <w:tcPr>
            <w:tcW w:w="353" w:type="pct"/>
            <w:tcBorders>
              <w:top w:val="nil"/>
              <w:left w:val="single" w:sz="4" w:space="0" w:color="auto"/>
              <w:bottom w:val="single" w:sz="4" w:space="0" w:color="auto"/>
              <w:right w:val="single" w:sz="4" w:space="0" w:color="auto"/>
            </w:tcBorders>
            <w:shd w:val="clear" w:color="auto" w:fill="auto"/>
            <w:vAlign w:val="bottom"/>
          </w:tcPr>
          <w:p w14:paraId="55008718" w14:textId="77777777" w:rsidR="00937546" w:rsidRDefault="00937546" w:rsidP="00447817">
            <w:pPr>
              <w:jc w:val="right"/>
              <w:rPr>
                <w:rFonts w:ascii="Calibri" w:hAnsi="Calibri" w:cs="Calibri"/>
                <w:color w:val="000000"/>
              </w:rPr>
            </w:pPr>
            <w:r>
              <w:rPr>
                <w:rFonts w:ascii="Calibri" w:hAnsi="Calibri" w:cs="Calibri"/>
                <w:color w:val="000000"/>
              </w:rPr>
              <w:t>56.3</w:t>
            </w:r>
          </w:p>
        </w:tc>
        <w:tc>
          <w:tcPr>
            <w:tcW w:w="352" w:type="pct"/>
            <w:tcBorders>
              <w:top w:val="nil"/>
              <w:left w:val="single" w:sz="4" w:space="0" w:color="auto"/>
              <w:bottom w:val="single" w:sz="4" w:space="0" w:color="auto"/>
              <w:right w:val="single" w:sz="4" w:space="0" w:color="auto"/>
            </w:tcBorders>
            <w:shd w:val="clear" w:color="auto" w:fill="auto"/>
            <w:vAlign w:val="bottom"/>
          </w:tcPr>
          <w:p w14:paraId="104B861A" w14:textId="77777777" w:rsidR="00937546" w:rsidRDefault="00937546" w:rsidP="00447817">
            <w:pPr>
              <w:jc w:val="right"/>
              <w:rPr>
                <w:rFonts w:ascii="Calibri" w:hAnsi="Calibri" w:cs="Calibri"/>
                <w:color w:val="000000"/>
              </w:rPr>
            </w:pPr>
            <w:r>
              <w:rPr>
                <w:rFonts w:ascii="Calibri" w:hAnsi="Calibri" w:cs="Calibri"/>
                <w:color w:val="000000"/>
              </w:rPr>
              <w:t>6.8</w:t>
            </w:r>
          </w:p>
        </w:tc>
        <w:tc>
          <w:tcPr>
            <w:tcW w:w="274" w:type="pct"/>
            <w:tcBorders>
              <w:top w:val="nil"/>
              <w:left w:val="single" w:sz="4" w:space="0" w:color="auto"/>
              <w:bottom w:val="single" w:sz="4" w:space="0" w:color="auto"/>
              <w:right w:val="single" w:sz="4" w:space="0" w:color="auto"/>
            </w:tcBorders>
            <w:shd w:val="clear" w:color="auto" w:fill="auto"/>
            <w:vAlign w:val="bottom"/>
          </w:tcPr>
          <w:p w14:paraId="3C6459E1" w14:textId="77777777" w:rsidR="00937546" w:rsidRDefault="00937546" w:rsidP="00447817">
            <w:pPr>
              <w:jc w:val="right"/>
              <w:rPr>
                <w:rFonts w:ascii="Calibri" w:hAnsi="Calibri" w:cs="Calibri"/>
                <w:color w:val="000000"/>
              </w:rPr>
            </w:pPr>
            <w:r>
              <w:rPr>
                <w:rFonts w:ascii="Calibri" w:hAnsi="Calibri" w:cs="Calibri"/>
                <w:color w:val="000000"/>
              </w:rPr>
              <w:t>2.1</w:t>
            </w:r>
          </w:p>
        </w:tc>
        <w:tc>
          <w:tcPr>
            <w:tcW w:w="274" w:type="pct"/>
            <w:tcBorders>
              <w:top w:val="nil"/>
              <w:left w:val="single" w:sz="4" w:space="0" w:color="auto"/>
              <w:bottom w:val="single" w:sz="4" w:space="0" w:color="auto"/>
              <w:right w:val="single" w:sz="4" w:space="0" w:color="auto"/>
            </w:tcBorders>
            <w:shd w:val="clear" w:color="auto" w:fill="auto"/>
            <w:vAlign w:val="bottom"/>
          </w:tcPr>
          <w:p w14:paraId="70D8DCAF" w14:textId="77777777" w:rsidR="00937546" w:rsidRDefault="00937546" w:rsidP="00447817">
            <w:pPr>
              <w:jc w:val="right"/>
              <w:rPr>
                <w:rFonts w:ascii="Calibri" w:hAnsi="Calibri" w:cs="Calibri"/>
                <w:color w:val="000000"/>
              </w:rPr>
            </w:pPr>
            <w:r>
              <w:rPr>
                <w:rFonts w:ascii="Calibri" w:hAnsi="Calibri" w:cs="Calibri"/>
                <w:color w:val="000000"/>
              </w:rPr>
              <w:t>4.7</w:t>
            </w:r>
          </w:p>
        </w:tc>
        <w:tc>
          <w:tcPr>
            <w:tcW w:w="234" w:type="pct"/>
            <w:tcBorders>
              <w:top w:val="nil"/>
              <w:left w:val="single" w:sz="4" w:space="0" w:color="auto"/>
              <w:bottom w:val="single" w:sz="4" w:space="0" w:color="auto"/>
              <w:right w:val="single" w:sz="4" w:space="0" w:color="auto"/>
            </w:tcBorders>
            <w:shd w:val="clear" w:color="auto" w:fill="auto"/>
            <w:vAlign w:val="bottom"/>
          </w:tcPr>
          <w:p w14:paraId="4A971E82" w14:textId="77777777" w:rsidR="00937546" w:rsidRDefault="00937546" w:rsidP="00447817">
            <w:pPr>
              <w:jc w:val="right"/>
              <w:rPr>
                <w:rFonts w:ascii="Calibri" w:hAnsi="Calibri" w:cs="Calibri"/>
                <w:color w:val="000000"/>
              </w:rPr>
            </w:pPr>
            <w:r>
              <w:rPr>
                <w:rFonts w:ascii="Calibri" w:hAnsi="Calibri" w:cs="Calibri"/>
                <w:color w:val="000000"/>
              </w:rPr>
              <w:t>4368.4</w:t>
            </w:r>
          </w:p>
        </w:tc>
        <w:tc>
          <w:tcPr>
            <w:tcW w:w="313" w:type="pct"/>
            <w:tcBorders>
              <w:top w:val="nil"/>
              <w:left w:val="single" w:sz="4" w:space="0" w:color="auto"/>
              <w:bottom w:val="single" w:sz="4" w:space="0" w:color="auto"/>
              <w:right w:val="single" w:sz="4" w:space="0" w:color="auto"/>
            </w:tcBorders>
            <w:shd w:val="clear" w:color="auto" w:fill="auto"/>
            <w:vAlign w:val="bottom"/>
          </w:tcPr>
          <w:p w14:paraId="227A41A9" w14:textId="77777777" w:rsidR="00937546" w:rsidRDefault="00937546" w:rsidP="00447817">
            <w:pPr>
              <w:jc w:val="right"/>
              <w:rPr>
                <w:rFonts w:ascii="Calibri" w:hAnsi="Calibri" w:cs="Calibri"/>
                <w:color w:val="000000"/>
              </w:rPr>
            </w:pPr>
            <w:r>
              <w:rPr>
                <w:rFonts w:ascii="Calibri" w:hAnsi="Calibri" w:cs="Calibri"/>
                <w:color w:val="000000"/>
              </w:rPr>
              <w:t>1923.9</w:t>
            </w:r>
          </w:p>
        </w:tc>
        <w:tc>
          <w:tcPr>
            <w:tcW w:w="272" w:type="pct"/>
            <w:tcBorders>
              <w:top w:val="nil"/>
              <w:left w:val="single" w:sz="4" w:space="0" w:color="auto"/>
              <w:bottom w:val="single" w:sz="4" w:space="0" w:color="auto"/>
              <w:right w:val="single" w:sz="4" w:space="0" w:color="auto"/>
            </w:tcBorders>
            <w:shd w:val="clear" w:color="auto" w:fill="auto"/>
            <w:vAlign w:val="bottom"/>
          </w:tcPr>
          <w:p w14:paraId="4735C178" w14:textId="77777777" w:rsidR="00937546" w:rsidRDefault="00937546" w:rsidP="00447817">
            <w:pPr>
              <w:jc w:val="right"/>
              <w:rPr>
                <w:rFonts w:ascii="Calibri" w:hAnsi="Calibri" w:cs="Calibri"/>
                <w:color w:val="000000"/>
              </w:rPr>
            </w:pPr>
            <w:r>
              <w:rPr>
                <w:rFonts w:ascii="Calibri" w:hAnsi="Calibri" w:cs="Calibri"/>
                <w:color w:val="000000"/>
              </w:rPr>
              <w:t>2444.5</w:t>
            </w:r>
          </w:p>
        </w:tc>
        <w:tc>
          <w:tcPr>
            <w:tcW w:w="272" w:type="pct"/>
            <w:tcBorders>
              <w:top w:val="nil"/>
              <w:left w:val="single" w:sz="4" w:space="0" w:color="auto"/>
              <w:bottom w:val="single" w:sz="4" w:space="0" w:color="auto"/>
              <w:right w:val="single" w:sz="4" w:space="0" w:color="auto"/>
            </w:tcBorders>
            <w:shd w:val="clear" w:color="auto" w:fill="auto"/>
            <w:vAlign w:val="bottom"/>
          </w:tcPr>
          <w:p w14:paraId="744BE099" w14:textId="77777777" w:rsidR="00937546" w:rsidRDefault="00937546" w:rsidP="00447817">
            <w:pPr>
              <w:jc w:val="right"/>
              <w:rPr>
                <w:rFonts w:ascii="Calibri" w:hAnsi="Calibri" w:cs="Calibri"/>
                <w:color w:val="000000"/>
              </w:rPr>
            </w:pPr>
            <w:r>
              <w:rPr>
                <w:rFonts w:ascii="Calibri" w:hAnsi="Calibri" w:cs="Calibri"/>
                <w:color w:val="000000"/>
              </w:rPr>
              <w:t>2845.5</w:t>
            </w:r>
          </w:p>
        </w:tc>
        <w:tc>
          <w:tcPr>
            <w:tcW w:w="272" w:type="pct"/>
            <w:tcBorders>
              <w:top w:val="nil"/>
              <w:left w:val="single" w:sz="4" w:space="0" w:color="auto"/>
              <w:bottom w:val="single" w:sz="4" w:space="0" w:color="auto"/>
              <w:right w:val="single" w:sz="4" w:space="0" w:color="auto"/>
            </w:tcBorders>
            <w:shd w:val="clear" w:color="auto" w:fill="auto"/>
            <w:vAlign w:val="bottom"/>
          </w:tcPr>
          <w:p w14:paraId="1DF43CC7" w14:textId="77777777" w:rsidR="00937546" w:rsidRDefault="00937546" w:rsidP="00447817">
            <w:pPr>
              <w:jc w:val="right"/>
              <w:rPr>
                <w:rFonts w:ascii="Calibri" w:hAnsi="Calibri" w:cs="Calibri"/>
                <w:color w:val="000000"/>
              </w:rPr>
            </w:pPr>
            <w:r>
              <w:rPr>
                <w:rFonts w:ascii="Calibri" w:hAnsi="Calibri" w:cs="Calibri"/>
                <w:color w:val="000000"/>
              </w:rPr>
              <w:t>1584.9</w:t>
            </w:r>
          </w:p>
        </w:tc>
        <w:tc>
          <w:tcPr>
            <w:tcW w:w="269" w:type="pct"/>
            <w:tcBorders>
              <w:top w:val="nil"/>
              <w:left w:val="nil"/>
              <w:bottom w:val="single" w:sz="4" w:space="0" w:color="auto"/>
              <w:right w:val="single" w:sz="4" w:space="0" w:color="auto"/>
            </w:tcBorders>
            <w:shd w:val="clear" w:color="auto" w:fill="auto"/>
            <w:vAlign w:val="bottom"/>
          </w:tcPr>
          <w:p w14:paraId="3DCC670C" w14:textId="77777777" w:rsidR="00937546" w:rsidRDefault="00937546" w:rsidP="00447817">
            <w:pPr>
              <w:jc w:val="right"/>
              <w:rPr>
                <w:rFonts w:ascii="Calibri" w:hAnsi="Calibri" w:cs="Calibri"/>
                <w:color w:val="000000"/>
              </w:rPr>
            </w:pPr>
            <w:r>
              <w:rPr>
                <w:rFonts w:ascii="Calibri" w:hAnsi="Calibri" w:cs="Calibri"/>
                <w:color w:val="000000"/>
              </w:rPr>
              <w:t>1260.6</w:t>
            </w:r>
          </w:p>
        </w:tc>
      </w:tr>
      <w:tr w:rsidR="008B5959" w:rsidRPr="00E91A88" w14:paraId="0DF6A862" w14:textId="77777777" w:rsidTr="00447817">
        <w:trPr>
          <w:trHeight w:val="251"/>
        </w:trPr>
        <w:tc>
          <w:tcPr>
            <w:tcW w:w="747" w:type="pct"/>
            <w:noWrap/>
            <w:vAlign w:val="bottom"/>
            <w:hideMark/>
          </w:tcPr>
          <w:p w14:paraId="64B7AA7F" w14:textId="77777777" w:rsidR="00937546" w:rsidRDefault="00937546" w:rsidP="00447817">
            <w:pPr>
              <w:rPr>
                <w:rFonts w:ascii="Calibri" w:hAnsi="Calibri" w:cs="Calibri"/>
                <w:color w:val="000000"/>
              </w:rPr>
            </w:pPr>
            <w:r>
              <w:rPr>
                <w:rFonts w:ascii="Calibri" w:hAnsi="Calibri" w:cs="Calibri"/>
                <w:color w:val="000000"/>
              </w:rPr>
              <w:t>THANJAVUR</w:t>
            </w:r>
          </w:p>
        </w:tc>
        <w:tc>
          <w:tcPr>
            <w:tcW w:w="311" w:type="pct"/>
            <w:tcBorders>
              <w:top w:val="nil"/>
              <w:left w:val="single" w:sz="4" w:space="0" w:color="auto"/>
              <w:bottom w:val="single" w:sz="4" w:space="0" w:color="auto"/>
              <w:right w:val="single" w:sz="4" w:space="0" w:color="auto"/>
            </w:tcBorders>
            <w:shd w:val="clear" w:color="auto" w:fill="auto"/>
            <w:vAlign w:val="bottom"/>
          </w:tcPr>
          <w:p w14:paraId="7514B608" w14:textId="77777777" w:rsidR="00937546" w:rsidRDefault="00937546" w:rsidP="00447817">
            <w:pPr>
              <w:jc w:val="right"/>
              <w:rPr>
                <w:rFonts w:ascii="Calibri" w:hAnsi="Calibri" w:cs="Calibri"/>
                <w:color w:val="000000"/>
              </w:rPr>
            </w:pPr>
            <w:r>
              <w:rPr>
                <w:rFonts w:ascii="Calibri" w:hAnsi="Calibri" w:cs="Calibri"/>
                <w:color w:val="000000"/>
              </w:rPr>
              <w:t>0.596</w:t>
            </w:r>
          </w:p>
        </w:tc>
        <w:tc>
          <w:tcPr>
            <w:tcW w:w="391" w:type="pct"/>
            <w:tcBorders>
              <w:top w:val="nil"/>
              <w:left w:val="nil"/>
              <w:bottom w:val="single" w:sz="4" w:space="0" w:color="auto"/>
              <w:right w:val="single" w:sz="4" w:space="0" w:color="auto"/>
            </w:tcBorders>
            <w:shd w:val="clear" w:color="auto" w:fill="auto"/>
            <w:vAlign w:val="bottom"/>
          </w:tcPr>
          <w:p w14:paraId="36984053" w14:textId="77777777" w:rsidR="00937546" w:rsidRDefault="00937546" w:rsidP="00447817">
            <w:pPr>
              <w:jc w:val="right"/>
              <w:rPr>
                <w:rFonts w:ascii="Calibri" w:hAnsi="Calibri" w:cs="Calibri"/>
                <w:color w:val="000000"/>
              </w:rPr>
            </w:pPr>
            <w:r>
              <w:rPr>
                <w:rFonts w:ascii="Calibri" w:hAnsi="Calibri" w:cs="Calibri"/>
                <w:color w:val="000000"/>
              </w:rPr>
              <w:t>0.573</w:t>
            </w:r>
          </w:p>
        </w:tc>
        <w:tc>
          <w:tcPr>
            <w:tcW w:w="353" w:type="pct"/>
            <w:tcBorders>
              <w:top w:val="nil"/>
              <w:left w:val="nil"/>
              <w:bottom w:val="single" w:sz="4" w:space="0" w:color="auto"/>
              <w:right w:val="single" w:sz="4" w:space="0" w:color="auto"/>
            </w:tcBorders>
            <w:shd w:val="clear" w:color="auto" w:fill="auto"/>
            <w:vAlign w:val="bottom"/>
          </w:tcPr>
          <w:p w14:paraId="09E88DE4" w14:textId="77777777" w:rsidR="00937546" w:rsidRDefault="00937546" w:rsidP="00447817">
            <w:pPr>
              <w:jc w:val="right"/>
              <w:rPr>
                <w:rFonts w:ascii="Calibri" w:hAnsi="Calibri" w:cs="Calibri"/>
                <w:color w:val="000000"/>
              </w:rPr>
            </w:pPr>
            <w:r>
              <w:rPr>
                <w:rFonts w:ascii="Calibri" w:hAnsi="Calibri" w:cs="Calibri"/>
                <w:color w:val="000000"/>
              </w:rPr>
              <w:t>0.823</w:t>
            </w:r>
          </w:p>
        </w:tc>
        <w:tc>
          <w:tcPr>
            <w:tcW w:w="313" w:type="pct"/>
            <w:tcBorders>
              <w:top w:val="nil"/>
              <w:left w:val="nil"/>
              <w:bottom w:val="single" w:sz="4" w:space="0" w:color="auto"/>
              <w:right w:val="single" w:sz="4" w:space="0" w:color="auto"/>
            </w:tcBorders>
            <w:shd w:val="clear" w:color="auto" w:fill="auto"/>
            <w:vAlign w:val="bottom"/>
          </w:tcPr>
          <w:p w14:paraId="39982039" w14:textId="77777777" w:rsidR="00937546" w:rsidRDefault="00937546" w:rsidP="00447817">
            <w:pPr>
              <w:jc w:val="right"/>
              <w:rPr>
                <w:rFonts w:ascii="Calibri" w:hAnsi="Calibri" w:cs="Calibri"/>
                <w:color w:val="000000"/>
              </w:rPr>
            </w:pPr>
            <w:r>
              <w:rPr>
                <w:rFonts w:ascii="Calibri" w:hAnsi="Calibri" w:cs="Calibri"/>
                <w:color w:val="000000"/>
              </w:rPr>
              <w:t>0.655</w:t>
            </w:r>
          </w:p>
        </w:tc>
        <w:tc>
          <w:tcPr>
            <w:tcW w:w="353" w:type="pct"/>
            <w:tcBorders>
              <w:top w:val="nil"/>
              <w:left w:val="single" w:sz="4" w:space="0" w:color="auto"/>
              <w:bottom w:val="single" w:sz="4" w:space="0" w:color="auto"/>
              <w:right w:val="single" w:sz="4" w:space="0" w:color="auto"/>
            </w:tcBorders>
            <w:shd w:val="clear" w:color="auto" w:fill="auto"/>
            <w:vAlign w:val="bottom"/>
          </w:tcPr>
          <w:p w14:paraId="1C18ED9F" w14:textId="77777777" w:rsidR="00937546" w:rsidRDefault="00937546" w:rsidP="00447817">
            <w:pPr>
              <w:jc w:val="right"/>
              <w:rPr>
                <w:rFonts w:ascii="Calibri" w:hAnsi="Calibri" w:cs="Calibri"/>
                <w:color w:val="000000"/>
              </w:rPr>
            </w:pPr>
            <w:r>
              <w:rPr>
                <w:rFonts w:ascii="Calibri" w:hAnsi="Calibri" w:cs="Calibri"/>
                <w:color w:val="000000"/>
              </w:rPr>
              <w:t>58.4</w:t>
            </w:r>
          </w:p>
        </w:tc>
        <w:tc>
          <w:tcPr>
            <w:tcW w:w="352" w:type="pct"/>
            <w:tcBorders>
              <w:top w:val="nil"/>
              <w:left w:val="single" w:sz="4" w:space="0" w:color="auto"/>
              <w:bottom w:val="single" w:sz="4" w:space="0" w:color="auto"/>
              <w:right w:val="single" w:sz="4" w:space="0" w:color="auto"/>
            </w:tcBorders>
            <w:shd w:val="clear" w:color="auto" w:fill="auto"/>
            <w:vAlign w:val="bottom"/>
          </w:tcPr>
          <w:p w14:paraId="0360A81C" w14:textId="77777777" w:rsidR="00937546" w:rsidRDefault="00937546" w:rsidP="00447817">
            <w:pPr>
              <w:jc w:val="right"/>
              <w:rPr>
                <w:rFonts w:ascii="Calibri" w:hAnsi="Calibri" w:cs="Calibri"/>
                <w:color w:val="000000"/>
              </w:rPr>
            </w:pPr>
            <w:r>
              <w:rPr>
                <w:rFonts w:ascii="Calibri" w:hAnsi="Calibri" w:cs="Calibri"/>
                <w:color w:val="000000"/>
              </w:rPr>
              <w:t>5.8</w:t>
            </w:r>
          </w:p>
        </w:tc>
        <w:tc>
          <w:tcPr>
            <w:tcW w:w="274" w:type="pct"/>
            <w:tcBorders>
              <w:top w:val="nil"/>
              <w:left w:val="single" w:sz="4" w:space="0" w:color="auto"/>
              <w:bottom w:val="single" w:sz="4" w:space="0" w:color="auto"/>
              <w:right w:val="single" w:sz="4" w:space="0" w:color="auto"/>
            </w:tcBorders>
            <w:shd w:val="clear" w:color="auto" w:fill="auto"/>
            <w:vAlign w:val="bottom"/>
          </w:tcPr>
          <w:p w14:paraId="2E1DE841" w14:textId="77777777" w:rsidR="00937546" w:rsidRDefault="00937546" w:rsidP="00447817">
            <w:pPr>
              <w:jc w:val="right"/>
              <w:rPr>
                <w:rFonts w:ascii="Calibri" w:hAnsi="Calibri" w:cs="Calibri"/>
                <w:color w:val="000000"/>
              </w:rPr>
            </w:pPr>
            <w:r>
              <w:rPr>
                <w:rFonts w:ascii="Calibri" w:hAnsi="Calibri" w:cs="Calibri"/>
                <w:color w:val="000000"/>
              </w:rPr>
              <w:t>1.2</w:t>
            </w:r>
          </w:p>
        </w:tc>
        <w:tc>
          <w:tcPr>
            <w:tcW w:w="274" w:type="pct"/>
            <w:tcBorders>
              <w:top w:val="nil"/>
              <w:left w:val="single" w:sz="4" w:space="0" w:color="auto"/>
              <w:bottom w:val="single" w:sz="4" w:space="0" w:color="auto"/>
              <w:right w:val="single" w:sz="4" w:space="0" w:color="auto"/>
            </w:tcBorders>
            <w:shd w:val="clear" w:color="auto" w:fill="auto"/>
            <w:vAlign w:val="bottom"/>
          </w:tcPr>
          <w:p w14:paraId="4C63D44A" w14:textId="77777777" w:rsidR="00937546" w:rsidRDefault="00937546" w:rsidP="00447817">
            <w:pPr>
              <w:jc w:val="right"/>
              <w:rPr>
                <w:rFonts w:ascii="Calibri" w:hAnsi="Calibri" w:cs="Calibri"/>
                <w:color w:val="000000"/>
              </w:rPr>
            </w:pPr>
            <w:r>
              <w:rPr>
                <w:rFonts w:ascii="Calibri" w:hAnsi="Calibri" w:cs="Calibri"/>
                <w:color w:val="000000"/>
              </w:rPr>
              <w:t>4.6</w:t>
            </w:r>
          </w:p>
        </w:tc>
        <w:tc>
          <w:tcPr>
            <w:tcW w:w="234" w:type="pct"/>
            <w:tcBorders>
              <w:top w:val="nil"/>
              <w:left w:val="single" w:sz="4" w:space="0" w:color="auto"/>
              <w:bottom w:val="single" w:sz="4" w:space="0" w:color="auto"/>
              <w:right w:val="single" w:sz="4" w:space="0" w:color="auto"/>
            </w:tcBorders>
            <w:shd w:val="clear" w:color="auto" w:fill="auto"/>
            <w:vAlign w:val="bottom"/>
          </w:tcPr>
          <w:p w14:paraId="2CD3EA15" w14:textId="77777777" w:rsidR="00937546" w:rsidRDefault="00937546" w:rsidP="00447817">
            <w:pPr>
              <w:jc w:val="right"/>
              <w:rPr>
                <w:rFonts w:ascii="Calibri" w:hAnsi="Calibri" w:cs="Calibri"/>
                <w:color w:val="000000"/>
              </w:rPr>
            </w:pPr>
            <w:r>
              <w:rPr>
                <w:rFonts w:ascii="Calibri" w:hAnsi="Calibri" w:cs="Calibri"/>
                <w:color w:val="000000"/>
              </w:rPr>
              <w:t>2763.5</w:t>
            </w:r>
          </w:p>
        </w:tc>
        <w:tc>
          <w:tcPr>
            <w:tcW w:w="313" w:type="pct"/>
            <w:tcBorders>
              <w:top w:val="nil"/>
              <w:left w:val="single" w:sz="4" w:space="0" w:color="auto"/>
              <w:bottom w:val="single" w:sz="4" w:space="0" w:color="auto"/>
              <w:right w:val="single" w:sz="4" w:space="0" w:color="auto"/>
            </w:tcBorders>
            <w:shd w:val="clear" w:color="auto" w:fill="auto"/>
            <w:vAlign w:val="bottom"/>
          </w:tcPr>
          <w:p w14:paraId="58C8013E" w14:textId="77777777" w:rsidR="00937546" w:rsidRDefault="00937546" w:rsidP="00447817">
            <w:pPr>
              <w:jc w:val="right"/>
              <w:rPr>
                <w:rFonts w:ascii="Calibri" w:hAnsi="Calibri" w:cs="Calibri"/>
                <w:color w:val="000000"/>
              </w:rPr>
            </w:pPr>
            <w:r>
              <w:rPr>
                <w:rFonts w:ascii="Calibri" w:hAnsi="Calibri" w:cs="Calibri"/>
                <w:color w:val="000000"/>
              </w:rPr>
              <w:t>1443.2</w:t>
            </w:r>
          </w:p>
        </w:tc>
        <w:tc>
          <w:tcPr>
            <w:tcW w:w="272" w:type="pct"/>
            <w:tcBorders>
              <w:top w:val="nil"/>
              <w:left w:val="single" w:sz="4" w:space="0" w:color="auto"/>
              <w:bottom w:val="single" w:sz="4" w:space="0" w:color="auto"/>
              <w:right w:val="single" w:sz="4" w:space="0" w:color="auto"/>
            </w:tcBorders>
            <w:shd w:val="clear" w:color="auto" w:fill="auto"/>
            <w:vAlign w:val="bottom"/>
          </w:tcPr>
          <w:p w14:paraId="0BE48AA8" w14:textId="77777777" w:rsidR="00937546" w:rsidRDefault="00937546" w:rsidP="00447817">
            <w:pPr>
              <w:jc w:val="right"/>
              <w:rPr>
                <w:rFonts w:ascii="Calibri" w:hAnsi="Calibri" w:cs="Calibri"/>
                <w:color w:val="000000"/>
              </w:rPr>
            </w:pPr>
            <w:r>
              <w:rPr>
                <w:rFonts w:ascii="Calibri" w:hAnsi="Calibri" w:cs="Calibri"/>
                <w:color w:val="000000"/>
              </w:rPr>
              <w:t>1320.3</w:t>
            </w:r>
          </w:p>
        </w:tc>
        <w:tc>
          <w:tcPr>
            <w:tcW w:w="272" w:type="pct"/>
            <w:tcBorders>
              <w:top w:val="nil"/>
              <w:left w:val="single" w:sz="4" w:space="0" w:color="auto"/>
              <w:bottom w:val="single" w:sz="4" w:space="0" w:color="auto"/>
              <w:right w:val="single" w:sz="4" w:space="0" w:color="auto"/>
            </w:tcBorders>
            <w:shd w:val="clear" w:color="auto" w:fill="auto"/>
            <w:vAlign w:val="bottom"/>
          </w:tcPr>
          <w:p w14:paraId="59A80E6B" w14:textId="77777777" w:rsidR="00937546" w:rsidRDefault="00937546" w:rsidP="00447817">
            <w:pPr>
              <w:jc w:val="right"/>
              <w:rPr>
                <w:rFonts w:ascii="Calibri" w:hAnsi="Calibri" w:cs="Calibri"/>
                <w:color w:val="000000"/>
              </w:rPr>
            </w:pPr>
            <w:r>
              <w:rPr>
                <w:rFonts w:ascii="Calibri" w:hAnsi="Calibri" w:cs="Calibri"/>
                <w:color w:val="000000"/>
              </w:rPr>
              <w:t>2932.1</w:t>
            </w:r>
          </w:p>
        </w:tc>
        <w:tc>
          <w:tcPr>
            <w:tcW w:w="272" w:type="pct"/>
            <w:tcBorders>
              <w:top w:val="nil"/>
              <w:left w:val="single" w:sz="4" w:space="0" w:color="auto"/>
              <w:bottom w:val="single" w:sz="4" w:space="0" w:color="auto"/>
              <w:right w:val="single" w:sz="4" w:space="0" w:color="auto"/>
            </w:tcBorders>
            <w:shd w:val="clear" w:color="auto" w:fill="auto"/>
            <w:vAlign w:val="bottom"/>
          </w:tcPr>
          <w:p w14:paraId="1F3E1257" w14:textId="77777777" w:rsidR="00937546" w:rsidRDefault="00937546" w:rsidP="00447817">
            <w:pPr>
              <w:jc w:val="right"/>
              <w:rPr>
                <w:rFonts w:ascii="Calibri" w:hAnsi="Calibri" w:cs="Calibri"/>
                <w:color w:val="000000"/>
              </w:rPr>
            </w:pPr>
            <w:r>
              <w:rPr>
                <w:rFonts w:ascii="Calibri" w:hAnsi="Calibri" w:cs="Calibri"/>
                <w:color w:val="000000"/>
              </w:rPr>
              <w:t>1774.4</w:t>
            </w:r>
          </w:p>
        </w:tc>
        <w:tc>
          <w:tcPr>
            <w:tcW w:w="269" w:type="pct"/>
            <w:tcBorders>
              <w:top w:val="nil"/>
              <w:left w:val="nil"/>
              <w:bottom w:val="single" w:sz="4" w:space="0" w:color="auto"/>
              <w:right w:val="single" w:sz="4" w:space="0" w:color="auto"/>
            </w:tcBorders>
            <w:shd w:val="clear" w:color="auto" w:fill="auto"/>
            <w:vAlign w:val="bottom"/>
          </w:tcPr>
          <w:p w14:paraId="2B524390" w14:textId="77777777" w:rsidR="00937546" w:rsidRDefault="00937546" w:rsidP="00447817">
            <w:pPr>
              <w:jc w:val="right"/>
              <w:rPr>
                <w:rFonts w:ascii="Calibri" w:hAnsi="Calibri" w:cs="Calibri"/>
                <w:color w:val="000000"/>
              </w:rPr>
            </w:pPr>
            <w:r>
              <w:rPr>
                <w:rFonts w:ascii="Calibri" w:hAnsi="Calibri" w:cs="Calibri"/>
                <w:color w:val="000000"/>
              </w:rPr>
              <w:t>1157.7</w:t>
            </w:r>
          </w:p>
        </w:tc>
      </w:tr>
      <w:tr w:rsidR="008B5959" w:rsidRPr="00E91A88" w14:paraId="22D10EB0" w14:textId="77777777" w:rsidTr="00447817">
        <w:trPr>
          <w:trHeight w:val="251"/>
        </w:trPr>
        <w:tc>
          <w:tcPr>
            <w:tcW w:w="747" w:type="pct"/>
            <w:noWrap/>
            <w:vAlign w:val="bottom"/>
            <w:hideMark/>
          </w:tcPr>
          <w:p w14:paraId="4AA66C80" w14:textId="77777777" w:rsidR="00937546" w:rsidRDefault="00937546" w:rsidP="00447817">
            <w:pPr>
              <w:rPr>
                <w:rFonts w:ascii="Calibri" w:hAnsi="Calibri" w:cs="Calibri"/>
                <w:color w:val="000000"/>
              </w:rPr>
            </w:pPr>
            <w:r>
              <w:rPr>
                <w:rFonts w:ascii="Calibri" w:hAnsi="Calibri" w:cs="Calibri"/>
                <w:color w:val="000000"/>
              </w:rPr>
              <w:t>THENI</w:t>
            </w:r>
          </w:p>
        </w:tc>
        <w:tc>
          <w:tcPr>
            <w:tcW w:w="311" w:type="pct"/>
            <w:tcBorders>
              <w:top w:val="nil"/>
              <w:left w:val="single" w:sz="4" w:space="0" w:color="auto"/>
              <w:bottom w:val="single" w:sz="4" w:space="0" w:color="auto"/>
              <w:right w:val="single" w:sz="4" w:space="0" w:color="auto"/>
            </w:tcBorders>
            <w:shd w:val="clear" w:color="auto" w:fill="auto"/>
            <w:vAlign w:val="bottom"/>
          </w:tcPr>
          <w:p w14:paraId="6D9D4D7A" w14:textId="77777777" w:rsidR="00937546" w:rsidRDefault="00937546" w:rsidP="00447817">
            <w:pPr>
              <w:jc w:val="right"/>
              <w:rPr>
                <w:rFonts w:ascii="Calibri" w:hAnsi="Calibri" w:cs="Calibri"/>
                <w:color w:val="000000"/>
              </w:rPr>
            </w:pPr>
            <w:r>
              <w:rPr>
                <w:rFonts w:ascii="Calibri" w:hAnsi="Calibri" w:cs="Calibri"/>
                <w:color w:val="000000"/>
              </w:rPr>
              <w:t>0.483</w:t>
            </w:r>
          </w:p>
        </w:tc>
        <w:tc>
          <w:tcPr>
            <w:tcW w:w="391" w:type="pct"/>
            <w:tcBorders>
              <w:top w:val="nil"/>
              <w:left w:val="nil"/>
              <w:bottom w:val="single" w:sz="4" w:space="0" w:color="auto"/>
              <w:right w:val="single" w:sz="4" w:space="0" w:color="auto"/>
            </w:tcBorders>
            <w:shd w:val="clear" w:color="auto" w:fill="auto"/>
            <w:vAlign w:val="bottom"/>
          </w:tcPr>
          <w:p w14:paraId="46B23F80" w14:textId="77777777" w:rsidR="00937546" w:rsidRDefault="00937546" w:rsidP="00447817">
            <w:pPr>
              <w:jc w:val="right"/>
              <w:rPr>
                <w:rFonts w:ascii="Calibri" w:hAnsi="Calibri" w:cs="Calibri"/>
                <w:color w:val="000000"/>
              </w:rPr>
            </w:pPr>
            <w:r>
              <w:rPr>
                <w:rFonts w:ascii="Calibri" w:hAnsi="Calibri" w:cs="Calibri"/>
                <w:color w:val="000000"/>
              </w:rPr>
              <w:t>0.445</w:t>
            </w:r>
          </w:p>
        </w:tc>
        <w:tc>
          <w:tcPr>
            <w:tcW w:w="353" w:type="pct"/>
            <w:tcBorders>
              <w:top w:val="nil"/>
              <w:left w:val="nil"/>
              <w:bottom w:val="single" w:sz="4" w:space="0" w:color="auto"/>
              <w:right w:val="single" w:sz="4" w:space="0" w:color="auto"/>
            </w:tcBorders>
            <w:shd w:val="clear" w:color="auto" w:fill="auto"/>
            <w:vAlign w:val="bottom"/>
          </w:tcPr>
          <w:p w14:paraId="3F3AE6D8" w14:textId="77777777" w:rsidR="00937546" w:rsidRDefault="00937546" w:rsidP="00447817">
            <w:pPr>
              <w:jc w:val="right"/>
              <w:rPr>
                <w:rFonts w:ascii="Calibri" w:hAnsi="Calibri" w:cs="Calibri"/>
                <w:color w:val="000000"/>
              </w:rPr>
            </w:pPr>
            <w:r>
              <w:rPr>
                <w:rFonts w:ascii="Calibri" w:hAnsi="Calibri" w:cs="Calibri"/>
                <w:color w:val="000000"/>
              </w:rPr>
              <w:t>0.727</w:t>
            </w:r>
          </w:p>
        </w:tc>
        <w:tc>
          <w:tcPr>
            <w:tcW w:w="313" w:type="pct"/>
            <w:tcBorders>
              <w:top w:val="nil"/>
              <w:left w:val="nil"/>
              <w:bottom w:val="single" w:sz="4" w:space="0" w:color="auto"/>
              <w:right w:val="single" w:sz="4" w:space="0" w:color="auto"/>
            </w:tcBorders>
            <w:shd w:val="clear" w:color="auto" w:fill="auto"/>
            <w:vAlign w:val="bottom"/>
          </w:tcPr>
          <w:p w14:paraId="51B6C209" w14:textId="77777777" w:rsidR="00937546" w:rsidRDefault="00937546" w:rsidP="00447817">
            <w:pPr>
              <w:jc w:val="right"/>
              <w:rPr>
                <w:rFonts w:ascii="Calibri" w:hAnsi="Calibri" w:cs="Calibri"/>
                <w:color w:val="000000"/>
              </w:rPr>
            </w:pPr>
            <w:r>
              <w:rPr>
                <w:rFonts w:ascii="Calibri" w:hAnsi="Calibri" w:cs="Calibri"/>
                <w:color w:val="000000"/>
              </w:rPr>
              <w:t>0.539</w:t>
            </w:r>
          </w:p>
        </w:tc>
        <w:tc>
          <w:tcPr>
            <w:tcW w:w="353" w:type="pct"/>
            <w:tcBorders>
              <w:top w:val="nil"/>
              <w:left w:val="single" w:sz="4" w:space="0" w:color="auto"/>
              <w:bottom w:val="single" w:sz="4" w:space="0" w:color="auto"/>
              <w:right w:val="single" w:sz="4" w:space="0" w:color="auto"/>
            </w:tcBorders>
            <w:shd w:val="clear" w:color="auto" w:fill="auto"/>
            <w:vAlign w:val="bottom"/>
          </w:tcPr>
          <w:p w14:paraId="6B3EBDBE" w14:textId="77777777" w:rsidR="00937546" w:rsidRDefault="00937546" w:rsidP="00447817">
            <w:pPr>
              <w:jc w:val="right"/>
              <w:rPr>
                <w:rFonts w:ascii="Calibri" w:hAnsi="Calibri" w:cs="Calibri"/>
                <w:color w:val="000000"/>
              </w:rPr>
            </w:pPr>
            <w:r>
              <w:rPr>
                <w:rFonts w:ascii="Calibri" w:hAnsi="Calibri" w:cs="Calibri"/>
                <w:color w:val="000000"/>
              </w:rPr>
              <w:t>61.8</w:t>
            </w:r>
          </w:p>
        </w:tc>
        <w:tc>
          <w:tcPr>
            <w:tcW w:w="352" w:type="pct"/>
            <w:tcBorders>
              <w:top w:val="nil"/>
              <w:left w:val="single" w:sz="4" w:space="0" w:color="auto"/>
              <w:bottom w:val="single" w:sz="4" w:space="0" w:color="auto"/>
              <w:right w:val="single" w:sz="4" w:space="0" w:color="auto"/>
            </w:tcBorders>
            <w:shd w:val="clear" w:color="auto" w:fill="auto"/>
            <w:vAlign w:val="bottom"/>
          </w:tcPr>
          <w:p w14:paraId="61020022" w14:textId="77777777" w:rsidR="00937546" w:rsidRDefault="00937546" w:rsidP="00447817">
            <w:pPr>
              <w:jc w:val="right"/>
              <w:rPr>
                <w:rFonts w:ascii="Calibri" w:hAnsi="Calibri" w:cs="Calibri"/>
                <w:color w:val="000000"/>
              </w:rPr>
            </w:pPr>
            <w:r>
              <w:rPr>
                <w:rFonts w:ascii="Calibri" w:hAnsi="Calibri" w:cs="Calibri"/>
                <w:color w:val="000000"/>
              </w:rPr>
              <w:t>6.3</w:t>
            </w:r>
          </w:p>
        </w:tc>
        <w:tc>
          <w:tcPr>
            <w:tcW w:w="274" w:type="pct"/>
            <w:tcBorders>
              <w:top w:val="nil"/>
              <w:left w:val="single" w:sz="4" w:space="0" w:color="auto"/>
              <w:bottom w:val="single" w:sz="4" w:space="0" w:color="auto"/>
              <w:right w:val="single" w:sz="4" w:space="0" w:color="auto"/>
            </w:tcBorders>
            <w:shd w:val="clear" w:color="auto" w:fill="auto"/>
            <w:vAlign w:val="bottom"/>
          </w:tcPr>
          <w:p w14:paraId="24CBF796" w14:textId="77777777" w:rsidR="00937546" w:rsidRDefault="00937546" w:rsidP="00447817">
            <w:pPr>
              <w:jc w:val="right"/>
              <w:rPr>
                <w:rFonts w:ascii="Calibri" w:hAnsi="Calibri" w:cs="Calibri"/>
                <w:color w:val="000000"/>
              </w:rPr>
            </w:pPr>
            <w:r>
              <w:rPr>
                <w:rFonts w:ascii="Calibri" w:hAnsi="Calibri" w:cs="Calibri"/>
                <w:color w:val="000000"/>
              </w:rPr>
              <w:t>1.8</w:t>
            </w:r>
          </w:p>
        </w:tc>
        <w:tc>
          <w:tcPr>
            <w:tcW w:w="274" w:type="pct"/>
            <w:tcBorders>
              <w:top w:val="nil"/>
              <w:left w:val="single" w:sz="4" w:space="0" w:color="auto"/>
              <w:bottom w:val="single" w:sz="4" w:space="0" w:color="auto"/>
              <w:right w:val="single" w:sz="4" w:space="0" w:color="auto"/>
            </w:tcBorders>
            <w:shd w:val="clear" w:color="auto" w:fill="auto"/>
            <w:vAlign w:val="bottom"/>
          </w:tcPr>
          <w:p w14:paraId="3FE60A29" w14:textId="77777777" w:rsidR="00937546" w:rsidRDefault="00937546" w:rsidP="00447817">
            <w:pPr>
              <w:jc w:val="right"/>
              <w:rPr>
                <w:rFonts w:ascii="Calibri" w:hAnsi="Calibri" w:cs="Calibri"/>
                <w:color w:val="000000"/>
              </w:rPr>
            </w:pPr>
            <w:r>
              <w:rPr>
                <w:rFonts w:ascii="Calibri" w:hAnsi="Calibri" w:cs="Calibri"/>
                <w:color w:val="000000"/>
              </w:rPr>
              <w:t>4.6</w:t>
            </w:r>
          </w:p>
        </w:tc>
        <w:tc>
          <w:tcPr>
            <w:tcW w:w="234" w:type="pct"/>
            <w:tcBorders>
              <w:top w:val="nil"/>
              <w:left w:val="single" w:sz="4" w:space="0" w:color="auto"/>
              <w:bottom w:val="single" w:sz="4" w:space="0" w:color="auto"/>
              <w:right w:val="single" w:sz="4" w:space="0" w:color="auto"/>
            </w:tcBorders>
            <w:shd w:val="clear" w:color="auto" w:fill="auto"/>
            <w:vAlign w:val="bottom"/>
          </w:tcPr>
          <w:p w14:paraId="7720AA79" w14:textId="77777777" w:rsidR="00937546" w:rsidRDefault="00937546" w:rsidP="00447817">
            <w:pPr>
              <w:jc w:val="right"/>
              <w:rPr>
                <w:rFonts w:ascii="Calibri" w:hAnsi="Calibri" w:cs="Calibri"/>
                <w:color w:val="000000"/>
              </w:rPr>
            </w:pPr>
            <w:r>
              <w:rPr>
                <w:rFonts w:ascii="Calibri" w:hAnsi="Calibri" w:cs="Calibri"/>
                <w:color w:val="000000"/>
              </w:rPr>
              <w:t>3655.9</w:t>
            </w:r>
          </w:p>
        </w:tc>
        <w:tc>
          <w:tcPr>
            <w:tcW w:w="313" w:type="pct"/>
            <w:tcBorders>
              <w:top w:val="nil"/>
              <w:left w:val="single" w:sz="4" w:space="0" w:color="auto"/>
              <w:bottom w:val="single" w:sz="4" w:space="0" w:color="auto"/>
              <w:right w:val="single" w:sz="4" w:space="0" w:color="auto"/>
            </w:tcBorders>
            <w:shd w:val="clear" w:color="auto" w:fill="auto"/>
            <w:vAlign w:val="bottom"/>
          </w:tcPr>
          <w:p w14:paraId="3B38CD28" w14:textId="77777777" w:rsidR="00937546" w:rsidRDefault="00937546" w:rsidP="00447817">
            <w:pPr>
              <w:jc w:val="right"/>
              <w:rPr>
                <w:rFonts w:ascii="Calibri" w:hAnsi="Calibri" w:cs="Calibri"/>
                <w:color w:val="000000"/>
              </w:rPr>
            </w:pPr>
            <w:r>
              <w:rPr>
                <w:rFonts w:ascii="Calibri" w:hAnsi="Calibri" w:cs="Calibri"/>
                <w:color w:val="000000"/>
              </w:rPr>
              <w:t>1598.8</w:t>
            </w:r>
          </w:p>
        </w:tc>
        <w:tc>
          <w:tcPr>
            <w:tcW w:w="272" w:type="pct"/>
            <w:tcBorders>
              <w:top w:val="nil"/>
              <w:left w:val="single" w:sz="4" w:space="0" w:color="auto"/>
              <w:bottom w:val="single" w:sz="4" w:space="0" w:color="auto"/>
              <w:right w:val="single" w:sz="4" w:space="0" w:color="auto"/>
            </w:tcBorders>
            <w:shd w:val="clear" w:color="auto" w:fill="auto"/>
            <w:vAlign w:val="bottom"/>
          </w:tcPr>
          <w:p w14:paraId="0D235246" w14:textId="77777777" w:rsidR="00937546" w:rsidRDefault="00937546" w:rsidP="00447817">
            <w:pPr>
              <w:jc w:val="right"/>
              <w:rPr>
                <w:rFonts w:ascii="Calibri" w:hAnsi="Calibri" w:cs="Calibri"/>
                <w:color w:val="000000"/>
              </w:rPr>
            </w:pPr>
            <w:r>
              <w:rPr>
                <w:rFonts w:ascii="Calibri" w:hAnsi="Calibri" w:cs="Calibri"/>
                <w:color w:val="000000"/>
              </w:rPr>
              <w:t>2057.1</w:t>
            </w:r>
          </w:p>
        </w:tc>
        <w:tc>
          <w:tcPr>
            <w:tcW w:w="272" w:type="pct"/>
            <w:tcBorders>
              <w:top w:val="nil"/>
              <w:left w:val="single" w:sz="4" w:space="0" w:color="auto"/>
              <w:bottom w:val="single" w:sz="4" w:space="0" w:color="auto"/>
              <w:right w:val="single" w:sz="4" w:space="0" w:color="auto"/>
            </w:tcBorders>
            <w:shd w:val="clear" w:color="auto" w:fill="auto"/>
            <w:vAlign w:val="bottom"/>
          </w:tcPr>
          <w:p w14:paraId="1F17F9A2" w14:textId="77777777" w:rsidR="00937546" w:rsidRDefault="00937546" w:rsidP="00447817">
            <w:pPr>
              <w:jc w:val="right"/>
              <w:rPr>
                <w:rFonts w:ascii="Calibri" w:hAnsi="Calibri" w:cs="Calibri"/>
                <w:color w:val="000000"/>
              </w:rPr>
            </w:pPr>
            <w:r>
              <w:rPr>
                <w:rFonts w:ascii="Calibri" w:hAnsi="Calibri" w:cs="Calibri"/>
                <w:color w:val="000000"/>
              </w:rPr>
              <w:t>2465.3</w:t>
            </w:r>
          </w:p>
        </w:tc>
        <w:tc>
          <w:tcPr>
            <w:tcW w:w="272" w:type="pct"/>
            <w:tcBorders>
              <w:top w:val="nil"/>
              <w:left w:val="single" w:sz="4" w:space="0" w:color="auto"/>
              <w:bottom w:val="single" w:sz="4" w:space="0" w:color="auto"/>
              <w:right w:val="single" w:sz="4" w:space="0" w:color="auto"/>
            </w:tcBorders>
            <w:shd w:val="clear" w:color="auto" w:fill="auto"/>
            <w:vAlign w:val="bottom"/>
          </w:tcPr>
          <w:p w14:paraId="75D08A26" w14:textId="77777777" w:rsidR="00937546" w:rsidRDefault="00937546" w:rsidP="00447817">
            <w:pPr>
              <w:jc w:val="right"/>
              <w:rPr>
                <w:rFonts w:ascii="Calibri" w:hAnsi="Calibri" w:cs="Calibri"/>
                <w:color w:val="000000"/>
              </w:rPr>
            </w:pPr>
            <w:r>
              <w:rPr>
                <w:rFonts w:ascii="Calibri" w:hAnsi="Calibri" w:cs="Calibri"/>
                <w:color w:val="000000"/>
              </w:rPr>
              <w:t>1401.3</w:t>
            </w:r>
          </w:p>
        </w:tc>
        <w:tc>
          <w:tcPr>
            <w:tcW w:w="269" w:type="pct"/>
            <w:tcBorders>
              <w:top w:val="nil"/>
              <w:left w:val="nil"/>
              <w:bottom w:val="single" w:sz="4" w:space="0" w:color="auto"/>
              <w:right w:val="single" w:sz="4" w:space="0" w:color="auto"/>
            </w:tcBorders>
            <w:shd w:val="clear" w:color="auto" w:fill="auto"/>
            <w:vAlign w:val="bottom"/>
          </w:tcPr>
          <w:p w14:paraId="5C50CCE3" w14:textId="77777777" w:rsidR="00937546" w:rsidRDefault="00937546" w:rsidP="00447817">
            <w:pPr>
              <w:jc w:val="right"/>
              <w:rPr>
                <w:rFonts w:ascii="Calibri" w:hAnsi="Calibri" w:cs="Calibri"/>
                <w:color w:val="000000"/>
              </w:rPr>
            </w:pPr>
            <w:r>
              <w:rPr>
                <w:rFonts w:ascii="Calibri" w:hAnsi="Calibri" w:cs="Calibri"/>
                <w:color w:val="000000"/>
              </w:rPr>
              <w:t>1064.0</w:t>
            </w:r>
          </w:p>
        </w:tc>
      </w:tr>
      <w:tr w:rsidR="008B5959" w:rsidRPr="00E91A88" w14:paraId="565A404C" w14:textId="77777777" w:rsidTr="00447817">
        <w:trPr>
          <w:trHeight w:val="251"/>
        </w:trPr>
        <w:tc>
          <w:tcPr>
            <w:tcW w:w="747" w:type="pct"/>
            <w:noWrap/>
            <w:vAlign w:val="bottom"/>
            <w:hideMark/>
          </w:tcPr>
          <w:p w14:paraId="492D30D5" w14:textId="77777777" w:rsidR="00937546" w:rsidRDefault="00937546" w:rsidP="00447817">
            <w:pPr>
              <w:rPr>
                <w:rFonts w:ascii="Calibri" w:hAnsi="Calibri" w:cs="Calibri"/>
                <w:color w:val="000000"/>
              </w:rPr>
            </w:pPr>
            <w:r>
              <w:rPr>
                <w:rFonts w:ascii="Calibri" w:hAnsi="Calibri" w:cs="Calibri"/>
                <w:color w:val="000000"/>
              </w:rPr>
              <w:t xml:space="preserve">TIRUCHIRAPALLI </w:t>
            </w:r>
          </w:p>
        </w:tc>
        <w:tc>
          <w:tcPr>
            <w:tcW w:w="311" w:type="pct"/>
            <w:tcBorders>
              <w:top w:val="nil"/>
              <w:left w:val="single" w:sz="4" w:space="0" w:color="auto"/>
              <w:bottom w:val="single" w:sz="4" w:space="0" w:color="auto"/>
              <w:right w:val="single" w:sz="4" w:space="0" w:color="auto"/>
            </w:tcBorders>
            <w:shd w:val="clear" w:color="auto" w:fill="auto"/>
            <w:vAlign w:val="bottom"/>
          </w:tcPr>
          <w:p w14:paraId="65B72C60" w14:textId="77777777" w:rsidR="00937546" w:rsidRDefault="00937546" w:rsidP="00447817">
            <w:pPr>
              <w:jc w:val="right"/>
              <w:rPr>
                <w:rFonts w:ascii="Calibri" w:hAnsi="Calibri" w:cs="Calibri"/>
                <w:color w:val="000000"/>
              </w:rPr>
            </w:pPr>
            <w:r>
              <w:rPr>
                <w:rFonts w:ascii="Calibri" w:hAnsi="Calibri" w:cs="Calibri"/>
                <w:color w:val="000000"/>
              </w:rPr>
              <w:t>0.858</w:t>
            </w:r>
          </w:p>
        </w:tc>
        <w:tc>
          <w:tcPr>
            <w:tcW w:w="391" w:type="pct"/>
            <w:tcBorders>
              <w:top w:val="nil"/>
              <w:left w:val="nil"/>
              <w:bottom w:val="single" w:sz="4" w:space="0" w:color="auto"/>
              <w:right w:val="single" w:sz="4" w:space="0" w:color="auto"/>
            </w:tcBorders>
            <w:shd w:val="clear" w:color="auto" w:fill="auto"/>
            <w:vAlign w:val="bottom"/>
          </w:tcPr>
          <w:p w14:paraId="3F2E4647" w14:textId="77777777" w:rsidR="00937546" w:rsidRDefault="00937546" w:rsidP="00447817">
            <w:pPr>
              <w:jc w:val="right"/>
              <w:rPr>
                <w:rFonts w:ascii="Calibri" w:hAnsi="Calibri" w:cs="Calibri"/>
                <w:color w:val="000000"/>
              </w:rPr>
            </w:pPr>
            <w:r>
              <w:rPr>
                <w:rFonts w:ascii="Calibri" w:hAnsi="Calibri" w:cs="Calibri"/>
                <w:color w:val="000000"/>
              </w:rPr>
              <w:t>0.659</w:t>
            </w:r>
          </w:p>
        </w:tc>
        <w:tc>
          <w:tcPr>
            <w:tcW w:w="353" w:type="pct"/>
            <w:tcBorders>
              <w:top w:val="nil"/>
              <w:left w:val="nil"/>
              <w:bottom w:val="single" w:sz="4" w:space="0" w:color="auto"/>
              <w:right w:val="single" w:sz="4" w:space="0" w:color="auto"/>
            </w:tcBorders>
            <w:shd w:val="clear" w:color="auto" w:fill="auto"/>
            <w:vAlign w:val="bottom"/>
          </w:tcPr>
          <w:p w14:paraId="6D4ADEBE" w14:textId="77777777" w:rsidR="00937546" w:rsidRDefault="00937546" w:rsidP="00447817">
            <w:pPr>
              <w:jc w:val="right"/>
              <w:rPr>
                <w:rFonts w:ascii="Calibri" w:hAnsi="Calibri" w:cs="Calibri"/>
                <w:color w:val="000000"/>
              </w:rPr>
            </w:pPr>
            <w:r>
              <w:rPr>
                <w:rFonts w:ascii="Calibri" w:hAnsi="Calibri" w:cs="Calibri"/>
                <w:color w:val="000000"/>
              </w:rPr>
              <w:t>0.819</w:t>
            </w:r>
          </w:p>
        </w:tc>
        <w:tc>
          <w:tcPr>
            <w:tcW w:w="313" w:type="pct"/>
            <w:tcBorders>
              <w:top w:val="nil"/>
              <w:left w:val="nil"/>
              <w:bottom w:val="single" w:sz="4" w:space="0" w:color="auto"/>
              <w:right w:val="single" w:sz="4" w:space="0" w:color="auto"/>
            </w:tcBorders>
            <w:shd w:val="clear" w:color="auto" w:fill="auto"/>
            <w:vAlign w:val="bottom"/>
          </w:tcPr>
          <w:p w14:paraId="6C500DC4" w14:textId="77777777" w:rsidR="00937546" w:rsidRDefault="00937546" w:rsidP="00447817">
            <w:pPr>
              <w:jc w:val="right"/>
              <w:rPr>
                <w:rFonts w:ascii="Calibri" w:hAnsi="Calibri" w:cs="Calibri"/>
                <w:color w:val="000000"/>
              </w:rPr>
            </w:pPr>
            <w:r>
              <w:rPr>
                <w:rFonts w:ascii="Calibri" w:hAnsi="Calibri" w:cs="Calibri"/>
                <w:color w:val="000000"/>
              </w:rPr>
              <w:t>0.774</w:t>
            </w:r>
          </w:p>
        </w:tc>
        <w:tc>
          <w:tcPr>
            <w:tcW w:w="353" w:type="pct"/>
            <w:tcBorders>
              <w:top w:val="nil"/>
              <w:left w:val="single" w:sz="4" w:space="0" w:color="auto"/>
              <w:bottom w:val="single" w:sz="4" w:space="0" w:color="auto"/>
              <w:right w:val="single" w:sz="4" w:space="0" w:color="auto"/>
            </w:tcBorders>
            <w:shd w:val="clear" w:color="auto" w:fill="auto"/>
            <w:vAlign w:val="bottom"/>
          </w:tcPr>
          <w:p w14:paraId="562D0406" w14:textId="77777777" w:rsidR="00937546" w:rsidRDefault="00937546" w:rsidP="00447817">
            <w:pPr>
              <w:jc w:val="right"/>
              <w:rPr>
                <w:rFonts w:ascii="Calibri" w:hAnsi="Calibri" w:cs="Calibri"/>
                <w:color w:val="000000"/>
              </w:rPr>
            </w:pPr>
            <w:r>
              <w:rPr>
                <w:rFonts w:ascii="Calibri" w:hAnsi="Calibri" w:cs="Calibri"/>
                <w:color w:val="000000"/>
              </w:rPr>
              <w:t>53.0</w:t>
            </w:r>
          </w:p>
        </w:tc>
        <w:tc>
          <w:tcPr>
            <w:tcW w:w="352" w:type="pct"/>
            <w:tcBorders>
              <w:top w:val="nil"/>
              <w:left w:val="single" w:sz="4" w:space="0" w:color="auto"/>
              <w:bottom w:val="single" w:sz="4" w:space="0" w:color="auto"/>
              <w:right w:val="single" w:sz="4" w:space="0" w:color="auto"/>
            </w:tcBorders>
            <w:shd w:val="clear" w:color="auto" w:fill="auto"/>
            <w:vAlign w:val="bottom"/>
          </w:tcPr>
          <w:p w14:paraId="180042B5" w14:textId="77777777" w:rsidR="00937546" w:rsidRDefault="00937546" w:rsidP="00447817">
            <w:pPr>
              <w:jc w:val="right"/>
              <w:rPr>
                <w:rFonts w:ascii="Calibri" w:hAnsi="Calibri" w:cs="Calibri"/>
                <w:color w:val="000000"/>
              </w:rPr>
            </w:pPr>
            <w:r>
              <w:rPr>
                <w:rFonts w:ascii="Calibri" w:hAnsi="Calibri" w:cs="Calibri"/>
                <w:color w:val="000000"/>
              </w:rPr>
              <w:t>9.5</w:t>
            </w:r>
          </w:p>
        </w:tc>
        <w:tc>
          <w:tcPr>
            <w:tcW w:w="274" w:type="pct"/>
            <w:tcBorders>
              <w:top w:val="nil"/>
              <w:left w:val="single" w:sz="4" w:space="0" w:color="auto"/>
              <w:bottom w:val="single" w:sz="4" w:space="0" w:color="auto"/>
              <w:right w:val="single" w:sz="4" w:space="0" w:color="auto"/>
            </w:tcBorders>
            <w:shd w:val="clear" w:color="auto" w:fill="auto"/>
            <w:vAlign w:val="bottom"/>
          </w:tcPr>
          <w:p w14:paraId="5D0BDC24" w14:textId="77777777" w:rsidR="00937546" w:rsidRDefault="00937546" w:rsidP="00447817">
            <w:pPr>
              <w:jc w:val="right"/>
              <w:rPr>
                <w:rFonts w:ascii="Calibri" w:hAnsi="Calibri" w:cs="Calibri"/>
                <w:color w:val="000000"/>
              </w:rPr>
            </w:pPr>
            <w:r>
              <w:rPr>
                <w:rFonts w:ascii="Calibri" w:hAnsi="Calibri" w:cs="Calibri"/>
                <w:color w:val="000000"/>
              </w:rPr>
              <w:t>2.1</w:t>
            </w:r>
          </w:p>
        </w:tc>
        <w:tc>
          <w:tcPr>
            <w:tcW w:w="274" w:type="pct"/>
            <w:tcBorders>
              <w:top w:val="nil"/>
              <w:left w:val="single" w:sz="4" w:space="0" w:color="auto"/>
              <w:bottom w:val="single" w:sz="4" w:space="0" w:color="auto"/>
              <w:right w:val="single" w:sz="4" w:space="0" w:color="auto"/>
            </w:tcBorders>
            <w:shd w:val="clear" w:color="auto" w:fill="auto"/>
            <w:vAlign w:val="bottom"/>
          </w:tcPr>
          <w:p w14:paraId="2B09285F" w14:textId="77777777" w:rsidR="00937546" w:rsidRDefault="00937546" w:rsidP="00447817">
            <w:pPr>
              <w:jc w:val="right"/>
              <w:rPr>
                <w:rFonts w:ascii="Calibri" w:hAnsi="Calibri" w:cs="Calibri"/>
                <w:color w:val="000000"/>
              </w:rPr>
            </w:pPr>
            <w:r>
              <w:rPr>
                <w:rFonts w:ascii="Calibri" w:hAnsi="Calibri" w:cs="Calibri"/>
                <w:color w:val="000000"/>
              </w:rPr>
              <w:t>7.5</w:t>
            </w:r>
          </w:p>
        </w:tc>
        <w:tc>
          <w:tcPr>
            <w:tcW w:w="234" w:type="pct"/>
            <w:tcBorders>
              <w:top w:val="nil"/>
              <w:left w:val="single" w:sz="4" w:space="0" w:color="auto"/>
              <w:bottom w:val="single" w:sz="4" w:space="0" w:color="auto"/>
              <w:right w:val="single" w:sz="4" w:space="0" w:color="auto"/>
            </w:tcBorders>
            <w:shd w:val="clear" w:color="auto" w:fill="auto"/>
            <w:vAlign w:val="bottom"/>
          </w:tcPr>
          <w:p w14:paraId="195E8F71" w14:textId="77777777" w:rsidR="00937546" w:rsidRDefault="00937546" w:rsidP="00447817">
            <w:pPr>
              <w:jc w:val="right"/>
              <w:rPr>
                <w:rFonts w:ascii="Calibri" w:hAnsi="Calibri" w:cs="Calibri"/>
                <w:color w:val="000000"/>
              </w:rPr>
            </w:pPr>
            <w:r>
              <w:rPr>
                <w:rFonts w:ascii="Calibri" w:hAnsi="Calibri" w:cs="Calibri"/>
                <w:color w:val="000000"/>
              </w:rPr>
              <w:t>3233.1</w:t>
            </w:r>
          </w:p>
        </w:tc>
        <w:tc>
          <w:tcPr>
            <w:tcW w:w="313" w:type="pct"/>
            <w:tcBorders>
              <w:top w:val="nil"/>
              <w:left w:val="single" w:sz="4" w:space="0" w:color="auto"/>
              <w:bottom w:val="single" w:sz="4" w:space="0" w:color="auto"/>
              <w:right w:val="single" w:sz="4" w:space="0" w:color="auto"/>
            </w:tcBorders>
            <w:shd w:val="clear" w:color="auto" w:fill="auto"/>
            <w:vAlign w:val="bottom"/>
          </w:tcPr>
          <w:p w14:paraId="5BB1AE1A" w14:textId="77777777" w:rsidR="00937546" w:rsidRDefault="00937546" w:rsidP="00447817">
            <w:pPr>
              <w:jc w:val="right"/>
              <w:rPr>
                <w:rFonts w:ascii="Calibri" w:hAnsi="Calibri" w:cs="Calibri"/>
                <w:color w:val="000000"/>
              </w:rPr>
            </w:pPr>
            <w:r>
              <w:rPr>
                <w:rFonts w:ascii="Calibri" w:hAnsi="Calibri" w:cs="Calibri"/>
                <w:color w:val="000000"/>
              </w:rPr>
              <w:t>1501.8</w:t>
            </w:r>
          </w:p>
        </w:tc>
        <w:tc>
          <w:tcPr>
            <w:tcW w:w="272" w:type="pct"/>
            <w:tcBorders>
              <w:top w:val="nil"/>
              <w:left w:val="single" w:sz="4" w:space="0" w:color="auto"/>
              <w:bottom w:val="single" w:sz="4" w:space="0" w:color="auto"/>
              <w:right w:val="single" w:sz="4" w:space="0" w:color="auto"/>
            </w:tcBorders>
            <w:shd w:val="clear" w:color="auto" w:fill="auto"/>
            <w:vAlign w:val="bottom"/>
          </w:tcPr>
          <w:p w14:paraId="4A71034C" w14:textId="77777777" w:rsidR="00937546" w:rsidRDefault="00937546" w:rsidP="00447817">
            <w:pPr>
              <w:jc w:val="right"/>
              <w:rPr>
                <w:rFonts w:ascii="Calibri" w:hAnsi="Calibri" w:cs="Calibri"/>
                <w:color w:val="000000"/>
              </w:rPr>
            </w:pPr>
            <w:r>
              <w:rPr>
                <w:rFonts w:ascii="Calibri" w:hAnsi="Calibri" w:cs="Calibri"/>
                <w:color w:val="000000"/>
              </w:rPr>
              <w:t>1731.3</w:t>
            </w:r>
          </w:p>
        </w:tc>
        <w:tc>
          <w:tcPr>
            <w:tcW w:w="272" w:type="pct"/>
            <w:tcBorders>
              <w:top w:val="nil"/>
              <w:left w:val="single" w:sz="4" w:space="0" w:color="auto"/>
              <w:bottom w:val="single" w:sz="4" w:space="0" w:color="auto"/>
              <w:right w:val="single" w:sz="4" w:space="0" w:color="auto"/>
            </w:tcBorders>
            <w:shd w:val="clear" w:color="auto" w:fill="auto"/>
            <w:vAlign w:val="bottom"/>
          </w:tcPr>
          <w:p w14:paraId="6C984B01" w14:textId="77777777" w:rsidR="00937546" w:rsidRDefault="00937546" w:rsidP="00447817">
            <w:pPr>
              <w:jc w:val="right"/>
              <w:rPr>
                <w:rFonts w:ascii="Calibri" w:hAnsi="Calibri" w:cs="Calibri"/>
                <w:color w:val="000000"/>
              </w:rPr>
            </w:pPr>
            <w:r>
              <w:rPr>
                <w:rFonts w:ascii="Calibri" w:hAnsi="Calibri" w:cs="Calibri"/>
                <w:color w:val="000000"/>
              </w:rPr>
              <w:t>4164.3</w:t>
            </w:r>
          </w:p>
        </w:tc>
        <w:tc>
          <w:tcPr>
            <w:tcW w:w="272" w:type="pct"/>
            <w:tcBorders>
              <w:top w:val="nil"/>
              <w:left w:val="single" w:sz="4" w:space="0" w:color="auto"/>
              <w:bottom w:val="single" w:sz="4" w:space="0" w:color="auto"/>
              <w:right w:val="single" w:sz="4" w:space="0" w:color="auto"/>
            </w:tcBorders>
            <w:shd w:val="clear" w:color="auto" w:fill="auto"/>
            <w:vAlign w:val="bottom"/>
          </w:tcPr>
          <w:p w14:paraId="298261BF" w14:textId="77777777" w:rsidR="00937546" w:rsidRDefault="00937546" w:rsidP="00447817">
            <w:pPr>
              <w:jc w:val="right"/>
              <w:rPr>
                <w:rFonts w:ascii="Calibri" w:hAnsi="Calibri" w:cs="Calibri"/>
                <w:color w:val="000000"/>
              </w:rPr>
            </w:pPr>
            <w:r>
              <w:rPr>
                <w:rFonts w:ascii="Calibri" w:hAnsi="Calibri" w:cs="Calibri"/>
                <w:color w:val="000000"/>
              </w:rPr>
              <w:t>1531.0</w:t>
            </w:r>
          </w:p>
        </w:tc>
        <w:tc>
          <w:tcPr>
            <w:tcW w:w="269" w:type="pct"/>
            <w:tcBorders>
              <w:top w:val="nil"/>
              <w:left w:val="nil"/>
              <w:bottom w:val="single" w:sz="4" w:space="0" w:color="auto"/>
              <w:right w:val="single" w:sz="4" w:space="0" w:color="auto"/>
            </w:tcBorders>
            <w:shd w:val="clear" w:color="auto" w:fill="auto"/>
            <w:vAlign w:val="bottom"/>
          </w:tcPr>
          <w:p w14:paraId="09ECA3F2" w14:textId="77777777" w:rsidR="00937546" w:rsidRDefault="00937546" w:rsidP="00447817">
            <w:pPr>
              <w:jc w:val="right"/>
              <w:rPr>
                <w:rFonts w:ascii="Calibri" w:hAnsi="Calibri" w:cs="Calibri"/>
                <w:color w:val="000000"/>
              </w:rPr>
            </w:pPr>
            <w:r>
              <w:rPr>
                <w:rFonts w:ascii="Calibri" w:hAnsi="Calibri" w:cs="Calibri"/>
                <w:color w:val="000000"/>
              </w:rPr>
              <w:t>2633.3</w:t>
            </w:r>
          </w:p>
        </w:tc>
      </w:tr>
      <w:tr w:rsidR="008B5959" w:rsidRPr="00E91A88" w14:paraId="50CDDD6B" w14:textId="77777777" w:rsidTr="00447817">
        <w:trPr>
          <w:trHeight w:val="251"/>
        </w:trPr>
        <w:tc>
          <w:tcPr>
            <w:tcW w:w="747" w:type="pct"/>
            <w:noWrap/>
            <w:vAlign w:val="bottom"/>
            <w:hideMark/>
          </w:tcPr>
          <w:p w14:paraId="5F618517" w14:textId="77777777" w:rsidR="00937546" w:rsidRDefault="00937546" w:rsidP="00447817">
            <w:pPr>
              <w:rPr>
                <w:rFonts w:ascii="Calibri" w:hAnsi="Calibri" w:cs="Calibri"/>
                <w:color w:val="000000"/>
              </w:rPr>
            </w:pPr>
            <w:r>
              <w:rPr>
                <w:rFonts w:ascii="Calibri" w:hAnsi="Calibri" w:cs="Calibri"/>
                <w:color w:val="000000"/>
              </w:rPr>
              <w:t>TIRUNELVELI</w:t>
            </w:r>
          </w:p>
        </w:tc>
        <w:tc>
          <w:tcPr>
            <w:tcW w:w="311" w:type="pct"/>
            <w:tcBorders>
              <w:top w:val="nil"/>
              <w:left w:val="single" w:sz="4" w:space="0" w:color="auto"/>
              <w:bottom w:val="single" w:sz="4" w:space="0" w:color="auto"/>
              <w:right w:val="single" w:sz="4" w:space="0" w:color="auto"/>
            </w:tcBorders>
            <w:shd w:val="clear" w:color="auto" w:fill="auto"/>
            <w:vAlign w:val="bottom"/>
          </w:tcPr>
          <w:p w14:paraId="3B3BA942" w14:textId="77777777" w:rsidR="00937546" w:rsidRDefault="00937546" w:rsidP="00447817">
            <w:pPr>
              <w:jc w:val="right"/>
              <w:rPr>
                <w:rFonts w:ascii="Calibri" w:hAnsi="Calibri" w:cs="Calibri"/>
                <w:color w:val="000000"/>
              </w:rPr>
            </w:pPr>
            <w:r>
              <w:rPr>
                <w:rFonts w:ascii="Calibri" w:hAnsi="Calibri" w:cs="Calibri"/>
                <w:color w:val="000000"/>
              </w:rPr>
              <w:t>0.742</w:t>
            </w:r>
          </w:p>
        </w:tc>
        <w:tc>
          <w:tcPr>
            <w:tcW w:w="391" w:type="pct"/>
            <w:tcBorders>
              <w:top w:val="nil"/>
              <w:left w:val="nil"/>
              <w:bottom w:val="single" w:sz="4" w:space="0" w:color="auto"/>
              <w:right w:val="single" w:sz="4" w:space="0" w:color="auto"/>
            </w:tcBorders>
            <w:shd w:val="clear" w:color="auto" w:fill="auto"/>
            <w:vAlign w:val="bottom"/>
          </w:tcPr>
          <w:p w14:paraId="7AD92403" w14:textId="77777777" w:rsidR="00937546" w:rsidRDefault="00937546" w:rsidP="00447817">
            <w:pPr>
              <w:jc w:val="right"/>
              <w:rPr>
                <w:rFonts w:ascii="Calibri" w:hAnsi="Calibri" w:cs="Calibri"/>
                <w:color w:val="000000"/>
              </w:rPr>
            </w:pPr>
            <w:r>
              <w:rPr>
                <w:rFonts w:ascii="Calibri" w:hAnsi="Calibri" w:cs="Calibri"/>
                <w:color w:val="000000"/>
              </w:rPr>
              <w:t>0.861</w:t>
            </w:r>
          </w:p>
        </w:tc>
        <w:tc>
          <w:tcPr>
            <w:tcW w:w="353" w:type="pct"/>
            <w:tcBorders>
              <w:top w:val="nil"/>
              <w:left w:val="nil"/>
              <w:bottom w:val="single" w:sz="4" w:space="0" w:color="auto"/>
              <w:right w:val="single" w:sz="4" w:space="0" w:color="auto"/>
            </w:tcBorders>
            <w:shd w:val="clear" w:color="auto" w:fill="auto"/>
            <w:vAlign w:val="bottom"/>
          </w:tcPr>
          <w:p w14:paraId="77477B86" w14:textId="77777777" w:rsidR="00937546" w:rsidRDefault="00937546" w:rsidP="00447817">
            <w:pPr>
              <w:jc w:val="right"/>
              <w:rPr>
                <w:rFonts w:ascii="Calibri" w:hAnsi="Calibri" w:cs="Calibri"/>
                <w:color w:val="000000"/>
              </w:rPr>
            </w:pPr>
            <w:r>
              <w:rPr>
                <w:rFonts w:ascii="Calibri" w:hAnsi="Calibri" w:cs="Calibri"/>
                <w:color w:val="000000"/>
              </w:rPr>
              <w:t>0.808</w:t>
            </w:r>
          </w:p>
        </w:tc>
        <w:tc>
          <w:tcPr>
            <w:tcW w:w="313" w:type="pct"/>
            <w:tcBorders>
              <w:top w:val="nil"/>
              <w:left w:val="nil"/>
              <w:bottom w:val="single" w:sz="4" w:space="0" w:color="auto"/>
              <w:right w:val="single" w:sz="4" w:space="0" w:color="auto"/>
            </w:tcBorders>
            <w:shd w:val="clear" w:color="auto" w:fill="auto"/>
            <w:vAlign w:val="bottom"/>
          </w:tcPr>
          <w:p w14:paraId="0C5ACE60" w14:textId="77777777" w:rsidR="00937546" w:rsidRDefault="00937546" w:rsidP="00447817">
            <w:pPr>
              <w:jc w:val="right"/>
              <w:rPr>
                <w:rFonts w:ascii="Calibri" w:hAnsi="Calibri" w:cs="Calibri"/>
                <w:color w:val="000000"/>
              </w:rPr>
            </w:pPr>
            <w:r>
              <w:rPr>
                <w:rFonts w:ascii="Calibri" w:hAnsi="Calibri" w:cs="Calibri"/>
                <w:color w:val="000000"/>
              </w:rPr>
              <w:t>0.802</w:t>
            </w:r>
          </w:p>
        </w:tc>
        <w:tc>
          <w:tcPr>
            <w:tcW w:w="353" w:type="pct"/>
            <w:tcBorders>
              <w:top w:val="nil"/>
              <w:left w:val="single" w:sz="4" w:space="0" w:color="auto"/>
              <w:bottom w:val="single" w:sz="4" w:space="0" w:color="auto"/>
              <w:right w:val="single" w:sz="4" w:space="0" w:color="auto"/>
            </w:tcBorders>
            <w:shd w:val="clear" w:color="auto" w:fill="auto"/>
            <w:vAlign w:val="bottom"/>
          </w:tcPr>
          <w:p w14:paraId="12ABF4BF" w14:textId="77777777" w:rsidR="00937546" w:rsidRDefault="00937546" w:rsidP="00447817">
            <w:pPr>
              <w:jc w:val="right"/>
              <w:rPr>
                <w:rFonts w:ascii="Calibri" w:hAnsi="Calibri" w:cs="Calibri"/>
                <w:color w:val="000000"/>
              </w:rPr>
            </w:pPr>
            <w:r>
              <w:rPr>
                <w:rFonts w:ascii="Calibri" w:hAnsi="Calibri" w:cs="Calibri"/>
                <w:color w:val="000000"/>
              </w:rPr>
              <w:t>50.0</w:t>
            </w:r>
          </w:p>
        </w:tc>
        <w:tc>
          <w:tcPr>
            <w:tcW w:w="352" w:type="pct"/>
            <w:tcBorders>
              <w:top w:val="nil"/>
              <w:left w:val="single" w:sz="4" w:space="0" w:color="auto"/>
              <w:bottom w:val="single" w:sz="4" w:space="0" w:color="auto"/>
              <w:right w:val="single" w:sz="4" w:space="0" w:color="auto"/>
            </w:tcBorders>
            <w:shd w:val="clear" w:color="auto" w:fill="auto"/>
            <w:vAlign w:val="bottom"/>
          </w:tcPr>
          <w:p w14:paraId="69D8FBE1" w14:textId="77777777" w:rsidR="00937546" w:rsidRDefault="00937546" w:rsidP="00447817">
            <w:pPr>
              <w:jc w:val="right"/>
              <w:rPr>
                <w:rFonts w:ascii="Calibri" w:hAnsi="Calibri" w:cs="Calibri"/>
                <w:color w:val="000000"/>
              </w:rPr>
            </w:pPr>
            <w:r>
              <w:rPr>
                <w:rFonts w:ascii="Calibri" w:hAnsi="Calibri" w:cs="Calibri"/>
                <w:color w:val="000000"/>
              </w:rPr>
              <w:t>6.1</w:t>
            </w:r>
          </w:p>
        </w:tc>
        <w:tc>
          <w:tcPr>
            <w:tcW w:w="274" w:type="pct"/>
            <w:tcBorders>
              <w:top w:val="nil"/>
              <w:left w:val="single" w:sz="4" w:space="0" w:color="auto"/>
              <w:bottom w:val="single" w:sz="4" w:space="0" w:color="auto"/>
              <w:right w:val="single" w:sz="4" w:space="0" w:color="auto"/>
            </w:tcBorders>
            <w:shd w:val="clear" w:color="auto" w:fill="auto"/>
            <w:vAlign w:val="bottom"/>
          </w:tcPr>
          <w:p w14:paraId="4443E54B" w14:textId="77777777" w:rsidR="00937546" w:rsidRDefault="00937546" w:rsidP="00447817">
            <w:pPr>
              <w:jc w:val="right"/>
              <w:rPr>
                <w:rFonts w:ascii="Calibri" w:hAnsi="Calibri" w:cs="Calibri"/>
                <w:color w:val="000000"/>
              </w:rPr>
            </w:pPr>
            <w:r>
              <w:rPr>
                <w:rFonts w:ascii="Calibri" w:hAnsi="Calibri" w:cs="Calibri"/>
                <w:color w:val="000000"/>
              </w:rPr>
              <w:t>3.3</w:t>
            </w:r>
          </w:p>
        </w:tc>
        <w:tc>
          <w:tcPr>
            <w:tcW w:w="274" w:type="pct"/>
            <w:tcBorders>
              <w:top w:val="nil"/>
              <w:left w:val="single" w:sz="4" w:space="0" w:color="auto"/>
              <w:bottom w:val="single" w:sz="4" w:space="0" w:color="auto"/>
              <w:right w:val="single" w:sz="4" w:space="0" w:color="auto"/>
            </w:tcBorders>
            <w:shd w:val="clear" w:color="auto" w:fill="auto"/>
            <w:vAlign w:val="bottom"/>
          </w:tcPr>
          <w:p w14:paraId="7BC04011" w14:textId="77777777" w:rsidR="00937546" w:rsidRDefault="00937546" w:rsidP="00447817">
            <w:pPr>
              <w:jc w:val="right"/>
              <w:rPr>
                <w:rFonts w:ascii="Calibri" w:hAnsi="Calibri" w:cs="Calibri"/>
                <w:color w:val="000000"/>
              </w:rPr>
            </w:pPr>
            <w:r>
              <w:rPr>
                <w:rFonts w:ascii="Calibri" w:hAnsi="Calibri" w:cs="Calibri"/>
                <w:color w:val="000000"/>
              </w:rPr>
              <w:t>2.8</w:t>
            </w:r>
          </w:p>
        </w:tc>
        <w:tc>
          <w:tcPr>
            <w:tcW w:w="234" w:type="pct"/>
            <w:tcBorders>
              <w:top w:val="nil"/>
              <w:left w:val="single" w:sz="4" w:space="0" w:color="auto"/>
              <w:bottom w:val="single" w:sz="4" w:space="0" w:color="auto"/>
              <w:right w:val="single" w:sz="4" w:space="0" w:color="auto"/>
            </w:tcBorders>
            <w:shd w:val="clear" w:color="auto" w:fill="auto"/>
            <w:vAlign w:val="bottom"/>
          </w:tcPr>
          <w:p w14:paraId="1966B381" w14:textId="77777777" w:rsidR="00937546" w:rsidRDefault="00937546" w:rsidP="00447817">
            <w:pPr>
              <w:jc w:val="right"/>
              <w:rPr>
                <w:rFonts w:ascii="Calibri" w:hAnsi="Calibri" w:cs="Calibri"/>
                <w:color w:val="000000"/>
              </w:rPr>
            </w:pPr>
            <w:r>
              <w:rPr>
                <w:rFonts w:ascii="Calibri" w:hAnsi="Calibri" w:cs="Calibri"/>
                <w:color w:val="000000"/>
              </w:rPr>
              <w:t>3823.0</w:t>
            </w:r>
          </w:p>
        </w:tc>
        <w:tc>
          <w:tcPr>
            <w:tcW w:w="313" w:type="pct"/>
            <w:tcBorders>
              <w:top w:val="nil"/>
              <w:left w:val="single" w:sz="4" w:space="0" w:color="auto"/>
              <w:bottom w:val="single" w:sz="4" w:space="0" w:color="auto"/>
              <w:right w:val="single" w:sz="4" w:space="0" w:color="auto"/>
            </w:tcBorders>
            <w:shd w:val="clear" w:color="auto" w:fill="auto"/>
            <w:vAlign w:val="bottom"/>
          </w:tcPr>
          <w:p w14:paraId="140121ED" w14:textId="77777777" w:rsidR="00937546" w:rsidRDefault="00937546" w:rsidP="00447817">
            <w:pPr>
              <w:jc w:val="right"/>
              <w:rPr>
                <w:rFonts w:ascii="Calibri" w:hAnsi="Calibri" w:cs="Calibri"/>
                <w:color w:val="000000"/>
              </w:rPr>
            </w:pPr>
            <w:r>
              <w:rPr>
                <w:rFonts w:ascii="Calibri" w:hAnsi="Calibri" w:cs="Calibri"/>
                <w:color w:val="000000"/>
              </w:rPr>
              <w:t>2377.7</w:t>
            </w:r>
          </w:p>
        </w:tc>
        <w:tc>
          <w:tcPr>
            <w:tcW w:w="272" w:type="pct"/>
            <w:tcBorders>
              <w:top w:val="nil"/>
              <w:left w:val="single" w:sz="4" w:space="0" w:color="auto"/>
              <w:bottom w:val="single" w:sz="4" w:space="0" w:color="auto"/>
              <w:right w:val="single" w:sz="4" w:space="0" w:color="auto"/>
            </w:tcBorders>
            <w:shd w:val="clear" w:color="auto" w:fill="auto"/>
            <w:vAlign w:val="bottom"/>
          </w:tcPr>
          <w:p w14:paraId="0A7F2E35" w14:textId="77777777" w:rsidR="00937546" w:rsidRDefault="00937546" w:rsidP="00447817">
            <w:pPr>
              <w:jc w:val="right"/>
              <w:rPr>
                <w:rFonts w:ascii="Calibri" w:hAnsi="Calibri" w:cs="Calibri"/>
                <w:color w:val="000000"/>
              </w:rPr>
            </w:pPr>
            <w:r>
              <w:rPr>
                <w:rFonts w:ascii="Calibri" w:hAnsi="Calibri" w:cs="Calibri"/>
                <w:color w:val="000000"/>
              </w:rPr>
              <w:t>1445.3</w:t>
            </w:r>
          </w:p>
        </w:tc>
        <w:tc>
          <w:tcPr>
            <w:tcW w:w="272" w:type="pct"/>
            <w:tcBorders>
              <w:top w:val="nil"/>
              <w:left w:val="single" w:sz="4" w:space="0" w:color="auto"/>
              <w:bottom w:val="single" w:sz="4" w:space="0" w:color="auto"/>
              <w:right w:val="single" w:sz="4" w:space="0" w:color="auto"/>
            </w:tcBorders>
            <w:shd w:val="clear" w:color="auto" w:fill="auto"/>
            <w:vAlign w:val="bottom"/>
          </w:tcPr>
          <w:p w14:paraId="4C1C6811" w14:textId="77777777" w:rsidR="00937546" w:rsidRDefault="00937546" w:rsidP="00447817">
            <w:pPr>
              <w:jc w:val="right"/>
              <w:rPr>
                <w:rFonts w:ascii="Calibri" w:hAnsi="Calibri" w:cs="Calibri"/>
                <w:color w:val="000000"/>
              </w:rPr>
            </w:pPr>
            <w:r>
              <w:rPr>
                <w:rFonts w:ascii="Calibri" w:hAnsi="Calibri" w:cs="Calibri"/>
                <w:color w:val="000000"/>
              </w:rPr>
              <w:t>3661.2</w:t>
            </w:r>
          </w:p>
        </w:tc>
        <w:tc>
          <w:tcPr>
            <w:tcW w:w="272" w:type="pct"/>
            <w:tcBorders>
              <w:top w:val="nil"/>
              <w:left w:val="single" w:sz="4" w:space="0" w:color="auto"/>
              <w:bottom w:val="single" w:sz="4" w:space="0" w:color="auto"/>
              <w:right w:val="single" w:sz="4" w:space="0" w:color="auto"/>
            </w:tcBorders>
            <w:shd w:val="clear" w:color="auto" w:fill="auto"/>
            <w:vAlign w:val="bottom"/>
          </w:tcPr>
          <w:p w14:paraId="78D13295" w14:textId="77777777" w:rsidR="00937546" w:rsidRDefault="00937546" w:rsidP="00447817">
            <w:pPr>
              <w:jc w:val="right"/>
              <w:rPr>
                <w:rFonts w:ascii="Calibri" w:hAnsi="Calibri" w:cs="Calibri"/>
                <w:color w:val="000000"/>
              </w:rPr>
            </w:pPr>
            <w:r>
              <w:rPr>
                <w:rFonts w:ascii="Calibri" w:hAnsi="Calibri" w:cs="Calibri"/>
                <w:color w:val="000000"/>
              </w:rPr>
              <w:t>2727.3</w:t>
            </w:r>
          </w:p>
        </w:tc>
        <w:tc>
          <w:tcPr>
            <w:tcW w:w="269" w:type="pct"/>
            <w:tcBorders>
              <w:top w:val="nil"/>
              <w:left w:val="nil"/>
              <w:bottom w:val="single" w:sz="4" w:space="0" w:color="auto"/>
              <w:right w:val="single" w:sz="4" w:space="0" w:color="auto"/>
            </w:tcBorders>
            <w:shd w:val="clear" w:color="auto" w:fill="auto"/>
            <w:vAlign w:val="bottom"/>
          </w:tcPr>
          <w:p w14:paraId="0C8E793D" w14:textId="77777777" w:rsidR="00937546" w:rsidRDefault="00937546" w:rsidP="00447817">
            <w:pPr>
              <w:jc w:val="right"/>
              <w:rPr>
                <w:rFonts w:ascii="Calibri" w:hAnsi="Calibri" w:cs="Calibri"/>
                <w:color w:val="000000"/>
              </w:rPr>
            </w:pPr>
            <w:r>
              <w:rPr>
                <w:rFonts w:ascii="Calibri" w:hAnsi="Calibri" w:cs="Calibri"/>
                <w:color w:val="000000"/>
              </w:rPr>
              <w:t>934.0</w:t>
            </w:r>
          </w:p>
        </w:tc>
      </w:tr>
      <w:tr w:rsidR="008B5959" w:rsidRPr="00E91A88" w14:paraId="36B32178" w14:textId="77777777" w:rsidTr="00447817">
        <w:trPr>
          <w:trHeight w:val="251"/>
        </w:trPr>
        <w:tc>
          <w:tcPr>
            <w:tcW w:w="747" w:type="pct"/>
            <w:noWrap/>
            <w:vAlign w:val="bottom"/>
            <w:hideMark/>
          </w:tcPr>
          <w:p w14:paraId="04B43DEC" w14:textId="77777777" w:rsidR="00937546" w:rsidRDefault="00937546" w:rsidP="00447817">
            <w:pPr>
              <w:rPr>
                <w:rFonts w:ascii="Calibri" w:hAnsi="Calibri" w:cs="Calibri"/>
                <w:color w:val="000000"/>
              </w:rPr>
            </w:pPr>
            <w:r>
              <w:rPr>
                <w:rFonts w:ascii="Calibri" w:hAnsi="Calibri" w:cs="Calibri"/>
                <w:color w:val="000000"/>
              </w:rPr>
              <w:t>TIRUPUR</w:t>
            </w:r>
          </w:p>
        </w:tc>
        <w:tc>
          <w:tcPr>
            <w:tcW w:w="311" w:type="pct"/>
            <w:tcBorders>
              <w:top w:val="nil"/>
              <w:left w:val="single" w:sz="4" w:space="0" w:color="auto"/>
              <w:bottom w:val="single" w:sz="4" w:space="0" w:color="auto"/>
              <w:right w:val="single" w:sz="4" w:space="0" w:color="auto"/>
            </w:tcBorders>
            <w:shd w:val="clear" w:color="auto" w:fill="auto"/>
            <w:vAlign w:val="bottom"/>
          </w:tcPr>
          <w:p w14:paraId="11B8375E" w14:textId="77777777" w:rsidR="00937546" w:rsidRDefault="00937546" w:rsidP="00447817">
            <w:pPr>
              <w:jc w:val="right"/>
              <w:rPr>
                <w:rFonts w:ascii="Calibri" w:hAnsi="Calibri" w:cs="Calibri"/>
                <w:color w:val="000000"/>
              </w:rPr>
            </w:pPr>
            <w:r>
              <w:rPr>
                <w:rFonts w:ascii="Calibri" w:hAnsi="Calibri" w:cs="Calibri"/>
                <w:color w:val="000000"/>
              </w:rPr>
              <w:t>0.952</w:t>
            </w:r>
          </w:p>
        </w:tc>
        <w:tc>
          <w:tcPr>
            <w:tcW w:w="391" w:type="pct"/>
            <w:tcBorders>
              <w:top w:val="nil"/>
              <w:left w:val="nil"/>
              <w:bottom w:val="single" w:sz="4" w:space="0" w:color="auto"/>
              <w:right w:val="single" w:sz="4" w:space="0" w:color="auto"/>
            </w:tcBorders>
            <w:shd w:val="clear" w:color="auto" w:fill="auto"/>
            <w:vAlign w:val="bottom"/>
          </w:tcPr>
          <w:p w14:paraId="6330C034" w14:textId="77777777" w:rsidR="00937546" w:rsidRDefault="00937546" w:rsidP="00447817">
            <w:pPr>
              <w:jc w:val="right"/>
              <w:rPr>
                <w:rFonts w:ascii="Calibri" w:hAnsi="Calibri" w:cs="Calibri"/>
                <w:color w:val="000000"/>
              </w:rPr>
            </w:pPr>
            <w:r>
              <w:rPr>
                <w:rFonts w:ascii="Calibri" w:hAnsi="Calibri" w:cs="Calibri"/>
                <w:color w:val="000000"/>
              </w:rPr>
              <w:t>0.393</w:t>
            </w:r>
          </w:p>
        </w:tc>
        <w:tc>
          <w:tcPr>
            <w:tcW w:w="353" w:type="pct"/>
            <w:tcBorders>
              <w:top w:val="nil"/>
              <w:left w:val="nil"/>
              <w:bottom w:val="single" w:sz="4" w:space="0" w:color="auto"/>
              <w:right w:val="single" w:sz="4" w:space="0" w:color="auto"/>
            </w:tcBorders>
            <w:shd w:val="clear" w:color="auto" w:fill="auto"/>
            <w:vAlign w:val="bottom"/>
          </w:tcPr>
          <w:p w14:paraId="604A676D" w14:textId="77777777" w:rsidR="00937546" w:rsidRDefault="00937546" w:rsidP="00447817">
            <w:pPr>
              <w:jc w:val="right"/>
              <w:rPr>
                <w:rFonts w:ascii="Calibri" w:hAnsi="Calibri" w:cs="Calibri"/>
                <w:color w:val="000000"/>
              </w:rPr>
            </w:pPr>
            <w:r>
              <w:rPr>
                <w:rFonts w:ascii="Calibri" w:hAnsi="Calibri" w:cs="Calibri"/>
                <w:color w:val="000000"/>
              </w:rPr>
              <w:t>0.695</w:t>
            </w:r>
          </w:p>
        </w:tc>
        <w:tc>
          <w:tcPr>
            <w:tcW w:w="313" w:type="pct"/>
            <w:tcBorders>
              <w:top w:val="nil"/>
              <w:left w:val="nil"/>
              <w:bottom w:val="single" w:sz="4" w:space="0" w:color="auto"/>
              <w:right w:val="single" w:sz="4" w:space="0" w:color="auto"/>
            </w:tcBorders>
            <w:shd w:val="clear" w:color="auto" w:fill="auto"/>
            <w:vAlign w:val="bottom"/>
          </w:tcPr>
          <w:p w14:paraId="216EA6F4" w14:textId="77777777" w:rsidR="00937546" w:rsidRDefault="00937546" w:rsidP="00447817">
            <w:pPr>
              <w:jc w:val="right"/>
              <w:rPr>
                <w:rFonts w:ascii="Calibri" w:hAnsi="Calibri" w:cs="Calibri"/>
                <w:color w:val="000000"/>
              </w:rPr>
            </w:pPr>
            <w:r>
              <w:rPr>
                <w:rFonts w:ascii="Calibri" w:hAnsi="Calibri" w:cs="Calibri"/>
                <w:color w:val="000000"/>
              </w:rPr>
              <w:t>0.627</w:t>
            </w:r>
          </w:p>
        </w:tc>
        <w:tc>
          <w:tcPr>
            <w:tcW w:w="353" w:type="pct"/>
            <w:tcBorders>
              <w:top w:val="nil"/>
              <w:left w:val="single" w:sz="4" w:space="0" w:color="auto"/>
              <w:bottom w:val="single" w:sz="4" w:space="0" w:color="auto"/>
              <w:right w:val="single" w:sz="4" w:space="0" w:color="auto"/>
            </w:tcBorders>
            <w:shd w:val="clear" w:color="auto" w:fill="auto"/>
            <w:vAlign w:val="bottom"/>
          </w:tcPr>
          <w:p w14:paraId="2D0796C3" w14:textId="77777777" w:rsidR="00937546" w:rsidRDefault="00937546" w:rsidP="00447817">
            <w:pPr>
              <w:jc w:val="right"/>
              <w:rPr>
                <w:rFonts w:ascii="Calibri" w:hAnsi="Calibri" w:cs="Calibri"/>
                <w:color w:val="000000"/>
              </w:rPr>
            </w:pPr>
            <w:r>
              <w:rPr>
                <w:rFonts w:ascii="Calibri" w:hAnsi="Calibri" w:cs="Calibri"/>
                <w:color w:val="000000"/>
              </w:rPr>
              <w:t>59.0</w:t>
            </w:r>
          </w:p>
        </w:tc>
        <w:tc>
          <w:tcPr>
            <w:tcW w:w="352" w:type="pct"/>
            <w:tcBorders>
              <w:top w:val="nil"/>
              <w:left w:val="single" w:sz="4" w:space="0" w:color="auto"/>
              <w:bottom w:val="single" w:sz="4" w:space="0" w:color="auto"/>
              <w:right w:val="single" w:sz="4" w:space="0" w:color="auto"/>
            </w:tcBorders>
            <w:shd w:val="clear" w:color="auto" w:fill="auto"/>
            <w:vAlign w:val="bottom"/>
          </w:tcPr>
          <w:p w14:paraId="172F928E" w14:textId="77777777" w:rsidR="00937546" w:rsidRDefault="00937546" w:rsidP="00447817">
            <w:pPr>
              <w:jc w:val="right"/>
              <w:rPr>
                <w:rFonts w:ascii="Calibri" w:hAnsi="Calibri" w:cs="Calibri"/>
                <w:color w:val="000000"/>
              </w:rPr>
            </w:pPr>
            <w:r>
              <w:rPr>
                <w:rFonts w:ascii="Calibri" w:hAnsi="Calibri" w:cs="Calibri"/>
                <w:color w:val="000000"/>
              </w:rPr>
              <w:t>5.7</w:t>
            </w:r>
          </w:p>
        </w:tc>
        <w:tc>
          <w:tcPr>
            <w:tcW w:w="274" w:type="pct"/>
            <w:tcBorders>
              <w:top w:val="nil"/>
              <w:left w:val="single" w:sz="4" w:space="0" w:color="auto"/>
              <w:bottom w:val="single" w:sz="4" w:space="0" w:color="auto"/>
              <w:right w:val="single" w:sz="4" w:space="0" w:color="auto"/>
            </w:tcBorders>
            <w:shd w:val="clear" w:color="auto" w:fill="auto"/>
            <w:vAlign w:val="bottom"/>
          </w:tcPr>
          <w:p w14:paraId="171611A7" w14:textId="77777777" w:rsidR="00937546" w:rsidRDefault="00937546" w:rsidP="00447817">
            <w:pPr>
              <w:jc w:val="right"/>
              <w:rPr>
                <w:rFonts w:ascii="Calibri" w:hAnsi="Calibri" w:cs="Calibri"/>
                <w:color w:val="000000"/>
              </w:rPr>
            </w:pPr>
            <w:r>
              <w:rPr>
                <w:rFonts w:ascii="Calibri" w:hAnsi="Calibri" w:cs="Calibri"/>
                <w:color w:val="000000"/>
              </w:rPr>
              <w:t>0.7</w:t>
            </w:r>
          </w:p>
        </w:tc>
        <w:tc>
          <w:tcPr>
            <w:tcW w:w="274" w:type="pct"/>
            <w:tcBorders>
              <w:top w:val="nil"/>
              <w:left w:val="single" w:sz="4" w:space="0" w:color="auto"/>
              <w:bottom w:val="single" w:sz="4" w:space="0" w:color="auto"/>
              <w:right w:val="single" w:sz="4" w:space="0" w:color="auto"/>
            </w:tcBorders>
            <w:shd w:val="clear" w:color="auto" w:fill="auto"/>
            <w:vAlign w:val="bottom"/>
          </w:tcPr>
          <w:p w14:paraId="44AFF2C2" w14:textId="77777777" w:rsidR="00937546" w:rsidRDefault="00937546" w:rsidP="00447817">
            <w:pPr>
              <w:jc w:val="right"/>
              <w:rPr>
                <w:rFonts w:ascii="Calibri" w:hAnsi="Calibri" w:cs="Calibri"/>
                <w:color w:val="000000"/>
              </w:rPr>
            </w:pPr>
            <w:r>
              <w:rPr>
                <w:rFonts w:ascii="Calibri" w:hAnsi="Calibri" w:cs="Calibri"/>
                <w:color w:val="000000"/>
              </w:rPr>
              <w:t>5.0</w:t>
            </w:r>
          </w:p>
        </w:tc>
        <w:tc>
          <w:tcPr>
            <w:tcW w:w="234" w:type="pct"/>
            <w:tcBorders>
              <w:top w:val="nil"/>
              <w:left w:val="single" w:sz="4" w:space="0" w:color="auto"/>
              <w:bottom w:val="single" w:sz="4" w:space="0" w:color="auto"/>
              <w:right w:val="single" w:sz="4" w:space="0" w:color="auto"/>
            </w:tcBorders>
            <w:shd w:val="clear" w:color="auto" w:fill="auto"/>
            <w:vAlign w:val="bottom"/>
          </w:tcPr>
          <w:p w14:paraId="2D00D412" w14:textId="77777777" w:rsidR="00937546" w:rsidRDefault="00937546" w:rsidP="00447817">
            <w:pPr>
              <w:jc w:val="right"/>
              <w:rPr>
                <w:rFonts w:ascii="Calibri" w:hAnsi="Calibri" w:cs="Calibri"/>
                <w:color w:val="000000"/>
              </w:rPr>
            </w:pPr>
            <w:r>
              <w:rPr>
                <w:rFonts w:ascii="Calibri" w:hAnsi="Calibri" w:cs="Calibri"/>
                <w:color w:val="000000"/>
              </w:rPr>
              <w:t>2870.2</w:t>
            </w:r>
          </w:p>
        </w:tc>
        <w:tc>
          <w:tcPr>
            <w:tcW w:w="313" w:type="pct"/>
            <w:tcBorders>
              <w:top w:val="nil"/>
              <w:left w:val="single" w:sz="4" w:space="0" w:color="auto"/>
              <w:bottom w:val="single" w:sz="4" w:space="0" w:color="auto"/>
              <w:right w:val="single" w:sz="4" w:space="0" w:color="auto"/>
            </w:tcBorders>
            <w:shd w:val="clear" w:color="auto" w:fill="auto"/>
            <w:vAlign w:val="bottom"/>
          </w:tcPr>
          <w:p w14:paraId="13D476FB" w14:textId="77777777" w:rsidR="00937546" w:rsidRDefault="00937546" w:rsidP="00447817">
            <w:pPr>
              <w:jc w:val="right"/>
              <w:rPr>
                <w:rFonts w:ascii="Calibri" w:hAnsi="Calibri" w:cs="Calibri"/>
                <w:color w:val="000000"/>
              </w:rPr>
            </w:pPr>
            <w:r>
              <w:rPr>
                <w:rFonts w:ascii="Calibri" w:hAnsi="Calibri" w:cs="Calibri"/>
                <w:color w:val="000000"/>
              </w:rPr>
              <w:t>789.0</w:t>
            </w:r>
          </w:p>
        </w:tc>
        <w:tc>
          <w:tcPr>
            <w:tcW w:w="272" w:type="pct"/>
            <w:tcBorders>
              <w:top w:val="nil"/>
              <w:left w:val="single" w:sz="4" w:space="0" w:color="auto"/>
              <w:bottom w:val="single" w:sz="4" w:space="0" w:color="auto"/>
              <w:right w:val="single" w:sz="4" w:space="0" w:color="auto"/>
            </w:tcBorders>
            <w:shd w:val="clear" w:color="auto" w:fill="auto"/>
            <w:vAlign w:val="bottom"/>
          </w:tcPr>
          <w:p w14:paraId="58E536C0" w14:textId="77777777" w:rsidR="00937546" w:rsidRDefault="00937546" w:rsidP="00447817">
            <w:pPr>
              <w:jc w:val="right"/>
              <w:rPr>
                <w:rFonts w:ascii="Calibri" w:hAnsi="Calibri" w:cs="Calibri"/>
                <w:color w:val="000000"/>
              </w:rPr>
            </w:pPr>
            <w:r>
              <w:rPr>
                <w:rFonts w:ascii="Calibri" w:hAnsi="Calibri" w:cs="Calibri"/>
                <w:color w:val="000000"/>
              </w:rPr>
              <w:t>2081.2</w:t>
            </w:r>
          </w:p>
        </w:tc>
        <w:tc>
          <w:tcPr>
            <w:tcW w:w="272" w:type="pct"/>
            <w:tcBorders>
              <w:top w:val="nil"/>
              <w:left w:val="single" w:sz="4" w:space="0" w:color="auto"/>
              <w:bottom w:val="single" w:sz="4" w:space="0" w:color="auto"/>
              <w:right w:val="single" w:sz="4" w:space="0" w:color="auto"/>
            </w:tcBorders>
            <w:shd w:val="clear" w:color="auto" w:fill="auto"/>
            <w:vAlign w:val="bottom"/>
          </w:tcPr>
          <w:p w14:paraId="6C724D19" w14:textId="77777777" w:rsidR="00937546" w:rsidRDefault="00937546" w:rsidP="00447817">
            <w:pPr>
              <w:jc w:val="right"/>
              <w:rPr>
                <w:rFonts w:ascii="Calibri" w:hAnsi="Calibri" w:cs="Calibri"/>
                <w:color w:val="000000"/>
              </w:rPr>
            </w:pPr>
            <w:r>
              <w:rPr>
                <w:rFonts w:ascii="Calibri" w:hAnsi="Calibri" w:cs="Calibri"/>
                <w:color w:val="000000"/>
              </w:rPr>
              <w:t>974.8</w:t>
            </w:r>
          </w:p>
        </w:tc>
        <w:tc>
          <w:tcPr>
            <w:tcW w:w="272" w:type="pct"/>
            <w:tcBorders>
              <w:top w:val="nil"/>
              <w:left w:val="single" w:sz="4" w:space="0" w:color="auto"/>
              <w:bottom w:val="single" w:sz="4" w:space="0" w:color="auto"/>
              <w:right w:val="single" w:sz="4" w:space="0" w:color="auto"/>
            </w:tcBorders>
            <w:shd w:val="clear" w:color="auto" w:fill="auto"/>
            <w:vAlign w:val="bottom"/>
          </w:tcPr>
          <w:p w14:paraId="7804A0C1" w14:textId="77777777" w:rsidR="00937546" w:rsidRDefault="00937546" w:rsidP="00447817">
            <w:pPr>
              <w:jc w:val="right"/>
              <w:rPr>
                <w:rFonts w:ascii="Calibri" w:hAnsi="Calibri" w:cs="Calibri"/>
                <w:color w:val="000000"/>
              </w:rPr>
            </w:pPr>
            <w:r>
              <w:rPr>
                <w:rFonts w:ascii="Calibri" w:hAnsi="Calibri" w:cs="Calibri"/>
                <w:color w:val="000000"/>
              </w:rPr>
              <w:t>340.2</w:t>
            </w:r>
          </w:p>
        </w:tc>
        <w:tc>
          <w:tcPr>
            <w:tcW w:w="269" w:type="pct"/>
            <w:tcBorders>
              <w:top w:val="nil"/>
              <w:left w:val="nil"/>
              <w:bottom w:val="single" w:sz="4" w:space="0" w:color="auto"/>
              <w:right w:val="single" w:sz="4" w:space="0" w:color="auto"/>
            </w:tcBorders>
            <w:shd w:val="clear" w:color="auto" w:fill="auto"/>
            <w:vAlign w:val="bottom"/>
          </w:tcPr>
          <w:p w14:paraId="649802DF" w14:textId="77777777" w:rsidR="00937546" w:rsidRDefault="00937546" w:rsidP="00447817">
            <w:pPr>
              <w:jc w:val="right"/>
              <w:rPr>
                <w:rFonts w:ascii="Calibri" w:hAnsi="Calibri" w:cs="Calibri"/>
                <w:color w:val="000000"/>
              </w:rPr>
            </w:pPr>
            <w:r>
              <w:rPr>
                <w:rFonts w:ascii="Calibri" w:hAnsi="Calibri" w:cs="Calibri"/>
                <w:color w:val="000000"/>
              </w:rPr>
              <w:t>634.6</w:t>
            </w:r>
          </w:p>
        </w:tc>
      </w:tr>
      <w:tr w:rsidR="008B5959" w:rsidRPr="00E91A88" w14:paraId="6F96F9FE" w14:textId="77777777" w:rsidTr="00447817">
        <w:trPr>
          <w:trHeight w:val="251"/>
        </w:trPr>
        <w:tc>
          <w:tcPr>
            <w:tcW w:w="747" w:type="pct"/>
            <w:noWrap/>
            <w:vAlign w:val="bottom"/>
            <w:hideMark/>
          </w:tcPr>
          <w:p w14:paraId="1117C71F" w14:textId="77777777" w:rsidR="00937546" w:rsidRDefault="00937546" w:rsidP="00447817">
            <w:pPr>
              <w:rPr>
                <w:rFonts w:ascii="Calibri" w:hAnsi="Calibri" w:cs="Calibri"/>
                <w:color w:val="000000"/>
              </w:rPr>
            </w:pPr>
            <w:r>
              <w:rPr>
                <w:rFonts w:ascii="Calibri" w:hAnsi="Calibri" w:cs="Calibri"/>
                <w:color w:val="000000"/>
              </w:rPr>
              <w:t>TIRUVALLUR</w:t>
            </w:r>
          </w:p>
        </w:tc>
        <w:tc>
          <w:tcPr>
            <w:tcW w:w="311" w:type="pct"/>
            <w:tcBorders>
              <w:top w:val="nil"/>
              <w:left w:val="single" w:sz="4" w:space="0" w:color="auto"/>
              <w:bottom w:val="single" w:sz="4" w:space="0" w:color="auto"/>
              <w:right w:val="single" w:sz="4" w:space="0" w:color="auto"/>
            </w:tcBorders>
            <w:shd w:val="clear" w:color="auto" w:fill="auto"/>
            <w:vAlign w:val="bottom"/>
          </w:tcPr>
          <w:p w14:paraId="583EB186" w14:textId="77777777" w:rsidR="00937546" w:rsidRDefault="00937546" w:rsidP="00447817">
            <w:pPr>
              <w:jc w:val="right"/>
              <w:rPr>
                <w:rFonts w:ascii="Calibri" w:hAnsi="Calibri" w:cs="Calibri"/>
                <w:color w:val="000000"/>
              </w:rPr>
            </w:pPr>
            <w:r>
              <w:rPr>
                <w:rFonts w:ascii="Calibri" w:hAnsi="Calibri" w:cs="Calibri"/>
                <w:color w:val="000000"/>
              </w:rPr>
              <w:t>0.918</w:t>
            </w:r>
          </w:p>
        </w:tc>
        <w:tc>
          <w:tcPr>
            <w:tcW w:w="391" w:type="pct"/>
            <w:tcBorders>
              <w:top w:val="nil"/>
              <w:left w:val="nil"/>
              <w:bottom w:val="single" w:sz="4" w:space="0" w:color="auto"/>
              <w:right w:val="single" w:sz="4" w:space="0" w:color="auto"/>
            </w:tcBorders>
            <w:shd w:val="clear" w:color="auto" w:fill="auto"/>
            <w:vAlign w:val="bottom"/>
          </w:tcPr>
          <w:p w14:paraId="782D4388" w14:textId="77777777" w:rsidR="00937546" w:rsidRDefault="00937546" w:rsidP="00447817">
            <w:pPr>
              <w:jc w:val="right"/>
              <w:rPr>
                <w:rFonts w:ascii="Calibri" w:hAnsi="Calibri" w:cs="Calibri"/>
                <w:color w:val="000000"/>
              </w:rPr>
            </w:pPr>
            <w:r>
              <w:rPr>
                <w:rFonts w:ascii="Calibri" w:hAnsi="Calibri" w:cs="Calibri"/>
                <w:color w:val="000000"/>
              </w:rPr>
              <w:t>0.74</w:t>
            </w:r>
          </w:p>
        </w:tc>
        <w:tc>
          <w:tcPr>
            <w:tcW w:w="353" w:type="pct"/>
            <w:tcBorders>
              <w:top w:val="nil"/>
              <w:left w:val="nil"/>
              <w:bottom w:val="single" w:sz="4" w:space="0" w:color="auto"/>
              <w:right w:val="single" w:sz="4" w:space="0" w:color="auto"/>
            </w:tcBorders>
            <w:shd w:val="clear" w:color="auto" w:fill="auto"/>
            <w:vAlign w:val="bottom"/>
          </w:tcPr>
          <w:p w14:paraId="7B84C126" w14:textId="77777777" w:rsidR="00937546" w:rsidRDefault="00937546" w:rsidP="00447817">
            <w:pPr>
              <w:jc w:val="right"/>
              <w:rPr>
                <w:rFonts w:ascii="Calibri" w:hAnsi="Calibri" w:cs="Calibri"/>
                <w:color w:val="000000"/>
              </w:rPr>
            </w:pPr>
            <w:r>
              <w:rPr>
                <w:rFonts w:ascii="Calibri" w:hAnsi="Calibri" w:cs="Calibri"/>
                <w:color w:val="000000"/>
              </w:rPr>
              <w:t>0.755</w:t>
            </w:r>
          </w:p>
        </w:tc>
        <w:tc>
          <w:tcPr>
            <w:tcW w:w="313" w:type="pct"/>
            <w:tcBorders>
              <w:top w:val="nil"/>
              <w:left w:val="nil"/>
              <w:bottom w:val="single" w:sz="4" w:space="0" w:color="auto"/>
              <w:right w:val="single" w:sz="4" w:space="0" w:color="auto"/>
            </w:tcBorders>
            <w:shd w:val="clear" w:color="auto" w:fill="auto"/>
            <w:vAlign w:val="bottom"/>
          </w:tcPr>
          <w:p w14:paraId="2EF2BBAD" w14:textId="77777777" w:rsidR="00937546" w:rsidRDefault="00937546" w:rsidP="00447817">
            <w:pPr>
              <w:jc w:val="right"/>
              <w:rPr>
                <w:rFonts w:ascii="Calibri" w:hAnsi="Calibri" w:cs="Calibri"/>
                <w:color w:val="000000"/>
              </w:rPr>
            </w:pPr>
            <w:r>
              <w:rPr>
                <w:rFonts w:ascii="Calibri" w:hAnsi="Calibri" w:cs="Calibri"/>
                <w:color w:val="000000"/>
              </w:rPr>
              <w:t>0.801</w:t>
            </w:r>
          </w:p>
        </w:tc>
        <w:tc>
          <w:tcPr>
            <w:tcW w:w="353" w:type="pct"/>
            <w:tcBorders>
              <w:top w:val="nil"/>
              <w:left w:val="single" w:sz="4" w:space="0" w:color="auto"/>
              <w:bottom w:val="single" w:sz="4" w:space="0" w:color="auto"/>
              <w:right w:val="single" w:sz="4" w:space="0" w:color="auto"/>
            </w:tcBorders>
            <w:shd w:val="clear" w:color="auto" w:fill="auto"/>
            <w:vAlign w:val="bottom"/>
          </w:tcPr>
          <w:p w14:paraId="3116B2D7" w14:textId="77777777" w:rsidR="00937546" w:rsidRDefault="00937546" w:rsidP="00447817">
            <w:pPr>
              <w:jc w:val="right"/>
              <w:rPr>
                <w:rFonts w:ascii="Calibri" w:hAnsi="Calibri" w:cs="Calibri"/>
                <w:color w:val="000000"/>
              </w:rPr>
            </w:pPr>
            <w:r>
              <w:rPr>
                <w:rFonts w:ascii="Calibri" w:hAnsi="Calibri" w:cs="Calibri"/>
                <w:color w:val="000000"/>
              </w:rPr>
              <w:t>50.8</w:t>
            </w:r>
          </w:p>
        </w:tc>
        <w:tc>
          <w:tcPr>
            <w:tcW w:w="352" w:type="pct"/>
            <w:tcBorders>
              <w:top w:val="nil"/>
              <w:left w:val="single" w:sz="4" w:space="0" w:color="auto"/>
              <w:bottom w:val="single" w:sz="4" w:space="0" w:color="auto"/>
              <w:right w:val="single" w:sz="4" w:space="0" w:color="auto"/>
            </w:tcBorders>
            <w:shd w:val="clear" w:color="auto" w:fill="auto"/>
            <w:vAlign w:val="bottom"/>
          </w:tcPr>
          <w:p w14:paraId="4ED7B786" w14:textId="77777777" w:rsidR="00937546" w:rsidRDefault="00937546" w:rsidP="00447817">
            <w:pPr>
              <w:jc w:val="right"/>
              <w:rPr>
                <w:rFonts w:ascii="Calibri" w:hAnsi="Calibri" w:cs="Calibri"/>
                <w:color w:val="000000"/>
              </w:rPr>
            </w:pPr>
            <w:r>
              <w:rPr>
                <w:rFonts w:ascii="Calibri" w:hAnsi="Calibri" w:cs="Calibri"/>
                <w:color w:val="000000"/>
              </w:rPr>
              <w:t>4.0</w:t>
            </w:r>
          </w:p>
        </w:tc>
        <w:tc>
          <w:tcPr>
            <w:tcW w:w="274" w:type="pct"/>
            <w:tcBorders>
              <w:top w:val="nil"/>
              <w:left w:val="single" w:sz="4" w:space="0" w:color="auto"/>
              <w:bottom w:val="single" w:sz="4" w:space="0" w:color="auto"/>
              <w:right w:val="single" w:sz="4" w:space="0" w:color="auto"/>
            </w:tcBorders>
            <w:shd w:val="clear" w:color="auto" w:fill="auto"/>
            <w:vAlign w:val="bottom"/>
          </w:tcPr>
          <w:p w14:paraId="44A86C37" w14:textId="77777777" w:rsidR="00937546" w:rsidRDefault="00937546" w:rsidP="00447817">
            <w:pPr>
              <w:jc w:val="right"/>
              <w:rPr>
                <w:rFonts w:ascii="Calibri" w:hAnsi="Calibri" w:cs="Calibri"/>
                <w:color w:val="000000"/>
              </w:rPr>
            </w:pPr>
            <w:r>
              <w:rPr>
                <w:rFonts w:ascii="Calibri" w:hAnsi="Calibri" w:cs="Calibri"/>
                <w:color w:val="000000"/>
              </w:rPr>
              <w:t>1.1</w:t>
            </w:r>
          </w:p>
        </w:tc>
        <w:tc>
          <w:tcPr>
            <w:tcW w:w="274" w:type="pct"/>
            <w:tcBorders>
              <w:top w:val="nil"/>
              <w:left w:val="single" w:sz="4" w:space="0" w:color="auto"/>
              <w:bottom w:val="single" w:sz="4" w:space="0" w:color="auto"/>
              <w:right w:val="single" w:sz="4" w:space="0" w:color="auto"/>
            </w:tcBorders>
            <w:shd w:val="clear" w:color="auto" w:fill="auto"/>
            <w:vAlign w:val="bottom"/>
          </w:tcPr>
          <w:p w14:paraId="0C4C6056" w14:textId="77777777" w:rsidR="00937546" w:rsidRDefault="00937546" w:rsidP="00447817">
            <w:pPr>
              <w:jc w:val="right"/>
              <w:rPr>
                <w:rFonts w:ascii="Calibri" w:hAnsi="Calibri" w:cs="Calibri"/>
                <w:color w:val="000000"/>
              </w:rPr>
            </w:pPr>
            <w:r>
              <w:rPr>
                <w:rFonts w:ascii="Calibri" w:hAnsi="Calibri" w:cs="Calibri"/>
                <w:color w:val="000000"/>
              </w:rPr>
              <w:t>2.9</w:t>
            </w:r>
          </w:p>
        </w:tc>
        <w:tc>
          <w:tcPr>
            <w:tcW w:w="234" w:type="pct"/>
            <w:tcBorders>
              <w:top w:val="nil"/>
              <w:left w:val="single" w:sz="4" w:space="0" w:color="auto"/>
              <w:bottom w:val="single" w:sz="4" w:space="0" w:color="auto"/>
              <w:right w:val="single" w:sz="4" w:space="0" w:color="auto"/>
            </w:tcBorders>
            <w:shd w:val="clear" w:color="auto" w:fill="auto"/>
            <w:vAlign w:val="bottom"/>
          </w:tcPr>
          <w:p w14:paraId="69187B5C" w14:textId="77777777" w:rsidR="00937546" w:rsidRDefault="00937546" w:rsidP="00447817">
            <w:pPr>
              <w:jc w:val="right"/>
              <w:rPr>
                <w:rFonts w:ascii="Calibri" w:hAnsi="Calibri" w:cs="Calibri"/>
                <w:color w:val="000000"/>
              </w:rPr>
            </w:pPr>
            <w:r>
              <w:rPr>
                <w:rFonts w:ascii="Calibri" w:hAnsi="Calibri" w:cs="Calibri"/>
                <w:color w:val="000000"/>
              </w:rPr>
              <w:t>4822.1</w:t>
            </w:r>
          </w:p>
        </w:tc>
        <w:tc>
          <w:tcPr>
            <w:tcW w:w="313" w:type="pct"/>
            <w:tcBorders>
              <w:top w:val="nil"/>
              <w:left w:val="single" w:sz="4" w:space="0" w:color="auto"/>
              <w:bottom w:val="single" w:sz="4" w:space="0" w:color="auto"/>
              <w:right w:val="single" w:sz="4" w:space="0" w:color="auto"/>
            </w:tcBorders>
            <w:shd w:val="clear" w:color="auto" w:fill="auto"/>
            <w:vAlign w:val="bottom"/>
          </w:tcPr>
          <w:p w14:paraId="6B417A7F" w14:textId="77777777" w:rsidR="00937546" w:rsidRDefault="00937546" w:rsidP="00447817">
            <w:pPr>
              <w:jc w:val="right"/>
              <w:rPr>
                <w:rFonts w:ascii="Calibri" w:hAnsi="Calibri" w:cs="Calibri"/>
                <w:color w:val="000000"/>
              </w:rPr>
            </w:pPr>
            <w:r>
              <w:rPr>
                <w:rFonts w:ascii="Calibri" w:hAnsi="Calibri" w:cs="Calibri"/>
                <w:color w:val="000000"/>
              </w:rPr>
              <w:t>3094.8</w:t>
            </w:r>
          </w:p>
        </w:tc>
        <w:tc>
          <w:tcPr>
            <w:tcW w:w="272" w:type="pct"/>
            <w:tcBorders>
              <w:top w:val="nil"/>
              <w:left w:val="single" w:sz="4" w:space="0" w:color="auto"/>
              <w:bottom w:val="single" w:sz="4" w:space="0" w:color="auto"/>
              <w:right w:val="single" w:sz="4" w:space="0" w:color="auto"/>
            </w:tcBorders>
            <w:shd w:val="clear" w:color="auto" w:fill="auto"/>
            <w:vAlign w:val="bottom"/>
          </w:tcPr>
          <w:p w14:paraId="4A054090" w14:textId="77777777" w:rsidR="00937546" w:rsidRDefault="00937546" w:rsidP="00447817">
            <w:pPr>
              <w:jc w:val="right"/>
              <w:rPr>
                <w:rFonts w:ascii="Calibri" w:hAnsi="Calibri" w:cs="Calibri"/>
                <w:color w:val="000000"/>
              </w:rPr>
            </w:pPr>
            <w:r>
              <w:rPr>
                <w:rFonts w:ascii="Calibri" w:hAnsi="Calibri" w:cs="Calibri"/>
                <w:color w:val="000000"/>
              </w:rPr>
              <w:t>1727.3</w:t>
            </w:r>
          </w:p>
        </w:tc>
        <w:tc>
          <w:tcPr>
            <w:tcW w:w="272" w:type="pct"/>
            <w:tcBorders>
              <w:top w:val="nil"/>
              <w:left w:val="single" w:sz="4" w:space="0" w:color="auto"/>
              <w:bottom w:val="single" w:sz="4" w:space="0" w:color="auto"/>
              <w:right w:val="single" w:sz="4" w:space="0" w:color="auto"/>
            </w:tcBorders>
            <w:shd w:val="clear" w:color="auto" w:fill="auto"/>
            <w:vAlign w:val="bottom"/>
          </w:tcPr>
          <w:p w14:paraId="468AB9D7" w14:textId="77777777" w:rsidR="00937546" w:rsidRDefault="00937546" w:rsidP="00447817">
            <w:pPr>
              <w:jc w:val="right"/>
              <w:rPr>
                <w:rFonts w:ascii="Calibri" w:hAnsi="Calibri" w:cs="Calibri"/>
                <w:color w:val="000000"/>
              </w:rPr>
            </w:pPr>
            <w:r>
              <w:rPr>
                <w:rFonts w:ascii="Calibri" w:hAnsi="Calibri" w:cs="Calibri"/>
                <w:color w:val="000000"/>
              </w:rPr>
              <w:t>1399.1</w:t>
            </w:r>
          </w:p>
        </w:tc>
        <w:tc>
          <w:tcPr>
            <w:tcW w:w="272" w:type="pct"/>
            <w:tcBorders>
              <w:top w:val="nil"/>
              <w:left w:val="single" w:sz="4" w:space="0" w:color="auto"/>
              <w:bottom w:val="single" w:sz="4" w:space="0" w:color="auto"/>
              <w:right w:val="single" w:sz="4" w:space="0" w:color="auto"/>
            </w:tcBorders>
            <w:shd w:val="clear" w:color="auto" w:fill="auto"/>
            <w:vAlign w:val="bottom"/>
          </w:tcPr>
          <w:p w14:paraId="53084BAA" w14:textId="77777777" w:rsidR="00937546" w:rsidRDefault="00937546" w:rsidP="00447817">
            <w:pPr>
              <w:jc w:val="right"/>
              <w:rPr>
                <w:rFonts w:ascii="Calibri" w:hAnsi="Calibri" w:cs="Calibri"/>
                <w:color w:val="000000"/>
              </w:rPr>
            </w:pPr>
            <w:r>
              <w:rPr>
                <w:rFonts w:ascii="Calibri" w:hAnsi="Calibri" w:cs="Calibri"/>
                <w:color w:val="000000"/>
              </w:rPr>
              <w:t>559.6</w:t>
            </w:r>
          </w:p>
        </w:tc>
        <w:tc>
          <w:tcPr>
            <w:tcW w:w="269" w:type="pct"/>
            <w:tcBorders>
              <w:top w:val="nil"/>
              <w:left w:val="nil"/>
              <w:bottom w:val="single" w:sz="4" w:space="0" w:color="auto"/>
              <w:right w:val="single" w:sz="4" w:space="0" w:color="auto"/>
            </w:tcBorders>
            <w:shd w:val="clear" w:color="auto" w:fill="auto"/>
            <w:vAlign w:val="bottom"/>
          </w:tcPr>
          <w:p w14:paraId="004B9B71" w14:textId="77777777" w:rsidR="00937546" w:rsidRDefault="00937546" w:rsidP="00447817">
            <w:pPr>
              <w:jc w:val="right"/>
              <w:rPr>
                <w:rFonts w:ascii="Calibri" w:hAnsi="Calibri" w:cs="Calibri"/>
                <w:color w:val="000000"/>
              </w:rPr>
            </w:pPr>
            <w:r>
              <w:rPr>
                <w:rFonts w:ascii="Calibri" w:hAnsi="Calibri" w:cs="Calibri"/>
                <w:color w:val="000000"/>
              </w:rPr>
              <w:t>839.5</w:t>
            </w:r>
          </w:p>
        </w:tc>
      </w:tr>
      <w:tr w:rsidR="008B5959" w:rsidRPr="00E91A88" w14:paraId="29C611F2" w14:textId="77777777" w:rsidTr="00447817">
        <w:trPr>
          <w:trHeight w:val="251"/>
        </w:trPr>
        <w:tc>
          <w:tcPr>
            <w:tcW w:w="747" w:type="pct"/>
            <w:noWrap/>
            <w:vAlign w:val="bottom"/>
            <w:hideMark/>
          </w:tcPr>
          <w:p w14:paraId="0E016B1B" w14:textId="77777777" w:rsidR="00937546" w:rsidRDefault="00937546" w:rsidP="00447817">
            <w:pPr>
              <w:rPr>
                <w:rFonts w:ascii="Calibri" w:hAnsi="Calibri" w:cs="Calibri"/>
                <w:color w:val="000000"/>
              </w:rPr>
            </w:pPr>
            <w:r>
              <w:rPr>
                <w:rFonts w:ascii="Calibri" w:hAnsi="Calibri" w:cs="Calibri"/>
                <w:color w:val="000000"/>
              </w:rPr>
              <w:t>TIRUVANNAMALAI</w:t>
            </w:r>
          </w:p>
        </w:tc>
        <w:tc>
          <w:tcPr>
            <w:tcW w:w="311" w:type="pct"/>
            <w:tcBorders>
              <w:top w:val="nil"/>
              <w:left w:val="single" w:sz="4" w:space="0" w:color="auto"/>
              <w:bottom w:val="single" w:sz="4" w:space="0" w:color="auto"/>
              <w:right w:val="single" w:sz="4" w:space="0" w:color="auto"/>
            </w:tcBorders>
            <w:shd w:val="clear" w:color="auto" w:fill="auto"/>
            <w:vAlign w:val="bottom"/>
          </w:tcPr>
          <w:p w14:paraId="6776A6F9" w14:textId="77777777" w:rsidR="00937546" w:rsidRDefault="00937546" w:rsidP="00447817">
            <w:pPr>
              <w:jc w:val="right"/>
              <w:rPr>
                <w:rFonts w:ascii="Calibri" w:hAnsi="Calibri" w:cs="Calibri"/>
                <w:color w:val="000000"/>
              </w:rPr>
            </w:pPr>
            <w:r>
              <w:rPr>
                <w:rFonts w:ascii="Calibri" w:hAnsi="Calibri" w:cs="Calibri"/>
                <w:color w:val="000000"/>
              </w:rPr>
              <w:t>0.508</w:t>
            </w:r>
          </w:p>
        </w:tc>
        <w:tc>
          <w:tcPr>
            <w:tcW w:w="391" w:type="pct"/>
            <w:tcBorders>
              <w:top w:val="nil"/>
              <w:left w:val="nil"/>
              <w:bottom w:val="single" w:sz="4" w:space="0" w:color="auto"/>
              <w:right w:val="single" w:sz="4" w:space="0" w:color="auto"/>
            </w:tcBorders>
            <w:shd w:val="clear" w:color="auto" w:fill="auto"/>
            <w:vAlign w:val="bottom"/>
          </w:tcPr>
          <w:p w14:paraId="4DF09930" w14:textId="77777777" w:rsidR="00937546" w:rsidRDefault="00937546" w:rsidP="00447817">
            <w:pPr>
              <w:jc w:val="right"/>
              <w:rPr>
                <w:rFonts w:ascii="Calibri" w:hAnsi="Calibri" w:cs="Calibri"/>
                <w:color w:val="000000"/>
              </w:rPr>
            </w:pPr>
            <w:r>
              <w:rPr>
                <w:rFonts w:ascii="Calibri" w:hAnsi="Calibri" w:cs="Calibri"/>
                <w:color w:val="000000"/>
              </w:rPr>
              <w:t>0.694</w:t>
            </w:r>
          </w:p>
        </w:tc>
        <w:tc>
          <w:tcPr>
            <w:tcW w:w="353" w:type="pct"/>
            <w:tcBorders>
              <w:top w:val="nil"/>
              <w:left w:val="nil"/>
              <w:bottom w:val="single" w:sz="4" w:space="0" w:color="auto"/>
              <w:right w:val="single" w:sz="4" w:space="0" w:color="auto"/>
            </w:tcBorders>
            <w:shd w:val="clear" w:color="auto" w:fill="auto"/>
            <w:vAlign w:val="bottom"/>
          </w:tcPr>
          <w:p w14:paraId="2231B482" w14:textId="77777777" w:rsidR="00937546" w:rsidRDefault="00937546" w:rsidP="00447817">
            <w:pPr>
              <w:jc w:val="right"/>
              <w:rPr>
                <w:rFonts w:ascii="Calibri" w:hAnsi="Calibri" w:cs="Calibri"/>
                <w:color w:val="000000"/>
              </w:rPr>
            </w:pPr>
            <w:r>
              <w:rPr>
                <w:rFonts w:ascii="Calibri" w:hAnsi="Calibri" w:cs="Calibri"/>
                <w:color w:val="000000"/>
              </w:rPr>
              <w:t>0.601</w:t>
            </w:r>
          </w:p>
        </w:tc>
        <w:tc>
          <w:tcPr>
            <w:tcW w:w="313" w:type="pct"/>
            <w:tcBorders>
              <w:top w:val="nil"/>
              <w:left w:val="nil"/>
              <w:bottom w:val="single" w:sz="4" w:space="0" w:color="auto"/>
              <w:right w:val="single" w:sz="4" w:space="0" w:color="auto"/>
            </w:tcBorders>
            <w:shd w:val="clear" w:color="auto" w:fill="auto"/>
            <w:vAlign w:val="bottom"/>
          </w:tcPr>
          <w:p w14:paraId="67E6B28B" w14:textId="77777777" w:rsidR="00937546" w:rsidRDefault="00937546" w:rsidP="00447817">
            <w:pPr>
              <w:jc w:val="right"/>
              <w:rPr>
                <w:rFonts w:ascii="Calibri" w:hAnsi="Calibri" w:cs="Calibri"/>
                <w:color w:val="000000"/>
              </w:rPr>
            </w:pPr>
            <w:r>
              <w:rPr>
                <w:rFonts w:ascii="Calibri" w:hAnsi="Calibri" w:cs="Calibri"/>
                <w:color w:val="000000"/>
              </w:rPr>
              <w:t>0.596</w:t>
            </w:r>
          </w:p>
        </w:tc>
        <w:tc>
          <w:tcPr>
            <w:tcW w:w="353" w:type="pct"/>
            <w:tcBorders>
              <w:top w:val="nil"/>
              <w:left w:val="single" w:sz="4" w:space="0" w:color="auto"/>
              <w:bottom w:val="single" w:sz="4" w:space="0" w:color="auto"/>
              <w:right w:val="single" w:sz="4" w:space="0" w:color="auto"/>
            </w:tcBorders>
            <w:shd w:val="clear" w:color="auto" w:fill="auto"/>
            <w:vAlign w:val="bottom"/>
          </w:tcPr>
          <w:p w14:paraId="185C7E1A" w14:textId="77777777" w:rsidR="00937546" w:rsidRDefault="00937546" w:rsidP="00447817">
            <w:pPr>
              <w:jc w:val="right"/>
              <w:rPr>
                <w:rFonts w:ascii="Calibri" w:hAnsi="Calibri" w:cs="Calibri"/>
                <w:color w:val="000000"/>
              </w:rPr>
            </w:pPr>
            <w:r>
              <w:rPr>
                <w:rFonts w:ascii="Calibri" w:hAnsi="Calibri" w:cs="Calibri"/>
                <w:color w:val="000000"/>
              </w:rPr>
              <w:t>55.2</w:t>
            </w:r>
          </w:p>
        </w:tc>
        <w:tc>
          <w:tcPr>
            <w:tcW w:w="352" w:type="pct"/>
            <w:tcBorders>
              <w:top w:val="nil"/>
              <w:left w:val="single" w:sz="4" w:space="0" w:color="auto"/>
              <w:bottom w:val="single" w:sz="4" w:space="0" w:color="auto"/>
              <w:right w:val="single" w:sz="4" w:space="0" w:color="auto"/>
            </w:tcBorders>
            <w:shd w:val="clear" w:color="auto" w:fill="auto"/>
            <w:vAlign w:val="bottom"/>
          </w:tcPr>
          <w:p w14:paraId="2F5E6BBC" w14:textId="77777777" w:rsidR="00937546" w:rsidRDefault="00937546" w:rsidP="00447817">
            <w:pPr>
              <w:jc w:val="right"/>
              <w:rPr>
                <w:rFonts w:ascii="Calibri" w:hAnsi="Calibri" w:cs="Calibri"/>
                <w:color w:val="000000"/>
              </w:rPr>
            </w:pPr>
            <w:r>
              <w:rPr>
                <w:rFonts w:ascii="Calibri" w:hAnsi="Calibri" w:cs="Calibri"/>
                <w:color w:val="000000"/>
              </w:rPr>
              <w:t>2.2</w:t>
            </w:r>
          </w:p>
        </w:tc>
        <w:tc>
          <w:tcPr>
            <w:tcW w:w="274" w:type="pct"/>
            <w:tcBorders>
              <w:top w:val="nil"/>
              <w:left w:val="single" w:sz="4" w:space="0" w:color="auto"/>
              <w:bottom w:val="single" w:sz="4" w:space="0" w:color="auto"/>
              <w:right w:val="single" w:sz="4" w:space="0" w:color="auto"/>
            </w:tcBorders>
            <w:shd w:val="clear" w:color="auto" w:fill="auto"/>
            <w:vAlign w:val="bottom"/>
          </w:tcPr>
          <w:p w14:paraId="5457DF4A" w14:textId="77777777" w:rsidR="00937546" w:rsidRDefault="00937546" w:rsidP="00447817">
            <w:pPr>
              <w:jc w:val="right"/>
              <w:rPr>
                <w:rFonts w:ascii="Calibri" w:hAnsi="Calibri" w:cs="Calibri"/>
                <w:color w:val="000000"/>
              </w:rPr>
            </w:pPr>
            <w:r>
              <w:rPr>
                <w:rFonts w:ascii="Calibri" w:hAnsi="Calibri" w:cs="Calibri"/>
                <w:color w:val="000000"/>
              </w:rPr>
              <w:t>1.0</w:t>
            </w:r>
          </w:p>
        </w:tc>
        <w:tc>
          <w:tcPr>
            <w:tcW w:w="274" w:type="pct"/>
            <w:tcBorders>
              <w:top w:val="nil"/>
              <w:left w:val="single" w:sz="4" w:space="0" w:color="auto"/>
              <w:bottom w:val="single" w:sz="4" w:space="0" w:color="auto"/>
              <w:right w:val="single" w:sz="4" w:space="0" w:color="auto"/>
            </w:tcBorders>
            <w:shd w:val="clear" w:color="auto" w:fill="auto"/>
            <w:vAlign w:val="bottom"/>
          </w:tcPr>
          <w:p w14:paraId="4A1E0B79" w14:textId="77777777" w:rsidR="00937546" w:rsidRDefault="00937546" w:rsidP="00447817">
            <w:pPr>
              <w:jc w:val="right"/>
              <w:rPr>
                <w:rFonts w:ascii="Calibri" w:hAnsi="Calibri" w:cs="Calibri"/>
                <w:color w:val="000000"/>
              </w:rPr>
            </w:pPr>
            <w:r>
              <w:rPr>
                <w:rFonts w:ascii="Calibri" w:hAnsi="Calibri" w:cs="Calibri"/>
                <w:color w:val="000000"/>
              </w:rPr>
              <w:t>1.2</w:t>
            </w:r>
          </w:p>
        </w:tc>
        <w:tc>
          <w:tcPr>
            <w:tcW w:w="234" w:type="pct"/>
            <w:tcBorders>
              <w:top w:val="nil"/>
              <w:left w:val="single" w:sz="4" w:space="0" w:color="auto"/>
              <w:bottom w:val="single" w:sz="4" w:space="0" w:color="auto"/>
              <w:right w:val="single" w:sz="4" w:space="0" w:color="auto"/>
            </w:tcBorders>
            <w:shd w:val="clear" w:color="auto" w:fill="auto"/>
            <w:vAlign w:val="bottom"/>
          </w:tcPr>
          <w:p w14:paraId="7DAB08E1" w14:textId="77777777" w:rsidR="00937546" w:rsidRDefault="00937546" w:rsidP="00447817">
            <w:pPr>
              <w:jc w:val="right"/>
              <w:rPr>
                <w:rFonts w:ascii="Calibri" w:hAnsi="Calibri" w:cs="Calibri"/>
                <w:color w:val="000000"/>
              </w:rPr>
            </w:pPr>
            <w:r>
              <w:rPr>
                <w:rFonts w:ascii="Calibri" w:hAnsi="Calibri" w:cs="Calibri"/>
                <w:color w:val="000000"/>
              </w:rPr>
              <w:t>4117.7</w:t>
            </w:r>
          </w:p>
        </w:tc>
        <w:tc>
          <w:tcPr>
            <w:tcW w:w="313" w:type="pct"/>
            <w:tcBorders>
              <w:top w:val="nil"/>
              <w:left w:val="single" w:sz="4" w:space="0" w:color="auto"/>
              <w:bottom w:val="single" w:sz="4" w:space="0" w:color="auto"/>
              <w:right w:val="single" w:sz="4" w:space="0" w:color="auto"/>
            </w:tcBorders>
            <w:shd w:val="clear" w:color="auto" w:fill="auto"/>
            <w:vAlign w:val="bottom"/>
          </w:tcPr>
          <w:p w14:paraId="25809D78" w14:textId="77777777" w:rsidR="00937546" w:rsidRDefault="00937546" w:rsidP="00447817">
            <w:pPr>
              <w:jc w:val="right"/>
              <w:rPr>
                <w:rFonts w:ascii="Calibri" w:hAnsi="Calibri" w:cs="Calibri"/>
                <w:color w:val="000000"/>
              </w:rPr>
            </w:pPr>
            <w:r>
              <w:rPr>
                <w:rFonts w:ascii="Calibri" w:hAnsi="Calibri" w:cs="Calibri"/>
                <w:color w:val="000000"/>
              </w:rPr>
              <w:t>2643.3</w:t>
            </w:r>
          </w:p>
        </w:tc>
        <w:tc>
          <w:tcPr>
            <w:tcW w:w="272" w:type="pct"/>
            <w:tcBorders>
              <w:top w:val="nil"/>
              <w:left w:val="single" w:sz="4" w:space="0" w:color="auto"/>
              <w:bottom w:val="single" w:sz="4" w:space="0" w:color="auto"/>
              <w:right w:val="single" w:sz="4" w:space="0" w:color="auto"/>
            </w:tcBorders>
            <w:shd w:val="clear" w:color="auto" w:fill="auto"/>
            <w:vAlign w:val="bottom"/>
          </w:tcPr>
          <w:p w14:paraId="5225D6A4" w14:textId="77777777" w:rsidR="00937546" w:rsidRDefault="00937546" w:rsidP="00447817">
            <w:pPr>
              <w:jc w:val="right"/>
              <w:rPr>
                <w:rFonts w:ascii="Calibri" w:hAnsi="Calibri" w:cs="Calibri"/>
                <w:color w:val="000000"/>
              </w:rPr>
            </w:pPr>
            <w:r>
              <w:rPr>
                <w:rFonts w:ascii="Calibri" w:hAnsi="Calibri" w:cs="Calibri"/>
                <w:color w:val="000000"/>
              </w:rPr>
              <w:t>1474.4</w:t>
            </w:r>
          </w:p>
        </w:tc>
        <w:tc>
          <w:tcPr>
            <w:tcW w:w="272" w:type="pct"/>
            <w:tcBorders>
              <w:top w:val="nil"/>
              <w:left w:val="single" w:sz="4" w:space="0" w:color="auto"/>
              <w:bottom w:val="single" w:sz="4" w:space="0" w:color="auto"/>
              <w:right w:val="single" w:sz="4" w:space="0" w:color="auto"/>
            </w:tcBorders>
            <w:shd w:val="clear" w:color="auto" w:fill="auto"/>
            <w:vAlign w:val="bottom"/>
          </w:tcPr>
          <w:p w14:paraId="10A82773" w14:textId="77777777" w:rsidR="00937546" w:rsidRDefault="00937546" w:rsidP="00447817">
            <w:pPr>
              <w:jc w:val="right"/>
              <w:rPr>
                <w:rFonts w:ascii="Calibri" w:hAnsi="Calibri" w:cs="Calibri"/>
                <w:color w:val="000000"/>
              </w:rPr>
            </w:pPr>
            <w:r>
              <w:rPr>
                <w:rFonts w:ascii="Calibri" w:hAnsi="Calibri" w:cs="Calibri"/>
                <w:color w:val="000000"/>
              </w:rPr>
              <w:t>1597.6</w:t>
            </w:r>
          </w:p>
        </w:tc>
        <w:tc>
          <w:tcPr>
            <w:tcW w:w="272" w:type="pct"/>
            <w:tcBorders>
              <w:top w:val="nil"/>
              <w:left w:val="single" w:sz="4" w:space="0" w:color="auto"/>
              <w:bottom w:val="single" w:sz="4" w:space="0" w:color="auto"/>
              <w:right w:val="single" w:sz="4" w:space="0" w:color="auto"/>
            </w:tcBorders>
            <w:shd w:val="clear" w:color="auto" w:fill="auto"/>
            <w:vAlign w:val="bottom"/>
          </w:tcPr>
          <w:p w14:paraId="1DFE2066" w14:textId="77777777" w:rsidR="00937546" w:rsidRDefault="00937546" w:rsidP="00447817">
            <w:pPr>
              <w:jc w:val="right"/>
              <w:rPr>
                <w:rFonts w:ascii="Calibri" w:hAnsi="Calibri" w:cs="Calibri"/>
                <w:color w:val="000000"/>
              </w:rPr>
            </w:pPr>
            <w:r>
              <w:rPr>
                <w:rFonts w:ascii="Calibri" w:hAnsi="Calibri" w:cs="Calibri"/>
                <w:color w:val="000000"/>
              </w:rPr>
              <w:t>1066.4</w:t>
            </w:r>
          </w:p>
        </w:tc>
        <w:tc>
          <w:tcPr>
            <w:tcW w:w="269" w:type="pct"/>
            <w:tcBorders>
              <w:top w:val="nil"/>
              <w:left w:val="nil"/>
              <w:bottom w:val="single" w:sz="4" w:space="0" w:color="auto"/>
              <w:right w:val="single" w:sz="4" w:space="0" w:color="auto"/>
            </w:tcBorders>
            <w:shd w:val="clear" w:color="auto" w:fill="auto"/>
            <w:vAlign w:val="bottom"/>
          </w:tcPr>
          <w:p w14:paraId="392DB6AE" w14:textId="77777777" w:rsidR="00937546" w:rsidRDefault="00937546" w:rsidP="00447817">
            <w:pPr>
              <w:jc w:val="right"/>
              <w:rPr>
                <w:rFonts w:ascii="Calibri" w:hAnsi="Calibri" w:cs="Calibri"/>
                <w:color w:val="000000"/>
              </w:rPr>
            </w:pPr>
            <w:r>
              <w:rPr>
                <w:rFonts w:ascii="Calibri" w:hAnsi="Calibri" w:cs="Calibri"/>
                <w:color w:val="000000"/>
              </w:rPr>
              <w:t>531.2</w:t>
            </w:r>
          </w:p>
        </w:tc>
      </w:tr>
      <w:tr w:rsidR="008B5959" w:rsidRPr="00E91A88" w14:paraId="6F06B69D" w14:textId="77777777" w:rsidTr="00447817">
        <w:trPr>
          <w:trHeight w:val="251"/>
        </w:trPr>
        <w:tc>
          <w:tcPr>
            <w:tcW w:w="747" w:type="pct"/>
            <w:noWrap/>
            <w:vAlign w:val="bottom"/>
            <w:hideMark/>
          </w:tcPr>
          <w:p w14:paraId="2EAB377F" w14:textId="77777777" w:rsidR="00937546" w:rsidRDefault="00937546" w:rsidP="00447817">
            <w:pPr>
              <w:rPr>
                <w:rFonts w:ascii="Calibri" w:hAnsi="Calibri" w:cs="Calibri"/>
                <w:color w:val="000000"/>
              </w:rPr>
            </w:pPr>
            <w:r>
              <w:rPr>
                <w:rFonts w:ascii="Calibri" w:hAnsi="Calibri" w:cs="Calibri"/>
                <w:color w:val="000000"/>
              </w:rPr>
              <w:t>TIRUVARUR</w:t>
            </w:r>
          </w:p>
        </w:tc>
        <w:tc>
          <w:tcPr>
            <w:tcW w:w="311" w:type="pct"/>
            <w:tcBorders>
              <w:top w:val="nil"/>
              <w:left w:val="single" w:sz="4" w:space="0" w:color="auto"/>
              <w:bottom w:val="single" w:sz="4" w:space="0" w:color="auto"/>
              <w:right w:val="single" w:sz="4" w:space="0" w:color="auto"/>
            </w:tcBorders>
            <w:shd w:val="clear" w:color="auto" w:fill="auto"/>
            <w:vAlign w:val="bottom"/>
          </w:tcPr>
          <w:p w14:paraId="797CE105" w14:textId="77777777" w:rsidR="00937546" w:rsidRDefault="00937546" w:rsidP="00447817">
            <w:pPr>
              <w:jc w:val="right"/>
              <w:rPr>
                <w:rFonts w:ascii="Calibri" w:hAnsi="Calibri" w:cs="Calibri"/>
                <w:color w:val="000000"/>
              </w:rPr>
            </w:pPr>
            <w:r>
              <w:rPr>
                <w:rFonts w:ascii="Calibri" w:hAnsi="Calibri" w:cs="Calibri"/>
                <w:color w:val="000000"/>
              </w:rPr>
              <w:t>0.402</w:t>
            </w:r>
          </w:p>
        </w:tc>
        <w:tc>
          <w:tcPr>
            <w:tcW w:w="391" w:type="pct"/>
            <w:tcBorders>
              <w:top w:val="nil"/>
              <w:left w:val="nil"/>
              <w:bottom w:val="single" w:sz="4" w:space="0" w:color="auto"/>
              <w:right w:val="single" w:sz="4" w:space="0" w:color="auto"/>
            </w:tcBorders>
            <w:shd w:val="clear" w:color="auto" w:fill="auto"/>
            <w:vAlign w:val="bottom"/>
          </w:tcPr>
          <w:p w14:paraId="46D16D82" w14:textId="77777777" w:rsidR="00937546" w:rsidRDefault="00937546" w:rsidP="00447817">
            <w:pPr>
              <w:jc w:val="right"/>
              <w:rPr>
                <w:rFonts w:ascii="Calibri" w:hAnsi="Calibri" w:cs="Calibri"/>
                <w:color w:val="000000"/>
              </w:rPr>
            </w:pPr>
            <w:r>
              <w:rPr>
                <w:rFonts w:ascii="Calibri" w:hAnsi="Calibri" w:cs="Calibri"/>
                <w:color w:val="000000"/>
              </w:rPr>
              <w:t>0.561</w:t>
            </w:r>
          </w:p>
        </w:tc>
        <w:tc>
          <w:tcPr>
            <w:tcW w:w="353" w:type="pct"/>
            <w:tcBorders>
              <w:top w:val="nil"/>
              <w:left w:val="nil"/>
              <w:bottom w:val="single" w:sz="4" w:space="0" w:color="auto"/>
              <w:right w:val="single" w:sz="4" w:space="0" w:color="auto"/>
            </w:tcBorders>
            <w:shd w:val="clear" w:color="auto" w:fill="auto"/>
            <w:vAlign w:val="bottom"/>
          </w:tcPr>
          <w:p w14:paraId="6B62F542" w14:textId="77777777" w:rsidR="00937546" w:rsidRDefault="00937546" w:rsidP="00447817">
            <w:pPr>
              <w:jc w:val="right"/>
              <w:rPr>
                <w:rFonts w:ascii="Calibri" w:hAnsi="Calibri" w:cs="Calibri"/>
                <w:color w:val="000000"/>
              </w:rPr>
            </w:pPr>
            <w:r>
              <w:rPr>
                <w:rFonts w:ascii="Calibri" w:hAnsi="Calibri" w:cs="Calibri"/>
                <w:color w:val="000000"/>
              </w:rPr>
              <w:t>0.813</w:t>
            </w:r>
          </w:p>
        </w:tc>
        <w:tc>
          <w:tcPr>
            <w:tcW w:w="313" w:type="pct"/>
            <w:tcBorders>
              <w:top w:val="nil"/>
              <w:left w:val="nil"/>
              <w:bottom w:val="single" w:sz="4" w:space="0" w:color="auto"/>
              <w:right w:val="single" w:sz="4" w:space="0" w:color="auto"/>
            </w:tcBorders>
            <w:shd w:val="clear" w:color="auto" w:fill="auto"/>
            <w:vAlign w:val="bottom"/>
          </w:tcPr>
          <w:p w14:paraId="4E67C76F" w14:textId="77777777" w:rsidR="00937546" w:rsidRDefault="00937546" w:rsidP="00447817">
            <w:pPr>
              <w:jc w:val="right"/>
              <w:rPr>
                <w:rFonts w:ascii="Calibri" w:hAnsi="Calibri" w:cs="Calibri"/>
                <w:color w:val="000000"/>
              </w:rPr>
            </w:pPr>
            <w:r>
              <w:rPr>
                <w:rFonts w:ascii="Calibri" w:hAnsi="Calibri" w:cs="Calibri"/>
                <w:color w:val="000000"/>
              </w:rPr>
              <w:t>0.568</w:t>
            </w:r>
          </w:p>
        </w:tc>
        <w:tc>
          <w:tcPr>
            <w:tcW w:w="353" w:type="pct"/>
            <w:tcBorders>
              <w:top w:val="nil"/>
              <w:left w:val="single" w:sz="4" w:space="0" w:color="auto"/>
              <w:bottom w:val="single" w:sz="4" w:space="0" w:color="auto"/>
              <w:right w:val="single" w:sz="4" w:space="0" w:color="auto"/>
            </w:tcBorders>
            <w:shd w:val="clear" w:color="auto" w:fill="auto"/>
            <w:vAlign w:val="bottom"/>
          </w:tcPr>
          <w:p w14:paraId="7E5ABADF" w14:textId="77777777" w:rsidR="00937546" w:rsidRDefault="00937546" w:rsidP="00447817">
            <w:pPr>
              <w:jc w:val="right"/>
              <w:rPr>
                <w:rFonts w:ascii="Calibri" w:hAnsi="Calibri" w:cs="Calibri"/>
                <w:color w:val="000000"/>
              </w:rPr>
            </w:pPr>
            <w:r>
              <w:rPr>
                <w:rFonts w:ascii="Calibri" w:hAnsi="Calibri" w:cs="Calibri"/>
                <w:color w:val="000000"/>
              </w:rPr>
              <w:t>63.3</w:t>
            </w:r>
          </w:p>
        </w:tc>
        <w:tc>
          <w:tcPr>
            <w:tcW w:w="352" w:type="pct"/>
            <w:tcBorders>
              <w:top w:val="nil"/>
              <w:left w:val="single" w:sz="4" w:space="0" w:color="auto"/>
              <w:bottom w:val="single" w:sz="4" w:space="0" w:color="auto"/>
              <w:right w:val="single" w:sz="4" w:space="0" w:color="auto"/>
            </w:tcBorders>
            <w:shd w:val="clear" w:color="auto" w:fill="auto"/>
            <w:vAlign w:val="bottom"/>
          </w:tcPr>
          <w:p w14:paraId="79BFFD23" w14:textId="77777777" w:rsidR="00937546" w:rsidRDefault="00937546" w:rsidP="00447817">
            <w:pPr>
              <w:jc w:val="right"/>
              <w:rPr>
                <w:rFonts w:ascii="Calibri" w:hAnsi="Calibri" w:cs="Calibri"/>
                <w:color w:val="000000"/>
              </w:rPr>
            </w:pPr>
            <w:r>
              <w:rPr>
                <w:rFonts w:ascii="Calibri" w:hAnsi="Calibri" w:cs="Calibri"/>
                <w:color w:val="000000"/>
              </w:rPr>
              <w:t>3.0</w:t>
            </w:r>
          </w:p>
        </w:tc>
        <w:tc>
          <w:tcPr>
            <w:tcW w:w="274" w:type="pct"/>
            <w:tcBorders>
              <w:top w:val="nil"/>
              <w:left w:val="single" w:sz="4" w:space="0" w:color="auto"/>
              <w:bottom w:val="single" w:sz="4" w:space="0" w:color="auto"/>
              <w:right w:val="single" w:sz="4" w:space="0" w:color="auto"/>
            </w:tcBorders>
            <w:shd w:val="clear" w:color="auto" w:fill="auto"/>
            <w:vAlign w:val="bottom"/>
          </w:tcPr>
          <w:p w14:paraId="555F18EE" w14:textId="77777777" w:rsidR="00937546" w:rsidRDefault="00937546" w:rsidP="00447817">
            <w:pPr>
              <w:jc w:val="right"/>
              <w:rPr>
                <w:rFonts w:ascii="Calibri" w:hAnsi="Calibri" w:cs="Calibri"/>
                <w:color w:val="000000"/>
              </w:rPr>
            </w:pPr>
            <w:r>
              <w:rPr>
                <w:rFonts w:ascii="Calibri" w:hAnsi="Calibri" w:cs="Calibri"/>
                <w:color w:val="000000"/>
              </w:rPr>
              <w:t>1.3</w:t>
            </w:r>
          </w:p>
        </w:tc>
        <w:tc>
          <w:tcPr>
            <w:tcW w:w="274" w:type="pct"/>
            <w:tcBorders>
              <w:top w:val="nil"/>
              <w:left w:val="single" w:sz="4" w:space="0" w:color="auto"/>
              <w:bottom w:val="single" w:sz="4" w:space="0" w:color="auto"/>
              <w:right w:val="single" w:sz="4" w:space="0" w:color="auto"/>
            </w:tcBorders>
            <w:shd w:val="clear" w:color="auto" w:fill="auto"/>
            <w:vAlign w:val="bottom"/>
          </w:tcPr>
          <w:p w14:paraId="3C4C4DFC" w14:textId="77777777" w:rsidR="00937546" w:rsidRDefault="00937546" w:rsidP="00447817">
            <w:pPr>
              <w:jc w:val="right"/>
              <w:rPr>
                <w:rFonts w:ascii="Calibri" w:hAnsi="Calibri" w:cs="Calibri"/>
                <w:color w:val="000000"/>
              </w:rPr>
            </w:pPr>
            <w:r>
              <w:rPr>
                <w:rFonts w:ascii="Calibri" w:hAnsi="Calibri" w:cs="Calibri"/>
                <w:color w:val="000000"/>
              </w:rPr>
              <w:t>1.7</w:t>
            </w:r>
          </w:p>
        </w:tc>
        <w:tc>
          <w:tcPr>
            <w:tcW w:w="234" w:type="pct"/>
            <w:tcBorders>
              <w:top w:val="nil"/>
              <w:left w:val="single" w:sz="4" w:space="0" w:color="auto"/>
              <w:bottom w:val="single" w:sz="4" w:space="0" w:color="auto"/>
              <w:right w:val="single" w:sz="4" w:space="0" w:color="auto"/>
            </w:tcBorders>
            <w:shd w:val="clear" w:color="auto" w:fill="auto"/>
            <w:vAlign w:val="bottom"/>
          </w:tcPr>
          <w:p w14:paraId="5658891F" w14:textId="77777777" w:rsidR="00937546" w:rsidRDefault="00937546" w:rsidP="00447817">
            <w:pPr>
              <w:jc w:val="right"/>
              <w:rPr>
                <w:rFonts w:ascii="Calibri" w:hAnsi="Calibri" w:cs="Calibri"/>
                <w:color w:val="000000"/>
              </w:rPr>
            </w:pPr>
            <w:r>
              <w:rPr>
                <w:rFonts w:ascii="Calibri" w:hAnsi="Calibri" w:cs="Calibri"/>
                <w:color w:val="000000"/>
              </w:rPr>
              <w:t>2902.9</w:t>
            </w:r>
          </w:p>
        </w:tc>
        <w:tc>
          <w:tcPr>
            <w:tcW w:w="313" w:type="pct"/>
            <w:tcBorders>
              <w:top w:val="nil"/>
              <w:left w:val="single" w:sz="4" w:space="0" w:color="auto"/>
              <w:bottom w:val="single" w:sz="4" w:space="0" w:color="auto"/>
              <w:right w:val="single" w:sz="4" w:space="0" w:color="auto"/>
            </w:tcBorders>
            <w:shd w:val="clear" w:color="auto" w:fill="auto"/>
            <w:vAlign w:val="bottom"/>
          </w:tcPr>
          <w:p w14:paraId="1D915C88" w14:textId="77777777" w:rsidR="00937546" w:rsidRDefault="00937546" w:rsidP="00447817">
            <w:pPr>
              <w:jc w:val="right"/>
              <w:rPr>
                <w:rFonts w:ascii="Calibri" w:hAnsi="Calibri" w:cs="Calibri"/>
                <w:color w:val="000000"/>
              </w:rPr>
            </w:pPr>
            <w:r>
              <w:rPr>
                <w:rFonts w:ascii="Calibri" w:hAnsi="Calibri" w:cs="Calibri"/>
                <w:color w:val="000000"/>
              </w:rPr>
              <w:t>1677.2</w:t>
            </w:r>
          </w:p>
        </w:tc>
        <w:tc>
          <w:tcPr>
            <w:tcW w:w="272" w:type="pct"/>
            <w:tcBorders>
              <w:top w:val="nil"/>
              <w:left w:val="single" w:sz="4" w:space="0" w:color="auto"/>
              <w:bottom w:val="single" w:sz="4" w:space="0" w:color="auto"/>
              <w:right w:val="single" w:sz="4" w:space="0" w:color="auto"/>
            </w:tcBorders>
            <w:shd w:val="clear" w:color="auto" w:fill="auto"/>
            <w:vAlign w:val="bottom"/>
          </w:tcPr>
          <w:p w14:paraId="6C9780F4" w14:textId="77777777" w:rsidR="00937546" w:rsidRDefault="00937546" w:rsidP="00447817">
            <w:pPr>
              <w:jc w:val="right"/>
              <w:rPr>
                <w:rFonts w:ascii="Calibri" w:hAnsi="Calibri" w:cs="Calibri"/>
                <w:color w:val="000000"/>
              </w:rPr>
            </w:pPr>
            <w:r>
              <w:rPr>
                <w:rFonts w:ascii="Calibri" w:hAnsi="Calibri" w:cs="Calibri"/>
                <w:color w:val="000000"/>
              </w:rPr>
              <w:t>1225.7</w:t>
            </w:r>
          </w:p>
        </w:tc>
        <w:tc>
          <w:tcPr>
            <w:tcW w:w="272" w:type="pct"/>
            <w:tcBorders>
              <w:top w:val="nil"/>
              <w:left w:val="single" w:sz="4" w:space="0" w:color="auto"/>
              <w:bottom w:val="single" w:sz="4" w:space="0" w:color="auto"/>
              <w:right w:val="single" w:sz="4" w:space="0" w:color="auto"/>
            </w:tcBorders>
            <w:shd w:val="clear" w:color="auto" w:fill="auto"/>
            <w:vAlign w:val="bottom"/>
          </w:tcPr>
          <w:p w14:paraId="0B3B0FA6" w14:textId="77777777" w:rsidR="00937546" w:rsidRDefault="00937546" w:rsidP="00447817">
            <w:pPr>
              <w:jc w:val="right"/>
              <w:rPr>
                <w:rFonts w:ascii="Calibri" w:hAnsi="Calibri" w:cs="Calibri"/>
                <w:color w:val="000000"/>
              </w:rPr>
            </w:pPr>
            <w:r>
              <w:rPr>
                <w:rFonts w:ascii="Calibri" w:hAnsi="Calibri" w:cs="Calibri"/>
                <w:color w:val="000000"/>
              </w:rPr>
              <w:t>2160.8</w:t>
            </w:r>
          </w:p>
        </w:tc>
        <w:tc>
          <w:tcPr>
            <w:tcW w:w="272" w:type="pct"/>
            <w:tcBorders>
              <w:top w:val="nil"/>
              <w:left w:val="single" w:sz="4" w:space="0" w:color="auto"/>
              <w:bottom w:val="single" w:sz="4" w:space="0" w:color="auto"/>
              <w:right w:val="single" w:sz="4" w:space="0" w:color="auto"/>
            </w:tcBorders>
            <w:shd w:val="clear" w:color="auto" w:fill="auto"/>
            <w:vAlign w:val="bottom"/>
          </w:tcPr>
          <w:p w14:paraId="73D40248" w14:textId="77777777" w:rsidR="00937546" w:rsidRDefault="00937546" w:rsidP="00447817">
            <w:pPr>
              <w:jc w:val="right"/>
              <w:rPr>
                <w:rFonts w:ascii="Calibri" w:hAnsi="Calibri" w:cs="Calibri"/>
                <w:color w:val="000000"/>
              </w:rPr>
            </w:pPr>
            <w:r>
              <w:rPr>
                <w:rFonts w:ascii="Calibri" w:hAnsi="Calibri" w:cs="Calibri"/>
                <w:color w:val="000000"/>
              </w:rPr>
              <w:t>1522.1</w:t>
            </w:r>
          </w:p>
        </w:tc>
        <w:tc>
          <w:tcPr>
            <w:tcW w:w="269" w:type="pct"/>
            <w:tcBorders>
              <w:top w:val="nil"/>
              <w:left w:val="nil"/>
              <w:bottom w:val="single" w:sz="4" w:space="0" w:color="auto"/>
              <w:right w:val="single" w:sz="4" w:space="0" w:color="auto"/>
            </w:tcBorders>
            <w:shd w:val="clear" w:color="auto" w:fill="auto"/>
            <w:vAlign w:val="bottom"/>
          </w:tcPr>
          <w:p w14:paraId="27688017" w14:textId="77777777" w:rsidR="00937546" w:rsidRDefault="00937546" w:rsidP="00447817">
            <w:pPr>
              <w:jc w:val="right"/>
              <w:rPr>
                <w:rFonts w:ascii="Calibri" w:hAnsi="Calibri" w:cs="Calibri"/>
                <w:color w:val="000000"/>
              </w:rPr>
            </w:pPr>
            <w:r>
              <w:rPr>
                <w:rFonts w:ascii="Calibri" w:hAnsi="Calibri" w:cs="Calibri"/>
                <w:color w:val="000000"/>
              </w:rPr>
              <w:t>638.7</w:t>
            </w:r>
          </w:p>
        </w:tc>
      </w:tr>
      <w:tr w:rsidR="008B5959" w:rsidRPr="00E91A88" w14:paraId="6C0CFAF3" w14:textId="77777777" w:rsidTr="00447817">
        <w:trPr>
          <w:trHeight w:val="251"/>
        </w:trPr>
        <w:tc>
          <w:tcPr>
            <w:tcW w:w="747" w:type="pct"/>
            <w:noWrap/>
            <w:vAlign w:val="bottom"/>
            <w:hideMark/>
          </w:tcPr>
          <w:p w14:paraId="6F989114" w14:textId="77777777" w:rsidR="00937546" w:rsidRDefault="00937546" w:rsidP="00447817">
            <w:pPr>
              <w:rPr>
                <w:rFonts w:ascii="Calibri" w:hAnsi="Calibri" w:cs="Calibri"/>
                <w:color w:val="000000"/>
              </w:rPr>
            </w:pPr>
            <w:r>
              <w:rPr>
                <w:rFonts w:ascii="Calibri" w:hAnsi="Calibri" w:cs="Calibri"/>
                <w:color w:val="000000"/>
              </w:rPr>
              <w:t>TUTICORIN</w:t>
            </w:r>
          </w:p>
        </w:tc>
        <w:tc>
          <w:tcPr>
            <w:tcW w:w="311" w:type="pct"/>
            <w:tcBorders>
              <w:top w:val="nil"/>
              <w:left w:val="single" w:sz="4" w:space="0" w:color="auto"/>
              <w:bottom w:val="single" w:sz="4" w:space="0" w:color="auto"/>
              <w:right w:val="single" w:sz="4" w:space="0" w:color="auto"/>
            </w:tcBorders>
            <w:shd w:val="clear" w:color="auto" w:fill="auto"/>
            <w:vAlign w:val="bottom"/>
          </w:tcPr>
          <w:p w14:paraId="4B02A9C5" w14:textId="77777777" w:rsidR="00937546" w:rsidRDefault="00937546" w:rsidP="00447817">
            <w:pPr>
              <w:jc w:val="right"/>
              <w:rPr>
                <w:rFonts w:ascii="Calibri" w:hAnsi="Calibri" w:cs="Calibri"/>
                <w:color w:val="000000"/>
              </w:rPr>
            </w:pPr>
            <w:r>
              <w:rPr>
                <w:rFonts w:ascii="Calibri" w:hAnsi="Calibri" w:cs="Calibri"/>
                <w:color w:val="000000"/>
              </w:rPr>
              <w:t>0.854</w:t>
            </w:r>
          </w:p>
        </w:tc>
        <w:tc>
          <w:tcPr>
            <w:tcW w:w="391" w:type="pct"/>
            <w:tcBorders>
              <w:top w:val="nil"/>
              <w:left w:val="nil"/>
              <w:bottom w:val="single" w:sz="4" w:space="0" w:color="auto"/>
              <w:right w:val="single" w:sz="4" w:space="0" w:color="auto"/>
            </w:tcBorders>
            <w:shd w:val="clear" w:color="auto" w:fill="auto"/>
            <w:vAlign w:val="bottom"/>
          </w:tcPr>
          <w:p w14:paraId="4037CDFF" w14:textId="77777777" w:rsidR="00937546" w:rsidRDefault="00937546" w:rsidP="00447817">
            <w:pPr>
              <w:jc w:val="right"/>
              <w:rPr>
                <w:rFonts w:ascii="Calibri" w:hAnsi="Calibri" w:cs="Calibri"/>
                <w:color w:val="000000"/>
              </w:rPr>
            </w:pPr>
            <w:r>
              <w:rPr>
                <w:rFonts w:ascii="Calibri" w:hAnsi="Calibri" w:cs="Calibri"/>
                <w:color w:val="000000"/>
              </w:rPr>
              <w:t>0.884</w:t>
            </w:r>
          </w:p>
        </w:tc>
        <w:tc>
          <w:tcPr>
            <w:tcW w:w="353" w:type="pct"/>
            <w:tcBorders>
              <w:top w:val="nil"/>
              <w:left w:val="nil"/>
              <w:bottom w:val="single" w:sz="4" w:space="0" w:color="auto"/>
              <w:right w:val="single" w:sz="4" w:space="0" w:color="auto"/>
            </w:tcBorders>
            <w:shd w:val="clear" w:color="auto" w:fill="auto"/>
            <w:vAlign w:val="bottom"/>
          </w:tcPr>
          <w:p w14:paraId="37E68AE6" w14:textId="77777777" w:rsidR="00937546" w:rsidRDefault="00937546" w:rsidP="00447817">
            <w:pPr>
              <w:jc w:val="right"/>
              <w:rPr>
                <w:rFonts w:ascii="Calibri" w:hAnsi="Calibri" w:cs="Calibri"/>
                <w:color w:val="000000"/>
              </w:rPr>
            </w:pPr>
            <w:r>
              <w:rPr>
                <w:rFonts w:ascii="Calibri" w:hAnsi="Calibri" w:cs="Calibri"/>
                <w:color w:val="000000"/>
              </w:rPr>
              <w:t>0.82</w:t>
            </w:r>
          </w:p>
        </w:tc>
        <w:tc>
          <w:tcPr>
            <w:tcW w:w="313" w:type="pct"/>
            <w:tcBorders>
              <w:top w:val="nil"/>
              <w:left w:val="nil"/>
              <w:bottom w:val="single" w:sz="4" w:space="0" w:color="auto"/>
              <w:right w:val="single" w:sz="4" w:space="0" w:color="auto"/>
            </w:tcBorders>
            <w:shd w:val="clear" w:color="auto" w:fill="auto"/>
            <w:vAlign w:val="bottom"/>
          </w:tcPr>
          <w:p w14:paraId="226B7C89" w14:textId="77777777" w:rsidR="00937546" w:rsidRDefault="00937546" w:rsidP="00447817">
            <w:pPr>
              <w:jc w:val="right"/>
              <w:rPr>
                <w:rFonts w:ascii="Calibri" w:hAnsi="Calibri" w:cs="Calibri"/>
                <w:color w:val="000000"/>
              </w:rPr>
            </w:pPr>
            <w:r>
              <w:rPr>
                <w:rFonts w:ascii="Calibri" w:hAnsi="Calibri" w:cs="Calibri"/>
                <w:color w:val="000000"/>
              </w:rPr>
              <w:t>0.852</w:t>
            </w:r>
          </w:p>
        </w:tc>
        <w:tc>
          <w:tcPr>
            <w:tcW w:w="353" w:type="pct"/>
            <w:tcBorders>
              <w:top w:val="nil"/>
              <w:left w:val="single" w:sz="4" w:space="0" w:color="auto"/>
              <w:bottom w:val="single" w:sz="4" w:space="0" w:color="auto"/>
              <w:right w:val="single" w:sz="4" w:space="0" w:color="auto"/>
            </w:tcBorders>
            <w:shd w:val="clear" w:color="auto" w:fill="auto"/>
            <w:vAlign w:val="bottom"/>
          </w:tcPr>
          <w:p w14:paraId="10956B97" w14:textId="77777777" w:rsidR="00937546" w:rsidRDefault="00937546" w:rsidP="00447817">
            <w:pPr>
              <w:jc w:val="right"/>
              <w:rPr>
                <w:rFonts w:ascii="Calibri" w:hAnsi="Calibri" w:cs="Calibri"/>
                <w:color w:val="000000"/>
              </w:rPr>
            </w:pPr>
            <w:r>
              <w:rPr>
                <w:rFonts w:ascii="Calibri" w:hAnsi="Calibri" w:cs="Calibri"/>
                <w:color w:val="000000"/>
              </w:rPr>
              <w:t>46.4</w:t>
            </w:r>
          </w:p>
        </w:tc>
        <w:tc>
          <w:tcPr>
            <w:tcW w:w="352" w:type="pct"/>
            <w:tcBorders>
              <w:top w:val="nil"/>
              <w:left w:val="single" w:sz="4" w:space="0" w:color="auto"/>
              <w:bottom w:val="single" w:sz="4" w:space="0" w:color="auto"/>
              <w:right w:val="single" w:sz="4" w:space="0" w:color="auto"/>
            </w:tcBorders>
            <w:shd w:val="clear" w:color="auto" w:fill="auto"/>
            <w:vAlign w:val="bottom"/>
          </w:tcPr>
          <w:p w14:paraId="4F4D2ED6" w14:textId="77777777" w:rsidR="00937546" w:rsidRDefault="00937546" w:rsidP="00447817">
            <w:pPr>
              <w:jc w:val="right"/>
              <w:rPr>
                <w:rFonts w:ascii="Calibri" w:hAnsi="Calibri" w:cs="Calibri"/>
                <w:color w:val="000000"/>
              </w:rPr>
            </w:pPr>
            <w:r>
              <w:rPr>
                <w:rFonts w:ascii="Calibri" w:hAnsi="Calibri" w:cs="Calibri"/>
                <w:color w:val="000000"/>
              </w:rPr>
              <w:t>6.3</w:t>
            </w:r>
          </w:p>
        </w:tc>
        <w:tc>
          <w:tcPr>
            <w:tcW w:w="274" w:type="pct"/>
            <w:tcBorders>
              <w:top w:val="nil"/>
              <w:left w:val="single" w:sz="4" w:space="0" w:color="auto"/>
              <w:bottom w:val="single" w:sz="4" w:space="0" w:color="auto"/>
              <w:right w:val="single" w:sz="4" w:space="0" w:color="auto"/>
            </w:tcBorders>
            <w:shd w:val="clear" w:color="auto" w:fill="auto"/>
            <w:vAlign w:val="bottom"/>
          </w:tcPr>
          <w:p w14:paraId="5F0A9D4F" w14:textId="77777777" w:rsidR="00937546" w:rsidRDefault="00937546" w:rsidP="00447817">
            <w:pPr>
              <w:jc w:val="right"/>
              <w:rPr>
                <w:rFonts w:ascii="Calibri" w:hAnsi="Calibri" w:cs="Calibri"/>
                <w:color w:val="000000"/>
              </w:rPr>
            </w:pPr>
            <w:r>
              <w:rPr>
                <w:rFonts w:ascii="Calibri" w:hAnsi="Calibri" w:cs="Calibri"/>
                <w:color w:val="000000"/>
              </w:rPr>
              <w:t>3.3</w:t>
            </w:r>
          </w:p>
        </w:tc>
        <w:tc>
          <w:tcPr>
            <w:tcW w:w="274" w:type="pct"/>
            <w:tcBorders>
              <w:top w:val="nil"/>
              <w:left w:val="single" w:sz="4" w:space="0" w:color="auto"/>
              <w:bottom w:val="single" w:sz="4" w:space="0" w:color="auto"/>
              <w:right w:val="single" w:sz="4" w:space="0" w:color="auto"/>
            </w:tcBorders>
            <w:shd w:val="clear" w:color="auto" w:fill="auto"/>
            <w:vAlign w:val="bottom"/>
          </w:tcPr>
          <w:p w14:paraId="3541CA2C" w14:textId="77777777" w:rsidR="00937546" w:rsidRDefault="00937546" w:rsidP="00447817">
            <w:pPr>
              <w:jc w:val="right"/>
              <w:rPr>
                <w:rFonts w:ascii="Calibri" w:hAnsi="Calibri" w:cs="Calibri"/>
                <w:color w:val="000000"/>
              </w:rPr>
            </w:pPr>
            <w:r>
              <w:rPr>
                <w:rFonts w:ascii="Calibri" w:hAnsi="Calibri" w:cs="Calibri"/>
                <w:color w:val="000000"/>
              </w:rPr>
              <w:t>3.0</w:t>
            </w:r>
          </w:p>
        </w:tc>
        <w:tc>
          <w:tcPr>
            <w:tcW w:w="234" w:type="pct"/>
            <w:tcBorders>
              <w:top w:val="nil"/>
              <w:left w:val="single" w:sz="4" w:space="0" w:color="auto"/>
              <w:bottom w:val="single" w:sz="4" w:space="0" w:color="auto"/>
              <w:right w:val="single" w:sz="4" w:space="0" w:color="auto"/>
            </w:tcBorders>
            <w:shd w:val="clear" w:color="auto" w:fill="auto"/>
            <w:vAlign w:val="bottom"/>
          </w:tcPr>
          <w:p w14:paraId="37F5D818" w14:textId="77777777" w:rsidR="00937546" w:rsidRDefault="00937546" w:rsidP="00447817">
            <w:pPr>
              <w:jc w:val="right"/>
              <w:rPr>
                <w:rFonts w:ascii="Calibri" w:hAnsi="Calibri" w:cs="Calibri"/>
                <w:color w:val="000000"/>
              </w:rPr>
            </w:pPr>
            <w:r>
              <w:rPr>
                <w:rFonts w:ascii="Calibri" w:hAnsi="Calibri" w:cs="Calibri"/>
                <w:color w:val="000000"/>
              </w:rPr>
              <w:t>4750.5</w:t>
            </w:r>
          </w:p>
        </w:tc>
        <w:tc>
          <w:tcPr>
            <w:tcW w:w="313" w:type="pct"/>
            <w:tcBorders>
              <w:top w:val="nil"/>
              <w:left w:val="single" w:sz="4" w:space="0" w:color="auto"/>
              <w:bottom w:val="single" w:sz="4" w:space="0" w:color="auto"/>
              <w:right w:val="single" w:sz="4" w:space="0" w:color="auto"/>
            </w:tcBorders>
            <w:shd w:val="clear" w:color="auto" w:fill="auto"/>
            <w:vAlign w:val="bottom"/>
          </w:tcPr>
          <w:p w14:paraId="6D6FEFF3" w14:textId="77777777" w:rsidR="00937546" w:rsidRDefault="00937546" w:rsidP="00447817">
            <w:pPr>
              <w:jc w:val="right"/>
              <w:rPr>
                <w:rFonts w:ascii="Calibri" w:hAnsi="Calibri" w:cs="Calibri"/>
                <w:color w:val="000000"/>
              </w:rPr>
            </w:pPr>
            <w:r>
              <w:rPr>
                <w:rFonts w:ascii="Calibri" w:hAnsi="Calibri" w:cs="Calibri"/>
                <w:color w:val="000000"/>
              </w:rPr>
              <w:t>2798.8</w:t>
            </w:r>
          </w:p>
        </w:tc>
        <w:tc>
          <w:tcPr>
            <w:tcW w:w="272" w:type="pct"/>
            <w:tcBorders>
              <w:top w:val="nil"/>
              <w:left w:val="single" w:sz="4" w:space="0" w:color="auto"/>
              <w:bottom w:val="single" w:sz="4" w:space="0" w:color="auto"/>
              <w:right w:val="single" w:sz="4" w:space="0" w:color="auto"/>
            </w:tcBorders>
            <w:shd w:val="clear" w:color="auto" w:fill="auto"/>
            <w:vAlign w:val="bottom"/>
          </w:tcPr>
          <w:p w14:paraId="7A55384E" w14:textId="77777777" w:rsidR="00937546" w:rsidRDefault="00937546" w:rsidP="00447817">
            <w:pPr>
              <w:jc w:val="right"/>
              <w:rPr>
                <w:rFonts w:ascii="Calibri" w:hAnsi="Calibri" w:cs="Calibri"/>
                <w:color w:val="000000"/>
              </w:rPr>
            </w:pPr>
            <w:r>
              <w:rPr>
                <w:rFonts w:ascii="Calibri" w:hAnsi="Calibri" w:cs="Calibri"/>
                <w:color w:val="000000"/>
              </w:rPr>
              <w:t>1951.7</w:t>
            </w:r>
          </w:p>
        </w:tc>
        <w:tc>
          <w:tcPr>
            <w:tcW w:w="272" w:type="pct"/>
            <w:tcBorders>
              <w:top w:val="nil"/>
              <w:left w:val="single" w:sz="4" w:space="0" w:color="auto"/>
              <w:bottom w:val="single" w:sz="4" w:space="0" w:color="auto"/>
              <w:right w:val="single" w:sz="4" w:space="0" w:color="auto"/>
            </w:tcBorders>
            <w:shd w:val="clear" w:color="auto" w:fill="auto"/>
            <w:vAlign w:val="bottom"/>
          </w:tcPr>
          <w:p w14:paraId="325E126E" w14:textId="77777777" w:rsidR="00937546" w:rsidRDefault="00937546" w:rsidP="00447817">
            <w:pPr>
              <w:jc w:val="right"/>
              <w:rPr>
                <w:rFonts w:ascii="Calibri" w:hAnsi="Calibri" w:cs="Calibri"/>
                <w:color w:val="000000"/>
              </w:rPr>
            </w:pPr>
            <w:r>
              <w:rPr>
                <w:rFonts w:ascii="Calibri" w:hAnsi="Calibri" w:cs="Calibri"/>
                <w:color w:val="000000"/>
              </w:rPr>
              <w:t>2801.5</w:t>
            </w:r>
          </w:p>
        </w:tc>
        <w:tc>
          <w:tcPr>
            <w:tcW w:w="272" w:type="pct"/>
            <w:tcBorders>
              <w:top w:val="nil"/>
              <w:left w:val="single" w:sz="4" w:space="0" w:color="auto"/>
              <w:bottom w:val="single" w:sz="4" w:space="0" w:color="auto"/>
              <w:right w:val="single" w:sz="4" w:space="0" w:color="auto"/>
            </w:tcBorders>
            <w:shd w:val="clear" w:color="auto" w:fill="auto"/>
            <w:vAlign w:val="bottom"/>
          </w:tcPr>
          <w:p w14:paraId="5DF5D6CF" w14:textId="77777777" w:rsidR="00937546" w:rsidRDefault="00937546" w:rsidP="00447817">
            <w:pPr>
              <w:jc w:val="right"/>
              <w:rPr>
                <w:rFonts w:ascii="Calibri" w:hAnsi="Calibri" w:cs="Calibri"/>
                <w:color w:val="000000"/>
              </w:rPr>
            </w:pPr>
            <w:r>
              <w:rPr>
                <w:rFonts w:ascii="Calibri" w:hAnsi="Calibri" w:cs="Calibri"/>
                <w:color w:val="000000"/>
              </w:rPr>
              <w:t>1985.9</w:t>
            </w:r>
          </w:p>
        </w:tc>
        <w:tc>
          <w:tcPr>
            <w:tcW w:w="269" w:type="pct"/>
            <w:tcBorders>
              <w:top w:val="nil"/>
              <w:left w:val="nil"/>
              <w:bottom w:val="single" w:sz="4" w:space="0" w:color="auto"/>
              <w:right w:val="single" w:sz="4" w:space="0" w:color="auto"/>
            </w:tcBorders>
            <w:shd w:val="clear" w:color="auto" w:fill="auto"/>
            <w:vAlign w:val="bottom"/>
          </w:tcPr>
          <w:p w14:paraId="3B3E9CAA" w14:textId="77777777" w:rsidR="00937546" w:rsidRDefault="00937546" w:rsidP="00447817">
            <w:pPr>
              <w:jc w:val="right"/>
              <w:rPr>
                <w:rFonts w:ascii="Calibri" w:hAnsi="Calibri" w:cs="Calibri"/>
                <w:color w:val="000000"/>
              </w:rPr>
            </w:pPr>
            <w:r>
              <w:rPr>
                <w:rFonts w:ascii="Calibri" w:hAnsi="Calibri" w:cs="Calibri"/>
                <w:color w:val="000000"/>
              </w:rPr>
              <w:t>815.5</w:t>
            </w:r>
          </w:p>
        </w:tc>
      </w:tr>
      <w:tr w:rsidR="008B5959" w:rsidRPr="00E91A88" w14:paraId="720170C1" w14:textId="77777777" w:rsidTr="00447817">
        <w:trPr>
          <w:trHeight w:val="251"/>
        </w:trPr>
        <w:tc>
          <w:tcPr>
            <w:tcW w:w="747" w:type="pct"/>
            <w:noWrap/>
            <w:vAlign w:val="bottom"/>
            <w:hideMark/>
          </w:tcPr>
          <w:p w14:paraId="49042A46" w14:textId="77777777" w:rsidR="00937546" w:rsidRDefault="00937546" w:rsidP="00447817">
            <w:pPr>
              <w:rPr>
                <w:rFonts w:ascii="Calibri" w:hAnsi="Calibri" w:cs="Calibri"/>
                <w:color w:val="000000"/>
              </w:rPr>
            </w:pPr>
            <w:r>
              <w:rPr>
                <w:rFonts w:ascii="Calibri" w:hAnsi="Calibri" w:cs="Calibri"/>
                <w:color w:val="000000"/>
              </w:rPr>
              <w:t>VELLORE</w:t>
            </w:r>
          </w:p>
        </w:tc>
        <w:tc>
          <w:tcPr>
            <w:tcW w:w="311" w:type="pct"/>
            <w:tcBorders>
              <w:top w:val="nil"/>
              <w:left w:val="single" w:sz="4" w:space="0" w:color="auto"/>
              <w:bottom w:val="single" w:sz="4" w:space="0" w:color="auto"/>
              <w:right w:val="single" w:sz="4" w:space="0" w:color="auto"/>
            </w:tcBorders>
            <w:shd w:val="clear" w:color="auto" w:fill="auto"/>
            <w:vAlign w:val="bottom"/>
          </w:tcPr>
          <w:p w14:paraId="3FD68BC8" w14:textId="77777777" w:rsidR="00937546" w:rsidRDefault="00937546" w:rsidP="00447817">
            <w:pPr>
              <w:jc w:val="right"/>
              <w:rPr>
                <w:rFonts w:ascii="Calibri" w:hAnsi="Calibri" w:cs="Calibri"/>
                <w:color w:val="000000"/>
              </w:rPr>
            </w:pPr>
            <w:r>
              <w:rPr>
                <w:rFonts w:ascii="Calibri" w:hAnsi="Calibri" w:cs="Calibri"/>
                <w:color w:val="000000"/>
              </w:rPr>
              <w:t>0.754</w:t>
            </w:r>
          </w:p>
        </w:tc>
        <w:tc>
          <w:tcPr>
            <w:tcW w:w="391" w:type="pct"/>
            <w:tcBorders>
              <w:top w:val="nil"/>
              <w:left w:val="nil"/>
              <w:bottom w:val="single" w:sz="4" w:space="0" w:color="auto"/>
              <w:right w:val="single" w:sz="4" w:space="0" w:color="auto"/>
            </w:tcBorders>
            <w:shd w:val="clear" w:color="auto" w:fill="auto"/>
            <w:vAlign w:val="bottom"/>
          </w:tcPr>
          <w:p w14:paraId="24BD5505" w14:textId="77777777" w:rsidR="00937546" w:rsidRDefault="00937546" w:rsidP="00447817">
            <w:pPr>
              <w:jc w:val="right"/>
              <w:rPr>
                <w:rFonts w:ascii="Calibri" w:hAnsi="Calibri" w:cs="Calibri"/>
                <w:color w:val="000000"/>
              </w:rPr>
            </w:pPr>
            <w:r>
              <w:rPr>
                <w:rFonts w:ascii="Calibri" w:hAnsi="Calibri" w:cs="Calibri"/>
                <w:color w:val="000000"/>
              </w:rPr>
              <w:t>0.78</w:t>
            </w:r>
          </w:p>
        </w:tc>
        <w:tc>
          <w:tcPr>
            <w:tcW w:w="353" w:type="pct"/>
            <w:tcBorders>
              <w:top w:val="nil"/>
              <w:left w:val="nil"/>
              <w:bottom w:val="single" w:sz="4" w:space="0" w:color="auto"/>
              <w:right w:val="single" w:sz="4" w:space="0" w:color="auto"/>
            </w:tcBorders>
            <w:shd w:val="clear" w:color="auto" w:fill="auto"/>
            <w:vAlign w:val="bottom"/>
          </w:tcPr>
          <w:p w14:paraId="0E7360BC" w14:textId="77777777" w:rsidR="00937546" w:rsidRDefault="00937546" w:rsidP="00447817">
            <w:pPr>
              <w:jc w:val="right"/>
              <w:rPr>
                <w:rFonts w:ascii="Calibri" w:hAnsi="Calibri" w:cs="Calibri"/>
                <w:color w:val="000000"/>
              </w:rPr>
            </w:pPr>
            <w:r>
              <w:rPr>
                <w:rFonts w:ascii="Calibri" w:hAnsi="Calibri" w:cs="Calibri"/>
                <w:color w:val="000000"/>
              </w:rPr>
              <w:t>0.695</w:t>
            </w:r>
          </w:p>
        </w:tc>
        <w:tc>
          <w:tcPr>
            <w:tcW w:w="313" w:type="pct"/>
            <w:tcBorders>
              <w:top w:val="nil"/>
              <w:left w:val="nil"/>
              <w:bottom w:val="single" w:sz="4" w:space="0" w:color="auto"/>
              <w:right w:val="single" w:sz="4" w:space="0" w:color="auto"/>
            </w:tcBorders>
            <w:shd w:val="clear" w:color="auto" w:fill="auto"/>
            <w:vAlign w:val="bottom"/>
          </w:tcPr>
          <w:p w14:paraId="7B52BD72" w14:textId="77777777" w:rsidR="00937546" w:rsidRDefault="00937546" w:rsidP="00447817">
            <w:pPr>
              <w:jc w:val="right"/>
              <w:rPr>
                <w:rFonts w:ascii="Calibri" w:hAnsi="Calibri" w:cs="Calibri"/>
                <w:color w:val="000000"/>
              </w:rPr>
            </w:pPr>
            <w:r>
              <w:rPr>
                <w:rFonts w:ascii="Calibri" w:hAnsi="Calibri" w:cs="Calibri"/>
                <w:color w:val="000000"/>
              </w:rPr>
              <w:t>0.742</w:t>
            </w:r>
          </w:p>
        </w:tc>
        <w:tc>
          <w:tcPr>
            <w:tcW w:w="353" w:type="pct"/>
            <w:tcBorders>
              <w:top w:val="nil"/>
              <w:left w:val="single" w:sz="4" w:space="0" w:color="auto"/>
              <w:bottom w:val="single" w:sz="4" w:space="0" w:color="auto"/>
              <w:right w:val="single" w:sz="4" w:space="0" w:color="auto"/>
            </w:tcBorders>
            <w:shd w:val="clear" w:color="auto" w:fill="auto"/>
            <w:vAlign w:val="bottom"/>
          </w:tcPr>
          <w:p w14:paraId="303AC49D" w14:textId="77777777" w:rsidR="00937546" w:rsidRDefault="00937546" w:rsidP="00447817">
            <w:pPr>
              <w:jc w:val="right"/>
              <w:rPr>
                <w:rFonts w:ascii="Calibri" w:hAnsi="Calibri" w:cs="Calibri"/>
                <w:color w:val="000000"/>
              </w:rPr>
            </w:pPr>
            <w:r>
              <w:rPr>
                <w:rFonts w:ascii="Calibri" w:hAnsi="Calibri" w:cs="Calibri"/>
                <w:color w:val="000000"/>
              </w:rPr>
              <w:t>51.3</w:t>
            </w:r>
          </w:p>
        </w:tc>
        <w:tc>
          <w:tcPr>
            <w:tcW w:w="352" w:type="pct"/>
            <w:tcBorders>
              <w:top w:val="nil"/>
              <w:left w:val="single" w:sz="4" w:space="0" w:color="auto"/>
              <w:bottom w:val="single" w:sz="4" w:space="0" w:color="auto"/>
              <w:right w:val="single" w:sz="4" w:space="0" w:color="auto"/>
            </w:tcBorders>
            <w:shd w:val="clear" w:color="auto" w:fill="auto"/>
            <w:vAlign w:val="bottom"/>
          </w:tcPr>
          <w:p w14:paraId="59957ACC" w14:textId="77777777" w:rsidR="00937546" w:rsidRDefault="00937546" w:rsidP="00447817">
            <w:pPr>
              <w:jc w:val="right"/>
              <w:rPr>
                <w:rFonts w:ascii="Calibri" w:hAnsi="Calibri" w:cs="Calibri"/>
                <w:color w:val="000000"/>
              </w:rPr>
            </w:pPr>
            <w:r>
              <w:rPr>
                <w:rFonts w:ascii="Calibri" w:hAnsi="Calibri" w:cs="Calibri"/>
                <w:color w:val="000000"/>
              </w:rPr>
              <w:t>4.1</w:t>
            </w:r>
          </w:p>
        </w:tc>
        <w:tc>
          <w:tcPr>
            <w:tcW w:w="274" w:type="pct"/>
            <w:tcBorders>
              <w:top w:val="nil"/>
              <w:left w:val="single" w:sz="4" w:space="0" w:color="auto"/>
              <w:bottom w:val="single" w:sz="4" w:space="0" w:color="auto"/>
              <w:right w:val="single" w:sz="4" w:space="0" w:color="auto"/>
            </w:tcBorders>
            <w:shd w:val="clear" w:color="auto" w:fill="auto"/>
            <w:vAlign w:val="bottom"/>
          </w:tcPr>
          <w:p w14:paraId="5694D40D" w14:textId="77777777" w:rsidR="00937546" w:rsidRDefault="00937546" w:rsidP="00447817">
            <w:pPr>
              <w:jc w:val="right"/>
              <w:rPr>
                <w:rFonts w:ascii="Calibri" w:hAnsi="Calibri" w:cs="Calibri"/>
                <w:color w:val="000000"/>
              </w:rPr>
            </w:pPr>
            <w:r>
              <w:rPr>
                <w:rFonts w:ascii="Calibri" w:hAnsi="Calibri" w:cs="Calibri"/>
                <w:color w:val="000000"/>
              </w:rPr>
              <w:t>1.7</w:t>
            </w:r>
          </w:p>
        </w:tc>
        <w:tc>
          <w:tcPr>
            <w:tcW w:w="274" w:type="pct"/>
            <w:tcBorders>
              <w:top w:val="nil"/>
              <w:left w:val="single" w:sz="4" w:space="0" w:color="auto"/>
              <w:bottom w:val="single" w:sz="4" w:space="0" w:color="auto"/>
              <w:right w:val="single" w:sz="4" w:space="0" w:color="auto"/>
            </w:tcBorders>
            <w:shd w:val="clear" w:color="auto" w:fill="auto"/>
            <w:vAlign w:val="bottom"/>
          </w:tcPr>
          <w:p w14:paraId="2697DECD" w14:textId="77777777" w:rsidR="00937546" w:rsidRDefault="00937546" w:rsidP="00447817">
            <w:pPr>
              <w:jc w:val="right"/>
              <w:rPr>
                <w:rFonts w:ascii="Calibri" w:hAnsi="Calibri" w:cs="Calibri"/>
                <w:color w:val="000000"/>
              </w:rPr>
            </w:pPr>
            <w:r>
              <w:rPr>
                <w:rFonts w:ascii="Calibri" w:hAnsi="Calibri" w:cs="Calibri"/>
                <w:color w:val="000000"/>
              </w:rPr>
              <w:t>2.4</w:t>
            </w:r>
          </w:p>
        </w:tc>
        <w:tc>
          <w:tcPr>
            <w:tcW w:w="234" w:type="pct"/>
            <w:tcBorders>
              <w:top w:val="nil"/>
              <w:left w:val="single" w:sz="4" w:space="0" w:color="auto"/>
              <w:bottom w:val="single" w:sz="4" w:space="0" w:color="auto"/>
              <w:right w:val="single" w:sz="4" w:space="0" w:color="auto"/>
            </w:tcBorders>
            <w:shd w:val="clear" w:color="auto" w:fill="auto"/>
            <w:vAlign w:val="bottom"/>
          </w:tcPr>
          <w:p w14:paraId="2B4B1D6A" w14:textId="77777777" w:rsidR="00937546" w:rsidRDefault="00937546" w:rsidP="00447817">
            <w:pPr>
              <w:jc w:val="right"/>
              <w:rPr>
                <w:rFonts w:ascii="Calibri" w:hAnsi="Calibri" w:cs="Calibri"/>
                <w:color w:val="000000"/>
              </w:rPr>
            </w:pPr>
            <w:r>
              <w:rPr>
                <w:rFonts w:ascii="Calibri" w:hAnsi="Calibri" w:cs="Calibri"/>
                <w:color w:val="000000"/>
              </w:rPr>
              <w:t>3823.2</w:t>
            </w:r>
          </w:p>
        </w:tc>
        <w:tc>
          <w:tcPr>
            <w:tcW w:w="313" w:type="pct"/>
            <w:tcBorders>
              <w:top w:val="nil"/>
              <w:left w:val="single" w:sz="4" w:space="0" w:color="auto"/>
              <w:bottom w:val="single" w:sz="4" w:space="0" w:color="auto"/>
              <w:right w:val="single" w:sz="4" w:space="0" w:color="auto"/>
            </w:tcBorders>
            <w:shd w:val="clear" w:color="auto" w:fill="auto"/>
            <w:vAlign w:val="bottom"/>
          </w:tcPr>
          <w:p w14:paraId="7BB43529" w14:textId="77777777" w:rsidR="00937546" w:rsidRDefault="00937546" w:rsidP="00447817">
            <w:pPr>
              <w:jc w:val="right"/>
              <w:rPr>
                <w:rFonts w:ascii="Calibri" w:hAnsi="Calibri" w:cs="Calibri"/>
                <w:color w:val="000000"/>
              </w:rPr>
            </w:pPr>
            <w:r>
              <w:rPr>
                <w:rFonts w:ascii="Calibri" w:hAnsi="Calibri" w:cs="Calibri"/>
                <w:color w:val="000000"/>
              </w:rPr>
              <w:t>2266.4</w:t>
            </w:r>
          </w:p>
        </w:tc>
        <w:tc>
          <w:tcPr>
            <w:tcW w:w="272" w:type="pct"/>
            <w:tcBorders>
              <w:top w:val="nil"/>
              <w:left w:val="single" w:sz="4" w:space="0" w:color="auto"/>
              <w:bottom w:val="single" w:sz="4" w:space="0" w:color="auto"/>
              <w:right w:val="single" w:sz="4" w:space="0" w:color="auto"/>
            </w:tcBorders>
            <w:shd w:val="clear" w:color="auto" w:fill="auto"/>
            <w:vAlign w:val="bottom"/>
          </w:tcPr>
          <w:p w14:paraId="4B6854F0" w14:textId="77777777" w:rsidR="00937546" w:rsidRDefault="00937546" w:rsidP="00447817">
            <w:pPr>
              <w:jc w:val="right"/>
              <w:rPr>
                <w:rFonts w:ascii="Calibri" w:hAnsi="Calibri" w:cs="Calibri"/>
                <w:color w:val="000000"/>
              </w:rPr>
            </w:pPr>
            <w:r>
              <w:rPr>
                <w:rFonts w:ascii="Calibri" w:hAnsi="Calibri" w:cs="Calibri"/>
                <w:color w:val="000000"/>
              </w:rPr>
              <w:t>1556.8</w:t>
            </w:r>
          </w:p>
        </w:tc>
        <w:tc>
          <w:tcPr>
            <w:tcW w:w="272" w:type="pct"/>
            <w:tcBorders>
              <w:top w:val="nil"/>
              <w:left w:val="single" w:sz="4" w:space="0" w:color="auto"/>
              <w:bottom w:val="single" w:sz="4" w:space="0" w:color="auto"/>
              <w:right w:val="single" w:sz="4" w:space="0" w:color="auto"/>
            </w:tcBorders>
            <w:shd w:val="clear" w:color="auto" w:fill="auto"/>
            <w:vAlign w:val="bottom"/>
          </w:tcPr>
          <w:p w14:paraId="7C8F5C84" w14:textId="77777777" w:rsidR="00937546" w:rsidRDefault="00937546" w:rsidP="00447817">
            <w:pPr>
              <w:jc w:val="right"/>
              <w:rPr>
                <w:rFonts w:ascii="Calibri" w:hAnsi="Calibri" w:cs="Calibri"/>
                <w:color w:val="000000"/>
              </w:rPr>
            </w:pPr>
            <w:r>
              <w:rPr>
                <w:rFonts w:ascii="Calibri" w:hAnsi="Calibri" w:cs="Calibri"/>
                <w:color w:val="000000"/>
              </w:rPr>
              <w:t>2378.6</w:t>
            </w:r>
          </w:p>
        </w:tc>
        <w:tc>
          <w:tcPr>
            <w:tcW w:w="272" w:type="pct"/>
            <w:tcBorders>
              <w:top w:val="nil"/>
              <w:left w:val="single" w:sz="4" w:space="0" w:color="auto"/>
              <w:bottom w:val="single" w:sz="4" w:space="0" w:color="auto"/>
              <w:right w:val="single" w:sz="4" w:space="0" w:color="auto"/>
            </w:tcBorders>
            <w:shd w:val="clear" w:color="auto" w:fill="auto"/>
            <w:vAlign w:val="bottom"/>
          </w:tcPr>
          <w:p w14:paraId="22DD3249" w14:textId="77777777" w:rsidR="00937546" w:rsidRDefault="00937546" w:rsidP="00447817">
            <w:pPr>
              <w:jc w:val="right"/>
              <w:rPr>
                <w:rFonts w:ascii="Calibri" w:hAnsi="Calibri" w:cs="Calibri"/>
                <w:color w:val="000000"/>
              </w:rPr>
            </w:pPr>
            <w:r>
              <w:rPr>
                <w:rFonts w:ascii="Calibri" w:hAnsi="Calibri" w:cs="Calibri"/>
                <w:color w:val="000000"/>
              </w:rPr>
              <w:t>1338.2</w:t>
            </w:r>
          </w:p>
        </w:tc>
        <w:tc>
          <w:tcPr>
            <w:tcW w:w="269" w:type="pct"/>
            <w:tcBorders>
              <w:top w:val="nil"/>
              <w:left w:val="nil"/>
              <w:bottom w:val="single" w:sz="4" w:space="0" w:color="auto"/>
              <w:right w:val="single" w:sz="4" w:space="0" w:color="auto"/>
            </w:tcBorders>
            <w:shd w:val="clear" w:color="auto" w:fill="auto"/>
            <w:vAlign w:val="bottom"/>
          </w:tcPr>
          <w:p w14:paraId="1ADED797" w14:textId="77777777" w:rsidR="00937546" w:rsidRDefault="00937546" w:rsidP="00447817">
            <w:pPr>
              <w:jc w:val="right"/>
              <w:rPr>
                <w:rFonts w:ascii="Calibri" w:hAnsi="Calibri" w:cs="Calibri"/>
                <w:color w:val="000000"/>
              </w:rPr>
            </w:pPr>
            <w:r>
              <w:rPr>
                <w:rFonts w:ascii="Calibri" w:hAnsi="Calibri" w:cs="Calibri"/>
                <w:color w:val="000000"/>
              </w:rPr>
              <w:t>1040.5</w:t>
            </w:r>
          </w:p>
        </w:tc>
      </w:tr>
      <w:tr w:rsidR="008B5959" w:rsidRPr="00E91A88" w14:paraId="15177691" w14:textId="77777777" w:rsidTr="00447817">
        <w:trPr>
          <w:trHeight w:val="251"/>
        </w:trPr>
        <w:tc>
          <w:tcPr>
            <w:tcW w:w="747" w:type="pct"/>
            <w:noWrap/>
            <w:vAlign w:val="bottom"/>
            <w:hideMark/>
          </w:tcPr>
          <w:p w14:paraId="3C4F7F18" w14:textId="77777777" w:rsidR="00937546" w:rsidRDefault="00937546" w:rsidP="00447817">
            <w:pPr>
              <w:rPr>
                <w:rFonts w:ascii="Calibri" w:hAnsi="Calibri" w:cs="Calibri"/>
                <w:color w:val="000000"/>
              </w:rPr>
            </w:pPr>
            <w:r>
              <w:rPr>
                <w:rFonts w:ascii="Calibri" w:hAnsi="Calibri" w:cs="Calibri"/>
                <w:color w:val="000000"/>
              </w:rPr>
              <w:t>VILLUPURAM</w:t>
            </w:r>
          </w:p>
        </w:tc>
        <w:tc>
          <w:tcPr>
            <w:tcW w:w="311" w:type="pct"/>
            <w:tcBorders>
              <w:top w:val="nil"/>
              <w:left w:val="single" w:sz="4" w:space="0" w:color="auto"/>
              <w:bottom w:val="single" w:sz="4" w:space="0" w:color="auto"/>
              <w:right w:val="single" w:sz="4" w:space="0" w:color="auto"/>
            </w:tcBorders>
            <w:shd w:val="clear" w:color="auto" w:fill="auto"/>
            <w:vAlign w:val="bottom"/>
          </w:tcPr>
          <w:p w14:paraId="50CB939C" w14:textId="77777777" w:rsidR="00937546" w:rsidRDefault="00937546" w:rsidP="00447817">
            <w:pPr>
              <w:jc w:val="right"/>
              <w:rPr>
                <w:rFonts w:ascii="Calibri" w:hAnsi="Calibri" w:cs="Calibri"/>
                <w:color w:val="000000"/>
              </w:rPr>
            </w:pPr>
            <w:r>
              <w:rPr>
                <w:rFonts w:ascii="Calibri" w:hAnsi="Calibri" w:cs="Calibri"/>
                <w:color w:val="000000"/>
              </w:rPr>
              <w:t>0.412</w:t>
            </w:r>
          </w:p>
        </w:tc>
        <w:tc>
          <w:tcPr>
            <w:tcW w:w="391" w:type="pct"/>
            <w:tcBorders>
              <w:top w:val="nil"/>
              <w:left w:val="nil"/>
              <w:bottom w:val="single" w:sz="4" w:space="0" w:color="auto"/>
              <w:right w:val="single" w:sz="4" w:space="0" w:color="auto"/>
            </w:tcBorders>
            <w:shd w:val="clear" w:color="auto" w:fill="auto"/>
            <w:vAlign w:val="bottom"/>
          </w:tcPr>
          <w:p w14:paraId="2CEAA3FC" w14:textId="77777777" w:rsidR="00937546" w:rsidRDefault="00937546" w:rsidP="00447817">
            <w:pPr>
              <w:jc w:val="right"/>
              <w:rPr>
                <w:rFonts w:ascii="Calibri" w:hAnsi="Calibri" w:cs="Calibri"/>
                <w:color w:val="000000"/>
              </w:rPr>
            </w:pPr>
            <w:r>
              <w:rPr>
                <w:rFonts w:ascii="Calibri" w:hAnsi="Calibri" w:cs="Calibri"/>
                <w:color w:val="000000"/>
              </w:rPr>
              <w:t>0.763</w:t>
            </w:r>
          </w:p>
        </w:tc>
        <w:tc>
          <w:tcPr>
            <w:tcW w:w="353" w:type="pct"/>
            <w:tcBorders>
              <w:top w:val="nil"/>
              <w:left w:val="nil"/>
              <w:bottom w:val="single" w:sz="4" w:space="0" w:color="auto"/>
              <w:right w:val="single" w:sz="4" w:space="0" w:color="auto"/>
            </w:tcBorders>
            <w:shd w:val="clear" w:color="auto" w:fill="auto"/>
            <w:vAlign w:val="bottom"/>
          </w:tcPr>
          <w:p w14:paraId="40A1CBFF" w14:textId="77777777" w:rsidR="00937546" w:rsidRDefault="00937546" w:rsidP="00447817">
            <w:pPr>
              <w:jc w:val="right"/>
              <w:rPr>
                <w:rFonts w:ascii="Calibri" w:hAnsi="Calibri" w:cs="Calibri"/>
                <w:color w:val="000000"/>
              </w:rPr>
            </w:pPr>
            <w:r>
              <w:rPr>
                <w:rFonts w:ascii="Calibri" w:hAnsi="Calibri" w:cs="Calibri"/>
                <w:color w:val="000000"/>
              </w:rPr>
              <w:t>0.563</w:t>
            </w:r>
          </w:p>
        </w:tc>
        <w:tc>
          <w:tcPr>
            <w:tcW w:w="313" w:type="pct"/>
            <w:tcBorders>
              <w:top w:val="nil"/>
              <w:left w:val="nil"/>
              <w:bottom w:val="single" w:sz="4" w:space="0" w:color="auto"/>
              <w:right w:val="single" w:sz="4" w:space="0" w:color="auto"/>
            </w:tcBorders>
            <w:shd w:val="clear" w:color="auto" w:fill="auto"/>
            <w:vAlign w:val="bottom"/>
          </w:tcPr>
          <w:p w14:paraId="1A1BBA20" w14:textId="77777777" w:rsidR="00937546" w:rsidRDefault="00937546" w:rsidP="00447817">
            <w:pPr>
              <w:jc w:val="right"/>
              <w:rPr>
                <w:rFonts w:ascii="Calibri" w:hAnsi="Calibri" w:cs="Calibri"/>
                <w:color w:val="000000"/>
              </w:rPr>
            </w:pPr>
            <w:r>
              <w:rPr>
                <w:rFonts w:ascii="Calibri" w:hAnsi="Calibri" w:cs="Calibri"/>
                <w:color w:val="000000"/>
              </w:rPr>
              <w:t>0.561</w:t>
            </w:r>
          </w:p>
        </w:tc>
        <w:tc>
          <w:tcPr>
            <w:tcW w:w="353" w:type="pct"/>
            <w:tcBorders>
              <w:top w:val="nil"/>
              <w:left w:val="single" w:sz="4" w:space="0" w:color="auto"/>
              <w:bottom w:val="single" w:sz="4" w:space="0" w:color="auto"/>
              <w:right w:val="single" w:sz="4" w:space="0" w:color="auto"/>
            </w:tcBorders>
            <w:shd w:val="clear" w:color="auto" w:fill="auto"/>
            <w:vAlign w:val="bottom"/>
          </w:tcPr>
          <w:p w14:paraId="34C011DA" w14:textId="77777777" w:rsidR="00937546" w:rsidRDefault="00937546" w:rsidP="00447817">
            <w:pPr>
              <w:jc w:val="right"/>
              <w:rPr>
                <w:rFonts w:ascii="Calibri" w:hAnsi="Calibri" w:cs="Calibri"/>
                <w:color w:val="000000"/>
              </w:rPr>
            </w:pPr>
            <w:r>
              <w:rPr>
                <w:rFonts w:ascii="Calibri" w:hAnsi="Calibri" w:cs="Calibri"/>
                <w:color w:val="000000"/>
              </w:rPr>
              <w:t>61.2</w:t>
            </w:r>
          </w:p>
        </w:tc>
        <w:tc>
          <w:tcPr>
            <w:tcW w:w="352" w:type="pct"/>
            <w:tcBorders>
              <w:top w:val="nil"/>
              <w:left w:val="single" w:sz="4" w:space="0" w:color="auto"/>
              <w:bottom w:val="single" w:sz="4" w:space="0" w:color="auto"/>
              <w:right w:val="single" w:sz="4" w:space="0" w:color="auto"/>
            </w:tcBorders>
            <w:shd w:val="clear" w:color="auto" w:fill="auto"/>
            <w:vAlign w:val="bottom"/>
          </w:tcPr>
          <w:p w14:paraId="4779A2D3" w14:textId="77777777" w:rsidR="00937546" w:rsidRDefault="00937546" w:rsidP="00447817">
            <w:pPr>
              <w:jc w:val="right"/>
              <w:rPr>
                <w:rFonts w:ascii="Calibri" w:hAnsi="Calibri" w:cs="Calibri"/>
                <w:color w:val="000000"/>
              </w:rPr>
            </w:pPr>
            <w:r>
              <w:rPr>
                <w:rFonts w:ascii="Calibri" w:hAnsi="Calibri" w:cs="Calibri"/>
                <w:color w:val="000000"/>
              </w:rPr>
              <w:t>2.7</w:t>
            </w:r>
          </w:p>
        </w:tc>
        <w:tc>
          <w:tcPr>
            <w:tcW w:w="274" w:type="pct"/>
            <w:tcBorders>
              <w:top w:val="nil"/>
              <w:left w:val="single" w:sz="4" w:space="0" w:color="auto"/>
              <w:bottom w:val="single" w:sz="4" w:space="0" w:color="auto"/>
              <w:right w:val="single" w:sz="4" w:space="0" w:color="auto"/>
            </w:tcBorders>
            <w:shd w:val="clear" w:color="auto" w:fill="auto"/>
            <w:vAlign w:val="bottom"/>
          </w:tcPr>
          <w:p w14:paraId="20684F32" w14:textId="77777777" w:rsidR="00937546" w:rsidRDefault="00937546" w:rsidP="00447817">
            <w:pPr>
              <w:jc w:val="right"/>
              <w:rPr>
                <w:rFonts w:ascii="Calibri" w:hAnsi="Calibri" w:cs="Calibri"/>
                <w:color w:val="000000"/>
              </w:rPr>
            </w:pPr>
            <w:r>
              <w:rPr>
                <w:rFonts w:ascii="Calibri" w:hAnsi="Calibri" w:cs="Calibri"/>
                <w:color w:val="000000"/>
              </w:rPr>
              <w:t>0.9</w:t>
            </w:r>
          </w:p>
        </w:tc>
        <w:tc>
          <w:tcPr>
            <w:tcW w:w="274" w:type="pct"/>
            <w:tcBorders>
              <w:top w:val="nil"/>
              <w:left w:val="single" w:sz="4" w:space="0" w:color="auto"/>
              <w:bottom w:val="single" w:sz="4" w:space="0" w:color="auto"/>
              <w:right w:val="single" w:sz="4" w:space="0" w:color="auto"/>
            </w:tcBorders>
            <w:shd w:val="clear" w:color="auto" w:fill="auto"/>
            <w:vAlign w:val="bottom"/>
          </w:tcPr>
          <w:p w14:paraId="5CB30322" w14:textId="77777777" w:rsidR="00937546" w:rsidRDefault="00937546" w:rsidP="00447817">
            <w:pPr>
              <w:jc w:val="right"/>
              <w:rPr>
                <w:rFonts w:ascii="Calibri" w:hAnsi="Calibri" w:cs="Calibri"/>
                <w:color w:val="000000"/>
              </w:rPr>
            </w:pPr>
            <w:r>
              <w:rPr>
                <w:rFonts w:ascii="Calibri" w:hAnsi="Calibri" w:cs="Calibri"/>
                <w:color w:val="000000"/>
              </w:rPr>
              <w:t>1.8</w:t>
            </w:r>
          </w:p>
        </w:tc>
        <w:tc>
          <w:tcPr>
            <w:tcW w:w="234" w:type="pct"/>
            <w:tcBorders>
              <w:top w:val="nil"/>
              <w:left w:val="single" w:sz="4" w:space="0" w:color="auto"/>
              <w:bottom w:val="single" w:sz="4" w:space="0" w:color="auto"/>
              <w:right w:val="single" w:sz="4" w:space="0" w:color="auto"/>
            </w:tcBorders>
            <w:shd w:val="clear" w:color="auto" w:fill="auto"/>
            <w:vAlign w:val="bottom"/>
          </w:tcPr>
          <w:p w14:paraId="5A8C249D" w14:textId="77777777" w:rsidR="00937546" w:rsidRDefault="00937546" w:rsidP="00447817">
            <w:pPr>
              <w:jc w:val="right"/>
              <w:rPr>
                <w:rFonts w:ascii="Calibri" w:hAnsi="Calibri" w:cs="Calibri"/>
                <w:color w:val="000000"/>
              </w:rPr>
            </w:pPr>
            <w:r>
              <w:rPr>
                <w:rFonts w:ascii="Calibri" w:hAnsi="Calibri" w:cs="Calibri"/>
                <w:color w:val="000000"/>
              </w:rPr>
              <w:t>3659.3</w:t>
            </w:r>
          </w:p>
        </w:tc>
        <w:tc>
          <w:tcPr>
            <w:tcW w:w="313" w:type="pct"/>
            <w:tcBorders>
              <w:top w:val="nil"/>
              <w:left w:val="single" w:sz="4" w:space="0" w:color="auto"/>
              <w:bottom w:val="single" w:sz="4" w:space="0" w:color="auto"/>
              <w:right w:val="single" w:sz="4" w:space="0" w:color="auto"/>
            </w:tcBorders>
            <w:shd w:val="clear" w:color="auto" w:fill="auto"/>
            <w:vAlign w:val="bottom"/>
          </w:tcPr>
          <w:p w14:paraId="4D657F24" w14:textId="77777777" w:rsidR="00937546" w:rsidRDefault="00937546" w:rsidP="00447817">
            <w:pPr>
              <w:jc w:val="right"/>
              <w:rPr>
                <w:rFonts w:ascii="Calibri" w:hAnsi="Calibri" w:cs="Calibri"/>
                <w:color w:val="000000"/>
              </w:rPr>
            </w:pPr>
            <w:r>
              <w:rPr>
                <w:rFonts w:ascii="Calibri" w:hAnsi="Calibri" w:cs="Calibri"/>
                <w:color w:val="000000"/>
              </w:rPr>
              <w:t>1531.7</w:t>
            </w:r>
          </w:p>
        </w:tc>
        <w:tc>
          <w:tcPr>
            <w:tcW w:w="272" w:type="pct"/>
            <w:tcBorders>
              <w:top w:val="nil"/>
              <w:left w:val="single" w:sz="4" w:space="0" w:color="auto"/>
              <w:bottom w:val="single" w:sz="4" w:space="0" w:color="auto"/>
              <w:right w:val="single" w:sz="4" w:space="0" w:color="auto"/>
            </w:tcBorders>
            <w:shd w:val="clear" w:color="auto" w:fill="auto"/>
            <w:vAlign w:val="bottom"/>
          </w:tcPr>
          <w:p w14:paraId="49CB5554" w14:textId="77777777" w:rsidR="00937546" w:rsidRDefault="00937546" w:rsidP="00447817">
            <w:pPr>
              <w:jc w:val="right"/>
              <w:rPr>
                <w:rFonts w:ascii="Calibri" w:hAnsi="Calibri" w:cs="Calibri"/>
                <w:color w:val="000000"/>
              </w:rPr>
            </w:pPr>
            <w:r>
              <w:rPr>
                <w:rFonts w:ascii="Calibri" w:hAnsi="Calibri" w:cs="Calibri"/>
                <w:color w:val="000000"/>
              </w:rPr>
              <w:t>2127.6</w:t>
            </w:r>
          </w:p>
        </w:tc>
        <w:tc>
          <w:tcPr>
            <w:tcW w:w="272" w:type="pct"/>
            <w:tcBorders>
              <w:top w:val="nil"/>
              <w:left w:val="single" w:sz="4" w:space="0" w:color="auto"/>
              <w:bottom w:val="single" w:sz="4" w:space="0" w:color="auto"/>
              <w:right w:val="single" w:sz="4" w:space="0" w:color="auto"/>
            </w:tcBorders>
            <w:shd w:val="clear" w:color="auto" w:fill="auto"/>
            <w:vAlign w:val="bottom"/>
          </w:tcPr>
          <w:p w14:paraId="18955BC6" w14:textId="77777777" w:rsidR="00937546" w:rsidRDefault="00937546" w:rsidP="00447817">
            <w:pPr>
              <w:jc w:val="right"/>
              <w:rPr>
                <w:rFonts w:ascii="Calibri" w:hAnsi="Calibri" w:cs="Calibri"/>
                <w:color w:val="000000"/>
              </w:rPr>
            </w:pPr>
            <w:r>
              <w:rPr>
                <w:rFonts w:ascii="Calibri" w:hAnsi="Calibri" w:cs="Calibri"/>
                <w:color w:val="000000"/>
              </w:rPr>
              <w:t>1483.6</w:t>
            </w:r>
          </w:p>
        </w:tc>
        <w:tc>
          <w:tcPr>
            <w:tcW w:w="272" w:type="pct"/>
            <w:tcBorders>
              <w:top w:val="nil"/>
              <w:left w:val="single" w:sz="4" w:space="0" w:color="auto"/>
              <w:bottom w:val="single" w:sz="4" w:space="0" w:color="auto"/>
              <w:right w:val="single" w:sz="4" w:space="0" w:color="auto"/>
            </w:tcBorders>
            <w:shd w:val="clear" w:color="auto" w:fill="auto"/>
            <w:vAlign w:val="bottom"/>
          </w:tcPr>
          <w:p w14:paraId="34EE6FC1" w14:textId="77777777" w:rsidR="00937546" w:rsidRDefault="00937546" w:rsidP="00447817">
            <w:pPr>
              <w:jc w:val="right"/>
              <w:rPr>
                <w:rFonts w:ascii="Calibri" w:hAnsi="Calibri" w:cs="Calibri"/>
                <w:color w:val="000000"/>
              </w:rPr>
            </w:pPr>
            <w:r>
              <w:rPr>
                <w:rFonts w:ascii="Calibri" w:hAnsi="Calibri" w:cs="Calibri"/>
                <w:color w:val="000000"/>
              </w:rPr>
              <w:t>956.2</w:t>
            </w:r>
          </w:p>
        </w:tc>
        <w:tc>
          <w:tcPr>
            <w:tcW w:w="269" w:type="pct"/>
            <w:tcBorders>
              <w:top w:val="nil"/>
              <w:left w:val="nil"/>
              <w:bottom w:val="single" w:sz="4" w:space="0" w:color="auto"/>
              <w:right w:val="single" w:sz="4" w:space="0" w:color="auto"/>
            </w:tcBorders>
            <w:shd w:val="clear" w:color="auto" w:fill="auto"/>
            <w:vAlign w:val="bottom"/>
          </w:tcPr>
          <w:p w14:paraId="3A421B20" w14:textId="77777777" w:rsidR="00937546" w:rsidRDefault="00937546" w:rsidP="00447817">
            <w:pPr>
              <w:jc w:val="right"/>
              <w:rPr>
                <w:rFonts w:ascii="Calibri" w:hAnsi="Calibri" w:cs="Calibri"/>
                <w:color w:val="000000"/>
              </w:rPr>
            </w:pPr>
            <w:r>
              <w:rPr>
                <w:rFonts w:ascii="Calibri" w:hAnsi="Calibri" w:cs="Calibri"/>
                <w:color w:val="000000"/>
              </w:rPr>
              <w:t>527.5</w:t>
            </w:r>
          </w:p>
        </w:tc>
      </w:tr>
      <w:tr w:rsidR="008B5959" w:rsidRPr="00E91A88" w14:paraId="62604747" w14:textId="77777777" w:rsidTr="00447817">
        <w:trPr>
          <w:trHeight w:val="251"/>
        </w:trPr>
        <w:tc>
          <w:tcPr>
            <w:tcW w:w="747" w:type="pct"/>
            <w:noWrap/>
            <w:vAlign w:val="bottom"/>
            <w:hideMark/>
          </w:tcPr>
          <w:p w14:paraId="402C4748" w14:textId="77777777" w:rsidR="00937546" w:rsidRDefault="00937546" w:rsidP="00447817">
            <w:pPr>
              <w:rPr>
                <w:rFonts w:ascii="Calibri" w:hAnsi="Calibri" w:cs="Calibri"/>
                <w:color w:val="000000"/>
              </w:rPr>
            </w:pPr>
            <w:r>
              <w:rPr>
                <w:rFonts w:ascii="Calibri" w:hAnsi="Calibri" w:cs="Calibri"/>
                <w:color w:val="000000"/>
              </w:rPr>
              <w:t>VIRUDHUNAGAR</w:t>
            </w:r>
          </w:p>
        </w:tc>
        <w:tc>
          <w:tcPr>
            <w:tcW w:w="311" w:type="pct"/>
            <w:tcBorders>
              <w:top w:val="nil"/>
              <w:left w:val="single" w:sz="4" w:space="0" w:color="auto"/>
              <w:bottom w:val="single" w:sz="4" w:space="0" w:color="auto"/>
              <w:right w:val="single" w:sz="4" w:space="0" w:color="auto"/>
            </w:tcBorders>
            <w:shd w:val="clear" w:color="auto" w:fill="auto"/>
            <w:vAlign w:val="bottom"/>
          </w:tcPr>
          <w:p w14:paraId="7DB76E3E" w14:textId="77777777" w:rsidR="00937546" w:rsidRDefault="00937546" w:rsidP="00447817">
            <w:pPr>
              <w:jc w:val="right"/>
              <w:rPr>
                <w:rFonts w:ascii="Calibri" w:hAnsi="Calibri" w:cs="Calibri"/>
                <w:color w:val="000000"/>
              </w:rPr>
            </w:pPr>
            <w:r>
              <w:rPr>
                <w:rFonts w:ascii="Calibri" w:hAnsi="Calibri" w:cs="Calibri"/>
                <w:color w:val="000000"/>
              </w:rPr>
              <w:t>0.944</w:t>
            </w:r>
          </w:p>
        </w:tc>
        <w:tc>
          <w:tcPr>
            <w:tcW w:w="391" w:type="pct"/>
            <w:tcBorders>
              <w:top w:val="nil"/>
              <w:left w:val="nil"/>
              <w:bottom w:val="single" w:sz="4" w:space="0" w:color="auto"/>
              <w:right w:val="single" w:sz="4" w:space="0" w:color="auto"/>
            </w:tcBorders>
            <w:shd w:val="clear" w:color="auto" w:fill="auto"/>
            <w:vAlign w:val="bottom"/>
          </w:tcPr>
          <w:p w14:paraId="010D3F9B" w14:textId="77777777" w:rsidR="00937546" w:rsidRDefault="00937546" w:rsidP="00447817">
            <w:pPr>
              <w:jc w:val="right"/>
              <w:rPr>
                <w:rFonts w:ascii="Calibri" w:hAnsi="Calibri" w:cs="Calibri"/>
                <w:color w:val="000000"/>
              </w:rPr>
            </w:pPr>
            <w:r>
              <w:rPr>
                <w:rFonts w:ascii="Calibri" w:hAnsi="Calibri" w:cs="Calibri"/>
                <w:color w:val="000000"/>
              </w:rPr>
              <w:t>0.85</w:t>
            </w:r>
          </w:p>
        </w:tc>
        <w:tc>
          <w:tcPr>
            <w:tcW w:w="353" w:type="pct"/>
            <w:tcBorders>
              <w:top w:val="nil"/>
              <w:left w:val="nil"/>
              <w:bottom w:val="single" w:sz="4" w:space="0" w:color="auto"/>
              <w:right w:val="single" w:sz="4" w:space="0" w:color="auto"/>
            </w:tcBorders>
            <w:shd w:val="clear" w:color="auto" w:fill="auto"/>
            <w:vAlign w:val="bottom"/>
          </w:tcPr>
          <w:p w14:paraId="744DD32E" w14:textId="77777777" w:rsidR="00937546" w:rsidRDefault="00937546" w:rsidP="00447817">
            <w:pPr>
              <w:jc w:val="right"/>
              <w:rPr>
                <w:rFonts w:ascii="Calibri" w:hAnsi="Calibri" w:cs="Calibri"/>
                <w:color w:val="000000"/>
              </w:rPr>
            </w:pPr>
            <w:r>
              <w:rPr>
                <w:rFonts w:ascii="Calibri" w:hAnsi="Calibri" w:cs="Calibri"/>
                <w:color w:val="000000"/>
              </w:rPr>
              <w:t>0.78</w:t>
            </w:r>
          </w:p>
        </w:tc>
        <w:tc>
          <w:tcPr>
            <w:tcW w:w="313" w:type="pct"/>
            <w:tcBorders>
              <w:top w:val="nil"/>
              <w:left w:val="nil"/>
              <w:bottom w:val="single" w:sz="4" w:space="0" w:color="auto"/>
              <w:right w:val="single" w:sz="4" w:space="0" w:color="auto"/>
            </w:tcBorders>
            <w:shd w:val="clear" w:color="auto" w:fill="auto"/>
            <w:vAlign w:val="bottom"/>
          </w:tcPr>
          <w:p w14:paraId="68AB7C8D" w14:textId="77777777" w:rsidR="00937546" w:rsidRDefault="00937546" w:rsidP="00447817">
            <w:pPr>
              <w:jc w:val="right"/>
              <w:rPr>
                <w:rFonts w:ascii="Calibri" w:hAnsi="Calibri" w:cs="Calibri"/>
                <w:color w:val="000000"/>
              </w:rPr>
            </w:pPr>
            <w:r>
              <w:rPr>
                <w:rFonts w:ascii="Calibri" w:hAnsi="Calibri" w:cs="Calibri"/>
                <w:color w:val="000000"/>
              </w:rPr>
              <w:t>0.855</w:t>
            </w:r>
          </w:p>
        </w:tc>
        <w:tc>
          <w:tcPr>
            <w:tcW w:w="353" w:type="pct"/>
            <w:tcBorders>
              <w:top w:val="nil"/>
              <w:left w:val="single" w:sz="4" w:space="0" w:color="auto"/>
              <w:bottom w:val="single" w:sz="4" w:space="0" w:color="auto"/>
              <w:right w:val="single" w:sz="4" w:space="0" w:color="auto"/>
            </w:tcBorders>
            <w:shd w:val="clear" w:color="auto" w:fill="auto"/>
            <w:vAlign w:val="bottom"/>
          </w:tcPr>
          <w:p w14:paraId="15D627BC" w14:textId="77777777" w:rsidR="00937546" w:rsidRDefault="00937546" w:rsidP="00447817">
            <w:pPr>
              <w:jc w:val="right"/>
              <w:rPr>
                <w:rFonts w:ascii="Calibri" w:hAnsi="Calibri" w:cs="Calibri"/>
                <w:color w:val="000000"/>
              </w:rPr>
            </w:pPr>
            <w:r>
              <w:rPr>
                <w:rFonts w:ascii="Calibri" w:hAnsi="Calibri" w:cs="Calibri"/>
                <w:color w:val="000000"/>
              </w:rPr>
              <w:t>53.3</w:t>
            </w:r>
          </w:p>
        </w:tc>
        <w:tc>
          <w:tcPr>
            <w:tcW w:w="352" w:type="pct"/>
            <w:tcBorders>
              <w:top w:val="nil"/>
              <w:left w:val="single" w:sz="4" w:space="0" w:color="auto"/>
              <w:bottom w:val="single" w:sz="4" w:space="0" w:color="auto"/>
              <w:right w:val="single" w:sz="4" w:space="0" w:color="auto"/>
            </w:tcBorders>
            <w:shd w:val="clear" w:color="auto" w:fill="auto"/>
            <w:vAlign w:val="bottom"/>
          </w:tcPr>
          <w:p w14:paraId="53BF0A19" w14:textId="77777777" w:rsidR="00937546" w:rsidRDefault="00937546" w:rsidP="00447817">
            <w:pPr>
              <w:jc w:val="right"/>
              <w:rPr>
                <w:rFonts w:ascii="Calibri" w:hAnsi="Calibri" w:cs="Calibri"/>
                <w:color w:val="000000"/>
              </w:rPr>
            </w:pPr>
            <w:r>
              <w:rPr>
                <w:rFonts w:ascii="Calibri" w:hAnsi="Calibri" w:cs="Calibri"/>
                <w:color w:val="000000"/>
              </w:rPr>
              <w:t>7.8</w:t>
            </w:r>
          </w:p>
        </w:tc>
        <w:tc>
          <w:tcPr>
            <w:tcW w:w="274" w:type="pct"/>
            <w:tcBorders>
              <w:top w:val="nil"/>
              <w:left w:val="single" w:sz="4" w:space="0" w:color="auto"/>
              <w:bottom w:val="single" w:sz="4" w:space="0" w:color="auto"/>
              <w:right w:val="single" w:sz="4" w:space="0" w:color="auto"/>
            </w:tcBorders>
            <w:shd w:val="clear" w:color="auto" w:fill="auto"/>
            <w:vAlign w:val="bottom"/>
          </w:tcPr>
          <w:p w14:paraId="62F340C3" w14:textId="77777777" w:rsidR="00937546" w:rsidRDefault="00937546" w:rsidP="00447817">
            <w:pPr>
              <w:jc w:val="right"/>
              <w:rPr>
                <w:rFonts w:ascii="Calibri" w:hAnsi="Calibri" w:cs="Calibri"/>
                <w:color w:val="000000"/>
              </w:rPr>
            </w:pPr>
            <w:r>
              <w:rPr>
                <w:rFonts w:ascii="Calibri" w:hAnsi="Calibri" w:cs="Calibri"/>
                <w:color w:val="000000"/>
              </w:rPr>
              <w:t>2.9</w:t>
            </w:r>
          </w:p>
        </w:tc>
        <w:tc>
          <w:tcPr>
            <w:tcW w:w="274" w:type="pct"/>
            <w:tcBorders>
              <w:top w:val="nil"/>
              <w:left w:val="single" w:sz="4" w:space="0" w:color="auto"/>
              <w:bottom w:val="single" w:sz="4" w:space="0" w:color="auto"/>
              <w:right w:val="single" w:sz="4" w:space="0" w:color="auto"/>
            </w:tcBorders>
            <w:shd w:val="clear" w:color="auto" w:fill="auto"/>
            <w:vAlign w:val="bottom"/>
          </w:tcPr>
          <w:p w14:paraId="29087752" w14:textId="77777777" w:rsidR="00937546" w:rsidRDefault="00937546" w:rsidP="00447817">
            <w:pPr>
              <w:jc w:val="right"/>
              <w:rPr>
                <w:rFonts w:ascii="Calibri" w:hAnsi="Calibri" w:cs="Calibri"/>
                <w:color w:val="000000"/>
              </w:rPr>
            </w:pPr>
            <w:r>
              <w:rPr>
                <w:rFonts w:ascii="Calibri" w:hAnsi="Calibri" w:cs="Calibri"/>
                <w:color w:val="000000"/>
              </w:rPr>
              <w:t>5.0</w:t>
            </w:r>
          </w:p>
        </w:tc>
        <w:tc>
          <w:tcPr>
            <w:tcW w:w="234" w:type="pct"/>
            <w:tcBorders>
              <w:top w:val="nil"/>
              <w:left w:val="single" w:sz="4" w:space="0" w:color="auto"/>
              <w:bottom w:val="single" w:sz="4" w:space="0" w:color="auto"/>
              <w:right w:val="single" w:sz="4" w:space="0" w:color="auto"/>
            </w:tcBorders>
            <w:shd w:val="clear" w:color="auto" w:fill="auto"/>
            <w:vAlign w:val="bottom"/>
          </w:tcPr>
          <w:p w14:paraId="44D64FA4" w14:textId="77777777" w:rsidR="00937546" w:rsidRDefault="00937546" w:rsidP="00447817">
            <w:pPr>
              <w:jc w:val="right"/>
              <w:rPr>
                <w:rFonts w:ascii="Calibri" w:hAnsi="Calibri" w:cs="Calibri"/>
                <w:color w:val="000000"/>
              </w:rPr>
            </w:pPr>
            <w:r>
              <w:rPr>
                <w:rFonts w:ascii="Calibri" w:hAnsi="Calibri" w:cs="Calibri"/>
                <w:color w:val="000000"/>
              </w:rPr>
              <w:t>4039.7</w:t>
            </w:r>
          </w:p>
        </w:tc>
        <w:tc>
          <w:tcPr>
            <w:tcW w:w="313" w:type="pct"/>
            <w:tcBorders>
              <w:top w:val="nil"/>
              <w:left w:val="single" w:sz="4" w:space="0" w:color="auto"/>
              <w:bottom w:val="single" w:sz="4" w:space="0" w:color="auto"/>
              <w:right w:val="single" w:sz="4" w:space="0" w:color="auto"/>
            </w:tcBorders>
            <w:shd w:val="clear" w:color="auto" w:fill="auto"/>
            <w:vAlign w:val="bottom"/>
          </w:tcPr>
          <w:p w14:paraId="6CBA3206" w14:textId="77777777" w:rsidR="00937546" w:rsidRDefault="00937546" w:rsidP="00447817">
            <w:pPr>
              <w:jc w:val="right"/>
              <w:rPr>
                <w:rFonts w:ascii="Calibri" w:hAnsi="Calibri" w:cs="Calibri"/>
                <w:color w:val="000000"/>
              </w:rPr>
            </w:pPr>
            <w:r>
              <w:rPr>
                <w:rFonts w:ascii="Calibri" w:hAnsi="Calibri" w:cs="Calibri"/>
                <w:color w:val="000000"/>
              </w:rPr>
              <w:t>1504.6</w:t>
            </w:r>
          </w:p>
        </w:tc>
        <w:tc>
          <w:tcPr>
            <w:tcW w:w="272" w:type="pct"/>
            <w:tcBorders>
              <w:top w:val="nil"/>
              <w:left w:val="single" w:sz="4" w:space="0" w:color="auto"/>
              <w:bottom w:val="single" w:sz="4" w:space="0" w:color="auto"/>
              <w:right w:val="single" w:sz="4" w:space="0" w:color="auto"/>
            </w:tcBorders>
            <w:shd w:val="clear" w:color="auto" w:fill="auto"/>
            <w:vAlign w:val="bottom"/>
          </w:tcPr>
          <w:p w14:paraId="3E1DFC27" w14:textId="77777777" w:rsidR="00937546" w:rsidRDefault="00937546" w:rsidP="00447817">
            <w:pPr>
              <w:jc w:val="right"/>
              <w:rPr>
                <w:rFonts w:ascii="Calibri" w:hAnsi="Calibri" w:cs="Calibri"/>
                <w:color w:val="000000"/>
              </w:rPr>
            </w:pPr>
            <w:r>
              <w:rPr>
                <w:rFonts w:ascii="Calibri" w:hAnsi="Calibri" w:cs="Calibri"/>
                <w:color w:val="000000"/>
              </w:rPr>
              <w:t>2535.1</w:t>
            </w:r>
          </w:p>
        </w:tc>
        <w:tc>
          <w:tcPr>
            <w:tcW w:w="272" w:type="pct"/>
            <w:tcBorders>
              <w:top w:val="nil"/>
              <w:left w:val="single" w:sz="4" w:space="0" w:color="auto"/>
              <w:bottom w:val="single" w:sz="4" w:space="0" w:color="auto"/>
              <w:right w:val="single" w:sz="4" w:space="0" w:color="auto"/>
            </w:tcBorders>
            <w:shd w:val="clear" w:color="auto" w:fill="auto"/>
            <w:vAlign w:val="bottom"/>
          </w:tcPr>
          <w:p w14:paraId="1F5F3445" w14:textId="77777777" w:rsidR="00937546" w:rsidRDefault="00937546" w:rsidP="00447817">
            <w:pPr>
              <w:jc w:val="right"/>
              <w:rPr>
                <w:rFonts w:ascii="Calibri" w:hAnsi="Calibri" w:cs="Calibri"/>
                <w:color w:val="000000"/>
              </w:rPr>
            </w:pPr>
            <w:r>
              <w:rPr>
                <w:rFonts w:ascii="Calibri" w:hAnsi="Calibri" w:cs="Calibri"/>
                <w:color w:val="000000"/>
              </w:rPr>
              <w:t>2183.6</w:t>
            </w:r>
          </w:p>
        </w:tc>
        <w:tc>
          <w:tcPr>
            <w:tcW w:w="272" w:type="pct"/>
            <w:tcBorders>
              <w:top w:val="nil"/>
              <w:left w:val="single" w:sz="4" w:space="0" w:color="auto"/>
              <w:bottom w:val="single" w:sz="4" w:space="0" w:color="auto"/>
              <w:right w:val="single" w:sz="4" w:space="0" w:color="auto"/>
            </w:tcBorders>
            <w:shd w:val="clear" w:color="auto" w:fill="auto"/>
            <w:vAlign w:val="bottom"/>
          </w:tcPr>
          <w:p w14:paraId="2264F537" w14:textId="77777777" w:rsidR="00937546" w:rsidRDefault="00937546" w:rsidP="00447817">
            <w:pPr>
              <w:jc w:val="right"/>
              <w:rPr>
                <w:rFonts w:ascii="Calibri" w:hAnsi="Calibri" w:cs="Calibri"/>
                <w:color w:val="000000"/>
              </w:rPr>
            </w:pPr>
            <w:r>
              <w:rPr>
                <w:rFonts w:ascii="Calibri" w:hAnsi="Calibri" w:cs="Calibri"/>
                <w:color w:val="000000"/>
              </w:rPr>
              <w:t>878.9</w:t>
            </w:r>
          </w:p>
        </w:tc>
        <w:tc>
          <w:tcPr>
            <w:tcW w:w="269" w:type="pct"/>
            <w:tcBorders>
              <w:top w:val="nil"/>
              <w:left w:val="nil"/>
              <w:bottom w:val="single" w:sz="4" w:space="0" w:color="auto"/>
              <w:right w:val="single" w:sz="4" w:space="0" w:color="auto"/>
            </w:tcBorders>
            <w:shd w:val="clear" w:color="auto" w:fill="auto"/>
            <w:vAlign w:val="bottom"/>
          </w:tcPr>
          <w:p w14:paraId="161FF0A9" w14:textId="77777777" w:rsidR="00937546" w:rsidRDefault="00937546" w:rsidP="00447817">
            <w:pPr>
              <w:jc w:val="right"/>
              <w:rPr>
                <w:rFonts w:ascii="Calibri" w:hAnsi="Calibri" w:cs="Calibri"/>
                <w:color w:val="000000"/>
              </w:rPr>
            </w:pPr>
            <w:r>
              <w:rPr>
                <w:rFonts w:ascii="Calibri" w:hAnsi="Calibri" w:cs="Calibri"/>
                <w:color w:val="000000"/>
              </w:rPr>
              <w:t>1304.7</w:t>
            </w:r>
          </w:p>
        </w:tc>
      </w:tr>
    </w:tbl>
    <w:p w14:paraId="1A35B5AF" w14:textId="70E4CD34" w:rsidR="00937546" w:rsidRPr="00937546" w:rsidRDefault="00937546" w:rsidP="007C217B">
      <w:pPr>
        <w:spacing w:line="360" w:lineRule="auto"/>
        <w:jc w:val="both"/>
        <w:rPr>
          <w:rFonts w:ascii="Times New Roman" w:hAnsi="Times New Roman" w:cs="Times New Roman"/>
          <w:b/>
          <w:bCs/>
          <w:sz w:val="24"/>
          <w:szCs w:val="24"/>
        </w:rPr>
        <w:sectPr w:rsidR="00937546" w:rsidRPr="00937546" w:rsidSect="008B5959">
          <w:pgSz w:w="19100" w:h="15840" w:orient="landscape"/>
          <w:pgMar w:top="1803" w:right="1440" w:bottom="1797" w:left="3260" w:header="720" w:footer="720" w:gutter="0"/>
          <w:cols w:space="720"/>
          <w:noEndnote/>
          <w:docGrid w:linePitch="299"/>
        </w:sectPr>
      </w:pPr>
    </w:p>
    <w:p w14:paraId="38DF7011" w14:textId="77777777" w:rsidR="00937546" w:rsidRPr="00E91A88" w:rsidRDefault="00937546" w:rsidP="00937546">
      <w:pPr>
        <w:pStyle w:val="ColorfulList-Accent11"/>
        <w:autoSpaceDE w:val="0"/>
        <w:autoSpaceDN w:val="0"/>
        <w:adjustRightInd w:val="0"/>
        <w:spacing w:after="0" w:line="360" w:lineRule="auto"/>
        <w:ind w:left="-90" w:right="26" w:firstLine="810"/>
        <w:jc w:val="both"/>
        <w:rPr>
          <w:rFonts w:ascii="Times New Roman" w:hAnsi="Times New Roman"/>
          <w:color w:val="231F20"/>
          <w:sz w:val="24"/>
          <w:szCs w:val="24"/>
        </w:rPr>
      </w:pPr>
    </w:p>
    <w:p w14:paraId="6EDB071A" w14:textId="77777777" w:rsidR="00937546" w:rsidRPr="00E91A88" w:rsidRDefault="00937546" w:rsidP="00937546">
      <w:pPr>
        <w:pStyle w:val="ColorfulList-Accent11"/>
        <w:autoSpaceDE w:val="0"/>
        <w:autoSpaceDN w:val="0"/>
        <w:adjustRightInd w:val="0"/>
        <w:spacing w:after="0" w:line="240" w:lineRule="auto"/>
        <w:ind w:left="2160" w:right="26" w:firstLine="720"/>
        <w:jc w:val="both"/>
        <w:rPr>
          <w:rFonts w:ascii="Times New Roman" w:hAnsi="Times New Roman"/>
          <w:color w:val="231F20"/>
          <w:sz w:val="24"/>
          <w:szCs w:val="24"/>
        </w:rPr>
      </w:pPr>
      <w:r w:rsidRPr="00E91A88">
        <w:rPr>
          <w:rFonts w:ascii="Times New Roman" w:hAnsi="Times New Roman"/>
          <w:color w:val="231F20"/>
          <w:sz w:val="24"/>
          <w:szCs w:val="24"/>
        </w:rPr>
        <w:t>Table 2: Top and Bottom 5 districts in Insurance Indicators</w:t>
      </w:r>
    </w:p>
    <w:tbl>
      <w:tblPr>
        <w:tblW w:w="119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1"/>
        <w:gridCol w:w="2688"/>
        <w:gridCol w:w="2688"/>
      </w:tblGrid>
      <w:tr w:rsidR="00937546" w:rsidRPr="00E91A88" w14:paraId="18E0949B" w14:textId="77777777" w:rsidTr="00447817">
        <w:trPr>
          <w:trHeight w:val="247"/>
        </w:trPr>
        <w:tc>
          <w:tcPr>
            <w:tcW w:w="6541" w:type="dxa"/>
            <w:tcBorders>
              <w:left w:val="nil"/>
            </w:tcBorders>
            <w:shd w:val="clear" w:color="auto" w:fill="auto"/>
            <w:noWrap/>
            <w:vAlign w:val="center"/>
            <w:hideMark/>
          </w:tcPr>
          <w:p w14:paraId="63AC62DC" w14:textId="77777777" w:rsidR="00937546" w:rsidRPr="00E91A88" w:rsidRDefault="00937546" w:rsidP="00447817">
            <w:pPr>
              <w:spacing w:after="0" w:line="240" w:lineRule="auto"/>
              <w:jc w:val="both"/>
              <w:rPr>
                <w:rFonts w:ascii="Times New Roman" w:eastAsia="Times New Roman" w:hAnsi="Times New Roman" w:cs="Times New Roman"/>
                <w:sz w:val="24"/>
                <w:szCs w:val="24"/>
                <w:lang w:eastAsia="en-IN" w:bidi="ta-IN"/>
              </w:rPr>
            </w:pPr>
            <w:r w:rsidRPr="00E91A88">
              <w:rPr>
                <w:rFonts w:ascii="Times New Roman" w:eastAsia="Times New Roman" w:hAnsi="Times New Roman" w:cs="Times New Roman"/>
                <w:sz w:val="24"/>
                <w:szCs w:val="24"/>
                <w:lang w:eastAsia="en-IN" w:bidi="ta-IN"/>
              </w:rPr>
              <w:t xml:space="preserve">Insurance Indicators </w:t>
            </w:r>
          </w:p>
        </w:tc>
        <w:tc>
          <w:tcPr>
            <w:tcW w:w="2688" w:type="dxa"/>
            <w:shd w:val="clear" w:color="auto" w:fill="auto"/>
            <w:noWrap/>
            <w:vAlign w:val="center"/>
            <w:hideMark/>
          </w:tcPr>
          <w:p w14:paraId="675979D8"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Top</w:t>
            </w:r>
            <w:r>
              <w:rPr>
                <w:rFonts w:ascii="Times New Roman" w:eastAsia="Times New Roman" w:hAnsi="Times New Roman" w:cs="Times New Roman"/>
                <w:color w:val="000000"/>
                <w:sz w:val="24"/>
                <w:szCs w:val="24"/>
                <w:lang w:eastAsia="en-IN" w:bidi="ta-IN"/>
              </w:rPr>
              <w:t xml:space="preserve"> 5 High</w:t>
            </w:r>
            <w:r w:rsidRPr="00E91A88">
              <w:rPr>
                <w:rFonts w:ascii="Times New Roman" w:eastAsia="Times New Roman" w:hAnsi="Times New Roman" w:cs="Times New Roman"/>
                <w:color w:val="000000"/>
                <w:sz w:val="24"/>
                <w:szCs w:val="24"/>
                <w:lang w:eastAsia="en-IN" w:bidi="ta-IN"/>
              </w:rPr>
              <w:t xml:space="preserve"> </w:t>
            </w:r>
            <w:r>
              <w:rPr>
                <w:rFonts w:ascii="Times New Roman" w:eastAsia="Times New Roman" w:hAnsi="Times New Roman" w:cs="Times New Roman"/>
                <w:color w:val="000000"/>
                <w:sz w:val="24"/>
                <w:szCs w:val="24"/>
                <w:lang w:eastAsia="en-IN" w:bidi="ta-IN"/>
              </w:rPr>
              <w:t>performing districts</w:t>
            </w:r>
          </w:p>
        </w:tc>
        <w:tc>
          <w:tcPr>
            <w:tcW w:w="2688" w:type="dxa"/>
            <w:tcBorders>
              <w:right w:val="nil"/>
            </w:tcBorders>
            <w:shd w:val="clear" w:color="auto" w:fill="auto"/>
            <w:noWrap/>
            <w:vAlign w:val="center"/>
            <w:hideMark/>
          </w:tcPr>
          <w:p w14:paraId="6EA45132"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 xml:space="preserve">Bottom 5 </w:t>
            </w:r>
            <w:r>
              <w:rPr>
                <w:rFonts w:ascii="Times New Roman" w:eastAsia="Times New Roman" w:hAnsi="Times New Roman" w:cs="Times New Roman"/>
                <w:color w:val="000000"/>
                <w:sz w:val="24"/>
                <w:szCs w:val="24"/>
                <w:lang w:eastAsia="en-IN" w:bidi="ta-IN"/>
              </w:rPr>
              <w:t xml:space="preserve">low performing </w:t>
            </w:r>
            <w:r w:rsidRPr="00E91A88">
              <w:rPr>
                <w:rFonts w:ascii="Times New Roman" w:eastAsia="Times New Roman" w:hAnsi="Times New Roman" w:cs="Times New Roman"/>
                <w:color w:val="000000"/>
                <w:sz w:val="24"/>
                <w:szCs w:val="24"/>
                <w:lang w:eastAsia="en-IN" w:bidi="ta-IN"/>
              </w:rPr>
              <w:t xml:space="preserve">districts </w:t>
            </w:r>
          </w:p>
          <w:p w14:paraId="30CBE36D"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 from lowest to highest)</w:t>
            </w:r>
          </w:p>
        </w:tc>
      </w:tr>
      <w:tr w:rsidR="00937546" w:rsidRPr="00E91A88" w14:paraId="2F2DE630" w14:textId="77777777" w:rsidTr="00447817">
        <w:trPr>
          <w:trHeight w:val="297"/>
        </w:trPr>
        <w:tc>
          <w:tcPr>
            <w:tcW w:w="6541" w:type="dxa"/>
            <w:vMerge w:val="restart"/>
            <w:tcBorders>
              <w:left w:val="nil"/>
            </w:tcBorders>
            <w:shd w:val="clear" w:color="auto" w:fill="auto"/>
            <w:noWrap/>
            <w:vAlign w:val="center"/>
            <w:hideMark/>
          </w:tcPr>
          <w:p w14:paraId="7AB1C723"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 xml:space="preserve">Proportion of population enrolled </w:t>
            </w:r>
          </w:p>
        </w:tc>
        <w:tc>
          <w:tcPr>
            <w:tcW w:w="2688" w:type="dxa"/>
            <w:shd w:val="clear" w:color="auto" w:fill="FF9999"/>
            <w:noWrap/>
            <w:vAlign w:val="bottom"/>
            <w:hideMark/>
          </w:tcPr>
          <w:p w14:paraId="113178D6"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ERODE</w:t>
            </w:r>
          </w:p>
        </w:tc>
        <w:tc>
          <w:tcPr>
            <w:tcW w:w="2688"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tcPr>
          <w:p w14:paraId="31F56B9B" w14:textId="77777777" w:rsidR="00937546" w:rsidRDefault="00937546" w:rsidP="00447817">
            <w:pPr>
              <w:rPr>
                <w:rFonts w:ascii="Calibri" w:hAnsi="Calibri" w:cs="Calibri"/>
                <w:color w:val="000000"/>
              </w:rPr>
            </w:pPr>
            <w:r>
              <w:rPr>
                <w:rFonts w:ascii="Calibri" w:hAnsi="Calibri" w:cs="Calibri"/>
                <w:color w:val="000000"/>
              </w:rPr>
              <w:t>CHENNAI</w:t>
            </w:r>
          </w:p>
        </w:tc>
      </w:tr>
      <w:tr w:rsidR="00937546" w:rsidRPr="00E91A88" w14:paraId="2EBA8FF6" w14:textId="77777777" w:rsidTr="00447817">
        <w:trPr>
          <w:trHeight w:val="247"/>
        </w:trPr>
        <w:tc>
          <w:tcPr>
            <w:tcW w:w="6541" w:type="dxa"/>
            <w:vMerge/>
            <w:tcBorders>
              <w:left w:val="nil"/>
            </w:tcBorders>
            <w:shd w:val="clear" w:color="auto" w:fill="auto"/>
            <w:noWrap/>
            <w:vAlign w:val="bottom"/>
            <w:hideMark/>
          </w:tcPr>
          <w:p w14:paraId="0EE480DA"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shd w:val="clear" w:color="000000" w:fill="FFE699"/>
            <w:noWrap/>
            <w:vAlign w:val="bottom"/>
            <w:hideMark/>
          </w:tcPr>
          <w:p w14:paraId="6F2FF49F"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DHARMAPURI</w:t>
            </w: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1DC87844" w14:textId="77777777" w:rsidR="00937546" w:rsidRDefault="00937546" w:rsidP="00447817">
            <w:pPr>
              <w:rPr>
                <w:rFonts w:ascii="Calibri" w:hAnsi="Calibri" w:cs="Calibri"/>
                <w:color w:val="000000"/>
              </w:rPr>
            </w:pPr>
            <w:r>
              <w:rPr>
                <w:rFonts w:ascii="Calibri" w:hAnsi="Calibri" w:cs="Calibri"/>
                <w:color w:val="000000"/>
              </w:rPr>
              <w:t>TUTICORIN</w:t>
            </w:r>
          </w:p>
        </w:tc>
      </w:tr>
      <w:tr w:rsidR="00937546" w:rsidRPr="00E91A88" w14:paraId="11284BAC" w14:textId="77777777" w:rsidTr="00447817">
        <w:trPr>
          <w:trHeight w:val="247"/>
        </w:trPr>
        <w:tc>
          <w:tcPr>
            <w:tcW w:w="6541" w:type="dxa"/>
            <w:vMerge/>
            <w:tcBorders>
              <w:left w:val="nil"/>
            </w:tcBorders>
            <w:shd w:val="clear" w:color="auto" w:fill="auto"/>
            <w:noWrap/>
            <w:vAlign w:val="bottom"/>
            <w:hideMark/>
          </w:tcPr>
          <w:p w14:paraId="4631A03E"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shd w:val="clear" w:color="000000" w:fill="FFE699"/>
            <w:noWrap/>
            <w:vAlign w:val="bottom"/>
            <w:hideMark/>
          </w:tcPr>
          <w:p w14:paraId="78DD361F"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KARUR</w:t>
            </w: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59724E07" w14:textId="77777777" w:rsidR="00937546" w:rsidRDefault="00937546" w:rsidP="00447817">
            <w:pPr>
              <w:rPr>
                <w:rFonts w:ascii="Calibri" w:hAnsi="Calibri" w:cs="Calibri"/>
                <w:color w:val="000000"/>
              </w:rPr>
            </w:pPr>
            <w:r>
              <w:rPr>
                <w:rFonts w:ascii="Calibri" w:hAnsi="Calibri" w:cs="Calibri"/>
                <w:color w:val="000000"/>
              </w:rPr>
              <w:t>KANCHEEPURAM</w:t>
            </w:r>
          </w:p>
        </w:tc>
      </w:tr>
      <w:tr w:rsidR="00937546" w:rsidRPr="00E91A88" w14:paraId="07E4A7FC" w14:textId="77777777" w:rsidTr="00447817">
        <w:trPr>
          <w:trHeight w:val="247"/>
        </w:trPr>
        <w:tc>
          <w:tcPr>
            <w:tcW w:w="6541" w:type="dxa"/>
            <w:vMerge/>
            <w:tcBorders>
              <w:left w:val="nil"/>
            </w:tcBorders>
            <w:shd w:val="clear" w:color="auto" w:fill="auto"/>
            <w:noWrap/>
            <w:vAlign w:val="bottom"/>
            <w:hideMark/>
          </w:tcPr>
          <w:p w14:paraId="51EBB2E4"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shd w:val="clear" w:color="000000" w:fill="FF9999"/>
            <w:noWrap/>
            <w:vAlign w:val="bottom"/>
            <w:hideMark/>
          </w:tcPr>
          <w:p w14:paraId="5A3AB183"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PERAMBALUR</w:t>
            </w: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18B8E2E2" w14:textId="77777777" w:rsidR="00937546" w:rsidRDefault="00937546" w:rsidP="00447817">
            <w:pPr>
              <w:rPr>
                <w:rFonts w:ascii="Calibri" w:hAnsi="Calibri" w:cs="Calibri"/>
                <w:color w:val="000000"/>
              </w:rPr>
            </w:pPr>
            <w:r>
              <w:rPr>
                <w:rFonts w:ascii="Calibri" w:hAnsi="Calibri" w:cs="Calibri"/>
                <w:color w:val="000000"/>
              </w:rPr>
              <w:t>TIRUNELVELI</w:t>
            </w:r>
          </w:p>
        </w:tc>
      </w:tr>
      <w:tr w:rsidR="00937546" w:rsidRPr="00E91A88" w14:paraId="71648CD0" w14:textId="77777777" w:rsidTr="00447817">
        <w:trPr>
          <w:trHeight w:val="247"/>
        </w:trPr>
        <w:tc>
          <w:tcPr>
            <w:tcW w:w="6541" w:type="dxa"/>
            <w:vMerge/>
            <w:tcBorders>
              <w:left w:val="nil"/>
            </w:tcBorders>
            <w:shd w:val="clear" w:color="auto" w:fill="auto"/>
            <w:noWrap/>
            <w:vAlign w:val="bottom"/>
            <w:hideMark/>
          </w:tcPr>
          <w:p w14:paraId="6A0D24A5"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shd w:val="clear" w:color="000000" w:fill="FF9999"/>
            <w:noWrap/>
            <w:vAlign w:val="bottom"/>
            <w:hideMark/>
          </w:tcPr>
          <w:p w14:paraId="1543AD54"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PUDUKOTTAI</w:t>
            </w: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605D2BC2" w14:textId="77777777" w:rsidR="00937546" w:rsidRDefault="00937546" w:rsidP="00447817">
            <w:pPr>
              <w:rPr>
                <w:rFonts w:ascii="Calibri" w:hAnsi="Calibri" w:cs="Calibri"/>
                <w:color w:val="000000"/>
              </w:rPr>
            </w:pPr>
            <w:r>
              <w:rPr>
                <w:rFonts w:ascii="Calibri" w:hAnsi="Calibri" w:cs="Calibri"/>
                <w:color w:val="000000"/>
              </w:rPr>
              <w:t>COIMBATORE</w:t>
            </w:r>
          </w:p>
        </w:tc>
      </w:tr>
      <w:tr w:rsidR="00937546" w:rsidRPr="00E91A88" w14:paraId="333549FD" w14:textId="77777777" w:rsidTr="00447817">
        <w:trPr>
          <w:trHeight w:val="247"/>
        </w:trPr>
        <w:tc>
          <w:tcPr>
            <w:tcW w:w="6541" w:type="dxa"/>
            <w:vMerge w:val="restart"/>
            <w:tcBorders>
              <w:left w:val="nil"/>
            </w:tcBorders>
            <w:shd w:val="clear" w:color="auto" w:fill="auto"/>
            <w:noWrap/>
            <w:vAlign w:val="center"/>
            <w:hideMark/>
          </w:tcPr>
          <w:p w14:paraId="397AF183"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 xml:space="preserve">Hospital Availability per 1 lakh </w:t>
            </w:r>
            <w:r>
              <w:rPr>
                <w:rFonts w:ascii="Times New Roman" w:eastAsia="Times New Roman" w:hAnsi="Times New Roman" w:cs="Times New Roman"/>
                <w:color w:val="000000"/>
                <w:sz w:val="24"/>
                <w:szCs w:val="24"/>
                <w:lang w:eastAsia="en-IN" w:bidi="ta-IN"/>
              </w:rPr>
              <w:t xml:space="preserve">families </w:t>
            </w:r>
            <w:r w:rsidRPr="00E91A88">
              <w:rPr>
                <w:rFonts w:ascii="Times New Roman" w:eastAsia="Times New Roman" w:hAnsi="Times New Roman" w:cs="Times New Roman"/>
                <w:color w:val="000000"/>
                <w:sz w:val="24"/>
                <w:szCs w:val="24"/>
                <w:lang w:eastAsia="en-IN" w:bidi="ta-IN"/>
              </w:rPr>
              <w:t>enrolled</w:t>
            </w:r>
          </w:p>
        </w:tc>
        <w:tc>
          <w:tcPr>
            <w:tcW w:w="2688"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3C90026F" w14:textId="77777777" w:rsidR="00937546" w:rsidRDefault="00937546" w:rsidP="00447817">
            <w:pPr>
              <w:rPr>
                <w:rFonts w:ascii="Calibri" w:hAnsi="Calibri" w:cs="Calibri"/>
                <w:color w:val="000000"/>
              </w:rPr>
            </w:pPr>
            <w:r>
              <w:rPr>
                <w:rFonts w:ascii="Calibri" w:hAnsi="Calibri" w:cs="Calibri"/>
                <w:color w:val="000000"/>
              </w:rPr>
              <w:t>CHENNAI</w:t>
            </w:r>
          </w:p>
        </w:tc>
        <w:tc>
          <w:tcPr>
            <w:tcW w:w="2688" w:type="dxa"/>
            <w:tcBorders>
              <w:top w:val="single" w:sz="4" w:space="0" w:color="auto"/>
              <w:left w:val="single" w:sz="4" w:space="0" w:color="auto"/>
              <w:bottom w:val="single" w:sz="4" w:space="0" w:color="auto"/>
              <w:right w:val="single" w:sz="4" w:space="0" w:color="auto"/>
            </w:tcBorders>
            <w:shd w:val="clear" w:color="auto" w:fill="FF9999"/>
            <w:noWrap/>
            <w:vAlign w:val="bottom"/>
            <w:hideMark/>
          </w:tcPr>
          <w:p w14:paraId="7BBA3FFA" w14:textId="77777777" w:rsidR="00937546" w:rsidRDefault="00937546" w:rsidP="00447817">
            <w:pPr>
              <w:rPr>
                <w:rFonts w:ascii="Calibri" w:hAnsi="Calibri" w:cs="Calibri"/>
                <w:color w:val="000000"/>
              </w:rPr>
            </w:pPr>
            <w:r>
              <w:rPr>
                <w:rFonts w:ascii="Calibri" w:hAnsi="Calibri" w:cs="Calibri"/>
                <w:color w:val="000000"/>
              </w:rPr>
              <w:t>NILGIRIS</w:t>
            </w:r>
          </w:p>
        </w:tc>
      </w:tr>
      <w:tr w:rsidR="00937546" w:rsidRPr="00E91A88" w14:paraId="32B37ED6" w14:textId="77777777" w:rsidTr="00447817">
        <w:trPr>
          <w:trHeight w:val="247"/>
        </w:trPr>
        <w:tc>
          <w:tcPr>
            <w:tcW w:w="6541" w:type="dxa"/>
            <w:vMerge/>
            <w:tcBorders>
              <w:left w:val="nil"/>
            </w:tcBorders>
            <w:shd w:val="clear" w:color="auto" w:fill="auto"/>
            <w:noWrap/>
            <w:vAlign w:val="bottom"/>
            <w:hideMark/>
          </w:tcPr>
          <w:p w14:paraId="1E64459B"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07CF04DB" w14:textId="77777777" w:rsidR="00937546" w:rsidRDefault="00937546" w:rsidP="00447817">
            <w:pPr>
              <w:rPr>
                <w:rFonts w:ascii="Calibri" w:hAnsi="Calibri" w:cs="Calibri"/>
                <w:color w:val="000000"/>
              </w:rPr>
            </w:pPr>
            <w:r>
              <w:rPr>
                <w:rFonts w:ascii="Calibri" w:hAnsi="Calibri" w:cs="Calibri"/>
                <w:color w:val="000000"/>
              </w:rPr>
              <w:t>TIRUVALLUR</w:t>
            </w: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2BFA0C38" w14:textId="77777777" w:rsidR="00937546" w:rsidRDefault="00937546" w:rsidP="00447817">
            <w:pPr>
              <w:rPr>
                <w:rFonts w:ascii="Calibri" w:hAnsi="Calibri" w:cs="Calibri"/>
                <w:color w:val="000000"/>
              </w:rPr>
            </w:pPr>
            <w:r>
              <w:rPr>
                <w:rFonts w:ascii="Calibri" w:hAnsi="Calibri" w:cs="Calibri"/>
                <w:color w:val="000000"/>
              </w:rPr>
              <w:t>KRISHNAGIRI</w:t>
            </w:r>
          </w:p>
        </w:tc>
      </w:tr>
      <w:tr w:rsidR="00937546" w:rsidRPr="00E91A88" w14:paraId="1A0B0677" w14:textId="77777777" w:rsidTr="00447817">
        <w:trPr>
          <w:trHeight w:val="247"/>
        </w:trPr>
        <w:tc>
          <w:tcPr>
            <w:tcW w:w="6541" w:type="dxa"/>
            <w:vMerge/>
            <w:tcBorders>
              <w:left w:val="nil"/>
            </w:tcBorders>
            <w:shd w:val="clear" w:color="auto" w:fill="auto"/>
            <w:noWrap/>
            <w:vAlign w:val="bottom"/>
            <w:hideMark/>
          </w:tcPr>
          <w:p w14:paraId="2B159DF4"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775954AE" w14:textId="77777777" w:rsidR="00937546" w:rsidRDefault="00937546" w:rsidP="00447817">
            <w:pPr>
              <w:rPr>
                <w:rFonts w:ascii="Calibri" w:hAnsi="Calibri" w:cs="Calibri"/>
                <w:color w:val="000000"/>
              </w:rPr>
            </w:pPr>
            <w:r>
              <w:rPr>
                <w:rFonts w:ascii="Calibri" w:hAnsi="Calibri" w:cs="Calibri"/>
                <w:color w:val="000000"/>
              </w:rPr>
              <w:t>TUTICORIN</w:t>
            </w: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39129C82" w14:textId="77777777" w:rsidR="00937546" w:rsidRDefault="00937546" w:rsidP="00447817">
            <w:pPr>
              <w:rPr>
                <w:rFonts w:ascii="Calibri" w:hAnsi="Calibri" w:cs="Calibri"/>
                <w:color w:val="000000"/>
              </w:rPr>
            </w:pPr>
            <w:r>
              <w:rPr>
                <w:rFonts w:ascii="Calibri" w:hAnsi="Calibri" w:cs="Calibri"/>
                <w:color w:val="000000"/>
              </w:rPr>
              <w:t>KARUR</w:t>
            </w:r>
          </w:p>
        </w:tc>
      </w:tr>
      <w:tr w:rsidR="00937546" w:rsidRPr="00E91A88" w14:paraId="709A9724" w14:textId="77777777" w:rsidTr="00447817">
        <w:trPr>
          <w:trHeight w:val="247"/>
        </w:trPr>
        <w:tc>
          <w:tcPr>
            <w:tcW w:w="6541" w:type="dxa"/>
            <w:vMerge/>
            <w:tcBorders>
              <w:left w:val="nil"/>
            </w:tcBorders>
            <w:shd w:val="clear" w:color="auto" w:fill="auto"/>
            <w:noWrap/>
            <w:vAlign w:val="bottom"/>
            <w:hideMark/>
          </w:tcPr>
          <w:p w14:paraId="3403B18A"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0CBEB85A" w14:textId="77777777" w:rsidR="00937546" w:rsidRDefault="00937546" w:rsidP="00447817">
            <w:pPr>
              <w:rPr>
                <w:rFonts w:ascii="Calibri" w:hAnsi="Calibri" w:cs="Calibri"/>
                <w:color w:val="000000"/>
              </w:rPr>
            </w:pPr>
            <w:r>
              <w:rPr>
                <w:rFonts w:ascii="Calibri" w:hAnsi="Calibri" w:cs="Calibri"/>
                <w:color w:val="000000"/>
              </w:rPr>
              <w:t>MADURAI</w:t>
            </w: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0BB31789" w14:textId="77777777" w:rsidR="00937546" w:rsidRDefault="00937546" w:rsidP="00447817">
            <w:pPr>
              <w:rPr>
                <w:rFonts w:ascii="Calibri" w:hAnsi="Calibri" w:cs="Calibri"/>
                <w:color w:val="000000"/>
              </w:rPr>
            </w:pPr>
            <w:r>
              <w:rPr>
                <w:rFonts w:ascii="Calibri" w:hAnsi="Calibri" w:cs="Calibri"/>
                <w:color w:val="000000"/>
              </w:rPr>
              <w:t>THANJAVUR</w:t>
            </w:r>
          </w:p>
        </w:tc>
      </w:tr>
      <w:tr w:rsidR="00937546" w:rsidRPr="00E91A88" w14:paraId="3C761D36" w14:textId="77777777" w:rsidTr="00447817">
        <w:trPr>
          <w:trHeight w:val="129"/>
        </w:trPr>
        <w:tc>
          <w:tcPr>
            <w:tcW w:w="6541" w:type="dxa"/>
            <w:vMerge/>
            <w:tcBorders>
              <w:left w:val="nil"/>
            </w:tcBorders>
            <w:shd w:val="clear" w:color="auto" w:fill="auto"/>
            <w:noWrap/>
            <w:vAlign w:val="bottom"/>
            <w:hideMark/>
          </w:tcPr>
          <w:p w14:paraId="75A53F01"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5F6EFE2D" w14:textId="77777777" w:rsidR="00937546" w:rsidRDefault="00937546" w:rsidP="00447817">
            <w:pPr>
              <w:rPr>
                <w:rFonts w:ascii="Calibri" w:hAnsi="Calibri" w:cs="Calibri"/>
                <w:color w:val="000000"/>
              </w:rPr>
            </w:pPr>
            <w:r>
              <w:rPr>
                <w:rFonts w:ascii="Calibri" w:hAnsi="Calibri" w:cs="Calibri"/>
                <w:color w:val="000000"/>
              </w:rPr>
              <w:t>KANYAKUMARI</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4019E515" w14:textId="77777777" w:rsidR="00937546" w:rsidRDefault="00937546" w:rsidP="00447817">
            <w:pPr>
              <w:rPr>
                <w:rFonts w:ascii="Calibri" w:hAnsi="Calibri" w:cs="Calibri"/>
                <w:color w:val="000000"/>
              </w:rPr>
            </w:pPr>
            <w:r>
              <w:rPr>
                <w:rFonts w:ascii="Calibri" w:hAnsi="Calibri" w:cs="Calibri"/>
                <w:color w:val="000000"/>
              </w:rPr>
              <w:t>PUDUKOTTAI</w:t>
            </w:r>
          </w:p>
        </w:tc>
      </w:tr>
      <w:tr w:rsidR="00937546" w:rsidRPr="00E91A88" w14:paraId="6DD9F2D5" w14:textId="77777777" w:rsidTr="00447817">
        <w:trPr>
          <w:trHeight w:val="247"/>
        </w:trPr>
        <w:tc>
          <w:tcPr>
            <w:tcW w:w="6541" w:type="dxa"/>
            <w:vMerge w:val="restart"/>
            <w:tcBorders>
              <w:left w:val="nil"/>
            </w:tcBorders>
            <w:shd w:val="clear" w:color="auto" w:fill="auto"/>
            <w:noWrap/>
            <w:vAlign w:val="center"/>
            <w:hideMark/>
          </w:tcPr>
          <w:p w14:paraId="1A4B7E81"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 xml:space="preserve">Public hospital availability/ 1 lakh </w:t>
            </w:r>
            <w:r>
              <w:rPr>
                <w:rFonts w:ascii="Times New Roman" w:eastAsia="Times New Roman" w:hAnsi="Times New Roman" w:cs="Times New Roman"/>
                <w:color w:val="000000"/>
                <w:sz w:val="24"/>
                <w:szCs w:val="24"/>
                <w:lang w:eastAsia="en-IN" w:bidi="ta-IN"/>
              </w:rPr>
              <w:t xml:space="preserve">families </w:t>
            </w:r>
            <w:r w:rsidRPr="00E91A88">
              <w:rPr>
                <w:rFonts w:ascii="Times New Roman" w:eastAsia="Times New Roman" w:hAnsi="Times New Roman" w:cs="Times New Roman"/>
                <w:color w:val="000000"/>
                <w:sz w:val="24"/>
                <w:szCs w:val="24"/>
                <w:lang w:eastAsia="en-IN" w:bidi="ta-IN"/>
              </w:rPr>
              <w:t>enrolled</w:t>
            </w:r>
          </w:p>
        </w:tc>
        <w:tc>
          <w:tcPr>
            <w:tcW w:w="2688"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bottom"/>
            <w:hideMark/>
          </w:tcPr>
          <w:p w14:paraId="5D40E531" w14:textId="77777777" w:rsidR="00937546" w:rsidRDefault="00937546" w:rsidP="00447817">
            <w:pPr>
              <w:rPr>
                <w:rFonts w:ascii="Calibri" w:hAnsi="Calibri" w:cs="Calibri"/>
                <w:color w:val="000000"/>
              </w:rPr>
            </w:pPr>
            <w:r>
              <w:rPr>
                <w:rFonts w:ascii="Calibri" w:hAnsi="Calibri" w:cs="Calibri"/>
                <w:color w:val="000000"/>
              </w:rPr>
              <w:t>RAMANATHAPURAM</w:t>
            </w:r>
          </w:p>
        </w:tc>
        <w:tc>
          <w:tcPr>
            <w:tcW w:w="2688"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bottom"/>
            <w:hideMark/>
          </w:tcPr>
          <w:p w14:paraId="1DA569D6" w14:textId="77777777" w:rsidR="00937546" w:rsidRDefault="00937546" w:rsidP="00447817">
            <w:pPr>
              <w:rPr>
                <w:rFonts w:ascii="Calibri" w:hAnsi="Calibri" w:cs="Calibri"/>
                <w:color w:val="000000"/>
              </w:rPr>
            </w:pPr>
            <w:r>
              <w:rPr>
                <w:rFonts w:ascii="Calibri" w:hAnsi="Calibri" w:cs="Calibri"/>
                <w:color w:val="000000"/>
              </w:rPr>
              <w:t>SALEM</w:t>
            </w:r>
          </w:p>
        </w:tc>
      </w:tr>
      <w:tr w:rsidR="00937546" w:rsidRPr="00E91A88" w14:paraId="080037BF" w14:textId="77777777" w:rsidTr="00447817">
        <w:trPr>
          <w:trHeight w:val="247"/>
        </w:trPr>
        <w:tc>
          <w:tcPr>
            <w:tcW w:w="6541" w:type="dxa"/>
            <w:vMerge/>
            <w:tcBorders>
              <w:left w:val="nil"/>
            </w:tcBorders>
            <w:shd w:val="clear" w:color="auto" w:fill="auto"/>
            <w:noWrap/>
            <w:vAlign w:val="bottom"/>
            <w:hideMark/>
          </w:tcPr>
          <w:p w14:paraId="5D45C924"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59425C58" w14:textId="77777777" w:rsidR="00937546" w:rsidRDefault="00937546" w:rsidP="00447817">
            <w:pPr>
              <w:rPr>
                <w:rFonts w:ascii="Calibri" w:hAnsi="Calibri" w:cs="Calibri"/>
                <w:color w:val="000000"/>
              </w:rPr>
            </w:pPr>
            <w:r>
              <w:rPr>
                <w:rFonts w:ascii="Calibri" w:hAnsi="Calibri" w:cs="Calibri"/>
                <w:color w:val="000000"/>
              </w:rPr>
              <w:t>TIRUNELVELI</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61DD75E2" w14:textId="77777777" w:rsidR="00937546" w:rsidRDefault="00937546" w:rsidP="00447817">
            <w:pPr>
              <w:rPr>
                <w:rFonts w:ascii="Calibri" w:hAnsi="Calibri" w:cs="Calibri"/>
                <w:color w:val="000000"/>
              </w:rPr>
            </w:pPr>
            <w:r>
              <w:rPr>
                <w:rFonts w:ascii="Calibri" w:hAnsi="Calibri" w:cs="Calibri"/>
                <w:color w:val="000000"/>
              </w:rPr>
              <w:t>PERAMBALUR</w:t>
            </w:r>
          </w:p>
        </w:tc>
      </w:tr>
      <w:tr w:rsidR="00937546" w:rsidRPr="00E91A88" w14:paraId="03FE4C8D" w14:textId="77777777" w:rsidTr="00447817">
        <w:trPr>
          <w:trHeight w:val="247"/>
        </w:trPr>
        <w:tc>
          <w:tcPr>
            <w:tcW w:w="6541" w:type="dxa"/>
            <w:vMerge/>
            <w:tcBorders>
              <w:left w:val="nil"/>
            </w:tcBorders>
            <w:shd w:val="clear" w:color="auto" w:fill="auto"/>
            <w:noWrap/>
            <w:vAlign w:val="bottom"/>
            <w:hideMark/>
          </w:tcPr>
          <w:p w14:paraId="0B67494C"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147390D9" w14:textId="77777777" w:rsidR="00937546" w:rsidRDefault="00937546" w:rsidP="00447817">
            <w:pPr>
              <w:rPr>
                <w:rFonts w:ascii="Calibri" w:hAnsi="Calibri" w:cs="Calibri"/>
                <w:color w:val="000000"/>
              </w:rPr>
            </w:pPr>
            <w:r>
              <w:rPr>
                <w:rFonts w:ascii="Calibri" w:hAnsi="Calibri" w:cs="Calibri"/>
                <w:color w:val="000000"/>
              </w:rPr>
              <w:t>TUTICORIN</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30889D10" w14:textId="77777777" w:rsidR="00937546" w:rsidRDefault="00937546" w:rsidP="00447817">
            <w:pPr>
              <w:rPr>
                <w:rFonts w:ascii="Calibri" w:hAnsi="Calibri" w:cs="Calibri"/>
                <w:color w:val="000000"/>
              </w:rPr>
            </w:pPr>
            <w:r>
              <w:rPr>
                <w:rFonts w:ascii="Calibri" w:hAnsi="Calibri" w:cs="Calibri"/>
                <w:color w:val="000000"/>
              </w:rPr>
              <w:t>TIRUPUR</w:t>
            </w:r>
          </w:p>
        </w:tc>
      </w:tr>
      <w:tr w:rsidR="00937546" w:rsidRPr="00E91A88" w14:paraId="1B348F3A" w14:textId="77777777" w:rsidTr="00447817">
        <w:trPr>
          <w:trHeight w:val="247"/>
        </w:trPr>
        <w:tc>
          <w:tcPr>
            <w:tcW w:w="6541" w:type="dxa"/>
            <w:vMerge/>
            <w:tcBorders>
              <w:left w:val="nil"/>
            </w:tcBorders>
            <w:shd w:val="clear" w:color="auto" w:fill="auto"/>
            <w:noWrap/>
            <w:vAlign w:val="bottom"/>
            <w:hideMark/>
          </w:tcPr>
          <w:p w14:paraId="4DCB799D"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12056550" w14:textId="77777777" w:rsidR="00937546" w:rsidRDefault="00937546" w:rsidP="00447817">
            <w:pPr>
              <w:rPr>
                <w:rFonts w:ascii="Calibri" w:hAnsi="Calibri" w:cs="Calibri"/>
                <w:color w:val="000000"/>
              </w:rPr>
            </w:pPr>
            <w:r>
              <w:rPr>
                <w:rFonts w:ascii="Calibri" w:hAnsi="Calibri" w:cs="Calibri"/>
                <w:color w:val="000000"/>
              </w:rPr>
              <w:t>NILGIRIS</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740C6967" w14:textId="77777777" w:rsidR="00937546" w:rsidRDefault="00937546" w:rsidP="00447817">
            <w:pPr>
              <w:rPr>
                <w:rFonts w:ascii="Calibri" w:hAnsi="Calibri" w:cs="Calibri"/>
                <w:color w:val="000000"/>
              </w:rPr>
            </w:pPr>
            <w:r>
              <w:rPr>
                <w:rFonts w:ascii="Calibri" w:hAnsi="Calibri" w:cs="Calibri"/>
                <w:color w:val="000000"/>
              </w:rPr>
              <w:t>VILLUPURAM</w:t>
            </w:r>
          </w:p>
        </w:tc>
      </w:tr>
      <w:tr w:rsidR="00937546" w:rsidRPr="00E91A88" w14:paraId="6F7D5B37" w14:textId="77777777" w:rsidTr="00447817">
        <w:trPr>
          <w:trHeight w:val="247"/>
        </w:trPr>
        <w:tc>
          <w:tcPr>
            <w:tcW w:w="6541" w:type="dxa"/>
            <w:vMerge/>
            <w:tcBorders>
              <w:left w:val="nil"/>
            </w:tcBorders>
            <w:shd w:val="clear" w:color="auto" w:fill="auto"/>
            <w:noWrap/>
            <w:vAlign w:val="bottom"/>
            <w:hideMark/>
          </w:tcPr>
          <w:p w14:paraId="4A6772D2"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7DACB874" w14:textId="77777777" w:rsidR="00937546" w:rsidRDefault="00937546" w:rsidP="00447817">
            <w:pPr>
              <w:rPr>
                <w:rFonts w:ascii="Calibri" w:hAnsi="Calibri" w:cs="Calibri"/>
                <w:color w:val="000000"/>
              </w:rPr>
            </w:pPr>
            <w:r>
              <w:rPr>
                <w:rFonts w:ascii="Calibri" w:hAnsi="Calibri" w:cs="Calibri"/>
                <w:color w:val="000000"/>
              </w:rPr>
              <w:t>NAGAPATTINAM</w:t>
            </w: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662D35FF" w14:textId="77777777" w:rsidR="00937546" w:rsidRDefault="00937546" w:rsidP="00447817">
            <w:pPr>
              <w:rPr>
                <w:rFonts w:ascii="Calibri" w:hAnsi="Calibri" w:cs="Calibri"/>
                <w:color w:val="000000"/>
              </w:rPr>
            </w:pPr>
            <w:r>
              <w:rPr>
                <w:rFonts w:ascii="Calibri" w:hAnsi="Calibri" w:cs="Calibri"/>
                <w:color w:val="000000"/>
              </w:rPr>
              <w:t>KRISHNAGIRI</w:t>
            </w:r>
          </w:p>
        </w:tc>
      </w:tr>
      <w:tr w:rsidR="00937546" w:rsidRPr="00E91A88" w14:paraId="4B594745" w14:textId="77777777" w:rsidTr="00447817">
        <w:trPr>
          <w:trHeight w:val="247"/>
        </w:trPr>
        <w:tc>
          <w:tcPr>
            <w:tcW w:w="6541" w:type="dxa"/>
            <w:vMerge w:val="restart"/>
            <w:tcBorders>
              <w:left w:val="nil"/>
            </w:tcBorders>
            <w:shd w:val="clear" w:color="auto" w:fill="auto"/>
            <w:noWrap/>
            <w:vAlign w:val="center"/>
            <w:hideMark/>
          </w:tcPr>
          <w:p w14:paraId="3721362E"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 xml:space="preserve">Private hospital availability/ 1 lakh </w:t>
            </w:r>
            <w:r>
              <w:rPr>
                <w:rFonts w:ascii="Times New Roman" w:eastAsia="Times New Roman" w:hAnsi="Times New Roman" w:cs="Times New Roman"/>
                <w:color w:val="000000"/>
                <w:sz w:val="24"/>
                <w:szCs w:val="24"/>
                <w:lang w:eastAsia="en-IN" w:bidi="ta-IN"/>
              </w:rPr>
              <w:t xml:space="preserve">families </w:t>
            </w:r>
            <w:r w:rsidRPr="00E91A88">
              <w:rPr>
                <w:rFonts w:ascii="Times New Roman" w:eastAsia="Times New Roman" w:hAnsi="Times New Roman" w:cs="Times New Roman"/>
                <w:color w:val="000000"/>
                <w:sz w:val="24"/>
                <w:szCs w:val="24"/>
                <w:lang w:eastAsia="en-IN" w:bidi="ta-IN"/>
              </w:rPr>
              <w:t>enrolled</w:t>
            </w:r>
          </w:p>
        </w:tc>
        <w:tc>
          <w:tcPr>
            <w:tcW w:w="2688"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10285D74" w14:textId="77777777" w:rsidR="00937546" w:rsidRDefault="00937546" w:rsidP="00447817">
            <w:pPr>
              <w:rPr>
                <w:rFonts w:ascii="Calibri" w:hAnsi="Calibri" w:cs="Calibri"/>
                <w:color w:val="000000"/>
              </w:rPr>
            </w:pPr>
            <w:r>
              <w:rPr>
                <w:rFonts w:ascii="Calibri" w:hAnsi="Calibri" w:cs="Calibri"/>
                <w:color w:val="000000"/>
              </w:rPr>
              <w:t>COIMBATORE</w:t>
            </w:r>
          </w:p>
        </w:tc>
        <w:tc>
          <w:tcPr>
            <w:tcW w:w="2688"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bottom"/>
            <w:hideMark/>
          </w:tcPr>
          <w:p w14:paraId="7795DD57" w14:textId="77777777" w:rsidR="00937546" w:rsidRDefault="00937546" w:rsidP="00447817">
            <w:pPr>
              <w:rPr>
                <w:rFonts w:ascii="Calibri" w:hAnsi="Calibri" w:cs="Calibri"/>
                <w:color w:val="000000"/>
              </w:rPr>
            </w:pPr>
            <w:r>
              <w:rPr>
                <w:rFonts w:ascii="Calibri" w:hAnsi="Calibri" w:cs="Calibri"/>
                <w:color w:val="000000"/>
              </w:rPr>
              <w:t>RAMANATHAPURAM</w:t>
            </w:r>
          </w:p>
        </w:tc>
      </w:tr>
      <w:tr w:rsidR="00937546" w:rsidRPr="00E91A88" w14:paraId="447CF425" w14:textId="77777777" w:rsidTr="00447817">
        <w:trPr>
          <w:trHeight w:val="247"/>
        </w:trPr>
        <w:tc>
          <w:tcPr>
            <w:tcW w:w="6541" w:type="dxa"/>
            <w:vMerge/>
            <w:tcBorders>
              <w:left w:val="nil"/>
            </w:tcBorders>
            <w:shd w:val="clear" w:color="auto" w:fill="auto"/>
            <w:noWrap/>
            <w:vAlign w:val="bottom"/>
            <w:hideMark/>
          </w:tcPr>
          <w:p w14:paraId="3B0FF4DD"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6E31911B" w14:textId="77777777" w:rsidR="00937546" w:rsidRDefault="00937546" w:rsidP="00447817">
            <w:pPr>
              <w:rPr>
                <w:rFonts w:ascii="Calibri" w:hAnsi="Calibri" w:cs="Calibri"/>
                <w:color w:val="000000"/>
              </w:rPr>
            </w:pPr>
            <w:r>
              <w:rPr>
                <w:rFonts w:ascii="Calibri" w:hAnsi="Calibri" w:cs="Calibri"/>
                <w:color w:val="000000"/>
              </w:rPr>
              <w:t>CHENNAI</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7E98BC4E" w14:textId="77777777" w:rsidR="00937546" w:rsidRDefault="00937546" w:rsidP="00447817">
            <w:pPr>
              <w:rPr>
                <w:rFonts w:ascii="Calibri" w:hAnsi="Calibri" w:cs="Calibri"/>
                <w:color w:val="000000"/>
              </w:rPr>
            </w:pPr>
            <w:r>
              <w:rPr>
                <w:rFonts w:ascii="Calibri" w:hAnsi="Calibri" w:cs="Calibri"/>
                <w:color w:val="000000"/>
              </w:rPr>
              <w:t>TIRUVANNAMALAI</w:t>
            </w:r>
          </w:p>
        </w:tc>
      </w:tr>
      <w:tr w:rsidR="00937546" w:rsidRPr="00E91A88" w14:paraId="3728183D" w14:textId="77777777" w:rsidTr="00447817">
        <w:trPr>
          <w:trHeight w:val="247"/>
        </w:trPr>
        <w:tc>
          <w:tcPr>
            <w:tcW w:w="6541" w:type="dxa"/>
            <w:vMerge/>
            <w:tcBorders>
              <w:left w:val="nil"/>
            </w:tcBorders>
            <w:shd w:val="clear" w:color="auto" w:fill="auto"/>
            <w:noWrap/>
            <w:vAlign w:val="bottom"/>
            <w:hideMark/>
          </w:tcPr>
          <w:p w14:paraId="08AF1A5E"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40934358" w14:textId="77777777" w:rsidR="00937546" w:rsidRDefault="00937546" w:rsidP="00447817">
            <w:pPr>
              <w:rPr>
                <w:rFonts w:ascii="Calibri" w:hAnsi="Calibri" w:cs="Calibri"/>
                <w:color w:val="000000"/>
              </w:rPr>
            </w:pPr>
            <w:r>
              <w:rPr>
                <w:rFonts w:ascii="Calibri" w:hAnsi="Calibri" w:cs="Calibri"/>
                <w:color w:val="000000"/>
              </w:rPr>
              <w:t>MADURAI</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6C8B4D79" w14:textId="77777777" w:rsidR="00937546" w:rsidRDefault="00937546" w:rsidP="00447817">
            <w:pPr>
              <w:rPr>
                <w:rFonts w:ascii="Calibri" w:hAnsi="Calibri" w:cs="Calibri"/>
                <w:color w:val="000000"/>
              </w:rPr>
            </w:pPr>
            <w:r>
              <w:rPr>
                <w:rFonts w:ascii="Calibri" w:hAnsi="Calibri" w:cs="Calibri"/>
                <w:color w:val="000000"/>
              </w:rPr>
              <w:t>NAGAPATTINAM</w:t>
            </w:r>
          </w:p>
        </w:tc>
      </w:tr>
      <w:tr w:rsidR="00937546" w:rsidRPr="00E91A88" w14:paraId="1A1F2AC8" w14:textId="77777777" w:rsidTr="00447817">
        <w:trPr>
          <w:trHeight w:val="247"/>
        </w:trPr>
        <w:tc>
          <w:tcPr>
            <w:tcW w:w="6541" w:type="dxa"/>
            <w:vMerge/>
            <w:tcBorders>
              <w:left w:val="nil"/>
            </w:tcBorders>
            <w:shd w:val="clear" w:color="auto" w:fill="auto"/>
            <w:noWrap/>
            <w:vAlign w:val="bottom"/>
            <w:hideMark/>
          </w:tcPr>
          <w:p w14:paraId="1836AA9D"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043C0355" w14:textId="77777777" w:rsidR="00937546" w:rsidRDefault="00937546" w:rsidP="00447817">
            <w:pPr>
              <w:rPr>
                <w:rFonts w:ascii="Calibri" w:hAnsi="Calibri" w:cs="Calibri"/>
                <w:color w:val="000000"/>
              </w:rPr>
            </w:pPr>
            <w:r>
              <w:rPr>
                <w:rFonts w:ascii="Calibri" w:hAnsi="Calibri" w:cs="Calibri"/>
                <w:color w:val="000000"/>
              </w:rPr>
              <w:t xml:space="preserve">TIRUCHIRAPALLI </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0D58937F" w14:textId="77777777" w:rsidR="00937546" w:rsidRDefault="00937546" w:rsidP="00447817">
            <w:pPr>
              <w:rPr>
                <w:rFonts w:ascii="Calibri" w:hAnsi="Calibri" w:cs="Calibri"/>
                <w:color w:val="000000"/>
              </w:rPr>
            </w:pPr>
            <w:r>
              <w:rPr>
                <w:rFonts w:ascii="Calibri" w:hAnsi="Calibri" w:cs="Calibri"/>
                <w:color w:val="000000"/>
              </w:rPr>
              <w:t>TIRUVARUR</w:t>
            </w:r>
          </w:p>
        </w:tc>
      </w:tr>
      <w:tr w:rsidR="00937546" w:rsidRPr="00E91A88" w14:paraId="27486F19" w14:textId="77777777" w:rsidTr="00447817">
        <w:trPr>
          <w:trHeight w:val="247"/>
        </w:trPr>
        <w:tc>
          <w:tcPr>
            <w:tcW w:w="6541" w:type="dxa"/>
            <w:vMerge/>
            <w:tcBorders>
              <w:left w:val="nil"/>
            </w:tcBorders>
            <w:shd w:val="clear" w:color="auto" w:fill="auto"/>
            <w:noWrap/>
            <w:vAlign w:val="bottom"/>
            <w:hideMark/>
          </w:tcPr>
          <w:p w14:paraId="38B9049C"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2CF2B93A" w14:textId="77777777" w:rsidR="00937546" w:rsidRDefault="00937546" w:rsidP="00447817">
            <w:pPr>
              <w:rPr>
                <w:rFonts w:ascii="Calibri" w:hAnsi="Calibri" w:cs="Calibri"/>
                <w:color w:val="000000"/>
              </w:rPr>
            </w:pPr>
            <w:r>
              <w:rPr>
                <w:rFonts w:ascii="Calibri" w:hAnsi="Calibri" w:cs="Calibri"/>
                <w:color w:val="000000"/>
              </w:rPr>
              <w:t>KANYAKUMARI</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76B8B6C4" w14:textId="77777777" w:rsidR="00937546" w:rsidRDefault="00937546" w:rsidP="00447817">
            <w:pPr>
              <w:rPr>
                <w:rFonts w:ascii="Calibri" w:hAnsi="Calibri" w:cs="Calibri"/>
                <w:color w:val="000000"/>
              </w:rPr>
            </w:pPr>
            <w:r>
              <w:rPr>
                <w:rFonts w:ascii="Calibri" w:hAnsi="Calibri" w:cs="Calibri"/>
                <w:color w:val="000000"/>
              </w:rPr>
              <w:t>ARIYALUR</w:t>
            </w:r>
          </w:p>
        </w:tc>
      </w:tr>
      <w:tr w:rsidR="00937546" w:rsidRPr="00E91A88" w14:paraId="0BF6D921" w14:textId="77777777" w:rsidTr="00447817">
        <w:trPr>
          <w:trHeight w:val="247"/>
        </w:trPr>
        <w:tc>
          <w:tcPr>
            <w:tcW w:w="6541" w:type="dxa"/>
            <w:vMerge w:val="restart"/>
            <w:tcBorders>
              <w:left w:val="nil"/>
            </w:tcBorders>
            <w:shd w:val="clear" w:color="auto" w:fill="auto"/>
            <w:noWrap/>
            <w:vAlign w:val="center"/>
            <w:hideMark/>
          </w:tcPr>
          <w:p w14:paraId="20DAC928"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 xml:space="preserve">Number of claims </w:t>
            </w:r>
            <w:r w:rsidRPr="00E91A88">
              <w:rPr>
                <w:rFonts w:ascii="Times New Roman" w:eastAsia="Times New Roman" w:hAnsi="Times New Roman" w:cs="Times New Roman"/>
                <w:color w:val="000000"/>
                <w:sz w:val="24"/>
                <w:szCs w:val="24"/>
                <w:lang w:eastAsia="en-IN" w:bidi="ta-IN"/>
              </w:rPr>
              <w:t xml:space="preserve">per 1 lakh </w:t>
            </w:r>
            <w:r>
              <w:rPr>
                <w:rFonts w:ascii="Times New Roman" w:eastAsia="Times New Roman" w:hAnsi="Times New Roman" w:cs="Times New Roman"/>
                <w:color w:val="000000"/>
                <w:sz w:val="24"/>
                <w:szCs w:val="24"/>
                <w:lang w:eastAsia="en-IN" w:bidi="ta-IN"/>
              </w:rPr>
              <w:t xml:space="preserve">families </w:t>
            </w:r>
            <w:r w:rsidRPr="00E91A88">
              <w:rPr>
                <w:rFonts w:ascii="Times New Roman" w:eastAsia="Times New Roman" w:hAnsi="Times New Roman" w:cs="Times New Roman"/>
                <w:color w:val="000000"/>
                <w:sz w:val="24"/>
                <w:szCs w:val="24"/>
                <w:lang w:eastAsia="en-IN" w:bidi="ta-IN"/>
              </w:rPr>
              <w:t>enrolled</w:t>
            </w:r>
          </w:p>
        </w:tc>
        <w:tc>
          <w:tcPr>
            <w:tcW w:w="2688"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0463CA6B" w14:textId="77777777" w:rsidR="00937546" w:rsidRDefault="00937546" w:rsidP="00447817">
            <w:pPr>
              <w:rPr>
                <w:rFonts w:ascii="Calibri" w:hAnsi="Calibri" w:cs="Calibri"/>
                <w:color w:val="000000"/>
              </w:rPr>
            </w:pPr>
            <w:r>
              <w:rPr>
                <w:rFonts w:ascii="Calibri" w:hAnsi="Calibri" w:cs="Calibri"/>
                <w:color w:val="000000"/>
              </w:rPr>
              <w:t>CHENNAI</w:t>
            </w:r>
          </w:p>
        </w:tc>
        <w:tc>
          <w:tcPr>
            <w:tcW w:w="2688" w:type="dxa"/>
            <w:tcBorders>
              <w:top w:val="single" w:sz="4" w:space="0" w:color="auto"/>
              <w:left w:val="single" w:sz="4" w:space="0" w:color="auto"/>
              <w:bottom w:val="single" w:sz="4" w:space="0" w:color="auto"/>
              <w:right w:val="single" w:sz="4" w:space="0" w:color="auto"/>
            </w:tcBorders>
            <w:shd w:val="clear" w:color="auto" w:fill="FF9999"/>
            <w:noWrap/>
            <w:vAlign w:val="bottom"/>
            <w:hideMark/>
          </w:tcPr>
          <w:p w14:paraId="035917E8" w14:textId="77777777" w:rsidR="00937546" w:rsidRDefault="00937546" w:rsidP="00447817">
            <w:pPr>
              <w:rPr>
                <w:rFonts w:ascii="Calibri" w:hAnsi="Calibri" w:cs="Calibri"/>
                <w:color w:val="000000"/>
              </w:rPr>
            </w:pPr>
            <w:r>
              <w:rPr>
                <w:rFonts w:ascii="Calibri" w:hAnsi="Calibri" w:cs="Calibri"/>
                <w:color w:val="000000"/>
              </w:rPr>
              <w:t>NILGIRIS</w:t>
            </w:r>
          </w:p>
        </w:tc>
      </w:tr>
      <w:tr w:rsidR="00937546" w:rsidRPr="00E91A88" w14:paraId="5049EF72" w14:textId="77777777" w:rsidTr="00447817">
        <w:trPr>
          <w:trHeight w:val="247"/>
        </w:trPr>
        <w:tc>
          <w:tcPr>
            <w:tcW w:w="6541" w:type="dxa"/>
            <w:vMerge/>
            <w:tcBorders>
              <w:left w:val="nil"/>
            </w:tcBorders>
            <w:shd w:val="clear" w:color="auto" w:fill="auto"/>
            <w:noWrap/>
            <w:vAlign w:val="center"/>
            <w:hideMark/>
          </w:tcPr>
          <w:p w14:paraId="17F48329"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1A5869E7" w14:textId="77777777" w:rsidR="00937546" w:rsidRDefault="00937546" w:rsidP="00447817">
            <w:pPr>
              <w:rPr>
                <w:rFonts w:ascii="Calibri" w:hAnsi="Calibri" w:cs="Calibri"/>
                <w:color w:val="000000"/>
              </w:rPr>
            </w:pPr>
            <w:r>
              <w:rPr>
                <w:rFonts w:ascii="Calibri" w:hAnsi="Calibri" w:cs="Calibri"/>
                <w:color w:val="000000"/>
              </w:rPr>
              <w:t>TIRUVALLUR</w:t>
            </w: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4CE38AA0" w14:textId="77777777" w:rsidR="00937546" w:rsidRDefault="00937546" w:rsidP="00447817">
            <w:pPr>
              <w:rPr>
                <w:rFonts w:ascii="Calibri" w:hAnsi="Calibri" w:cs="Calibri"/>
                <w:color w:val="000000"/>
              </w:rPr>
            </w:pPr>
            <w:r>
              <w:rPr>
                <w:rFonts w:ascii="Calibri" w:hAnsi="Calibri" w:cs="Calibri"/>
                <w:color w:val="000000"/>
              </w:rPr>
              <w:t>KRISHNAGIRI</w:t>
            </w:r>
          </w:p>
        </w:tc>
      </w:tr>
      <w:tr w:rsidR="00937546" w:rsidRPr="00E91A88" w14:paraId="10634D40" w14:textId="77777777" w:rsidTr="00447817">
        <w:trPr>
          <w:trHeight w:val="247"/>
        </w:trPr>
        <w:tc>
          <w:tcPr>
            <w:tcW w:w="6541" w:type="dxa"/>
            <w:vMerge/>
            <w:tcBorders>
              <w:left w:val="nil"/>
            </w:tcBorders>
            <w:shd w:val="clear" w:color="auto" w:fill="auto"/>
            <w:noWrap/>
            <w:vAlign w:val="center"/>
            <w:hideMark/>
          </w:tcPr>
          <w:p w14:paraId="3F73C1A7"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56D90A52" w14:textId="77777777" w:rsidR="00937546" w:rsidRDefault="00937546" w:rsidP="00447817">
            <w:pPr>
              <w:rPr>
                <w:rFonts w:ascii="Calibri" w:hAnsi="Calibri" w:cs="Calibri"/>
                <w:color w:val="000000"/>
              </w:rPr>
            </w:pPr>
            <w:r>
              <w:rPr>
                <w:rFonts w:ascii="Calibri" w:hAnsi="Calibri" w:cs="Calibri"/>
                <w:color w:val="000000"/>
              </w:rPr>
              <w:t>TUTICORIN</w:t>
            </w: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5F6DBFC8" w14:textId="77777777" w:rsidR="00937546" w:rsidRDefault="00937546" w:rsidP="00447817">
            <w:pPr>
              <w:rPr>
                <w:rFonts w:ascii="Calibri" w:hAnsi="Calibri" w:cs="Calibri"/>
                <w:color w:val="000000"/>
              </w:rPr>
            </w:pPr>
            <w:r>
              <w:rPr>
                <w:rFonts w:ascii="Calibri" w:hAnsi="Calibri" w:cs="Calibri"/>
                <w:color w:val="000000"/>
              </w:rPr>
              <w:t>KARUR</w:t>
            </w:r>
          </w:p>
        </w:tc>
      </w:tr>
      <w:tr w:rsidR="00937546" w:rsidRPr="00E91A88" w14:paraId="7863C45A" w14:textId="77777777" w:rsidTr="00447817">
        <w:trPr>
          <w:trHeight w:val="247"/>
        </w:trPr>
        <w:tc>
          <w:tcPr>
            <w:tcW w:w="6541" w:type="dxa"/>
            <w:vMerge/>
            <w:tcBorders>
              <w:left w:val="nil"/>
            </w:tcBorders>
            <w:shd w:val="clear" w:color="auto" w:fill="auto"/>
            <w:noWrap/>
            <w:vAlign w:val="center"/>
            <w:hideMark/>
          </w:tcPr>
          <w:p w14:paraId="4C9751D0"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642A6FED" w14:textId="77777777" w:rsidR="00937546" w:rsidRDefault="00937546" w:rsidP="00447817">
            <w:pPr>
              <w:rPr>
                <w:rFonts w:ascii="Calibri" w:hAnsi="Calibri" w:cs="Calibri"/>
                <w:color w:val="000000"/>
              </w:rPr>
            </w:pPr>
            <w:r>
              <w:rPr>
                <w:rFonts w:ascii="Calibri" w:hAnsi="Calibri" w:cs="Calibri"/>
                <w:color w:val="000000"/>
              </w:rPr>
              <w:t>MADURAI</w:t>
            </w: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4B14CF5B" w14:textId="77777777" w:rsidR="00937546" w:rsidRDefault="00937546" w:rsidP="00447817">
            <w:pPr>
              <w:rPr>
                <w:rFonts w:ascii="Calibri" w:hAnsi="Calibri" w:cs="Calibri"/>
                <w:color w:val="000000"/>
              </w:rPr>
            </w:pPr>
            <w:r>
              <w:rPr>
                <w:rFonts w:ascii="Calibri" w:hAnsi="Calibri" w:cs="Calibri"/>
                <w:color w:val="000000"/>
              </w:rPr>
              <w:t>THANJAVUR</w:t>
            </w:r>
          </w:p>
        </w:tc>
      </w:tr>
      <w:tr w:rsidR="00937546" w:rsidRPr="00E91A88" w14:paraId="0508891A" w14:textId="77777777" w:rsidTr="00447817">
        <w:trPr>
          <w:trHeight w:val="247"/>
        </w:trPr>
        <w:tc>
          <w:tcPr>
            <w:tcW w:w="6541" w:type="dxa"/>
            <w:vMerge/>
            <w:tcBorders>
              <w:left w:val="nil"/>
            </w:tcBorders>
            <w:shd w:val="clear" w:color="auto" w:fill="auto"/>
            <w:noWrap/>
            <w:vAlign w:val="center"/>
            <w:hideMark/>
          </w:tcPr>
          <w:p w14:paraId="267098EC"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48A762AF" w14:textId="77777777" w:rsidR="00937546" w:rsidRDefault="00937546" w:rsidP="00447817">
            <w:pPr>
              <w:rPr>
                <w:rFonts w:ascii="Calibri" w:hAnsi="Calibri" w:cs="Calibri"/>
                <w:color w:val="000000"/>
              </w:rPr>
            </w:pPr>
            <w:r>
              <w:rPr>
                <w:rFonts w:ascii="Calibri" w:hAnsi="Calibri" w:cs="Calibri"/>
                <w:color w:val="000000"/>
              </w:rPr>
              <w:t>KANYAKUMARI</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5881C251" w14:textId="77777777" w:rsidR="00937546" w:rsidRDefault="00937546" w:rsidP="00447817">
            <w:pPr>
              <w:rPr>
                <w:rFonts w:ascii="Calibri" w:hAnsi="Calibri" w:cs="Calibri"/>
                <w:color w:val="000000"/>
              </w:rPr>
            </w:pPr>
            <w:r>
              <w:rPr>
                <w:rFonts w:ascii="Calibri" w:hAnsi="Calibri" w:cs="Calibri"/>
                <w:color w:val="000000"/>
              </w:rPr>
              <w:t>PUDUKOTTAI</w:t>
            </w:r>
          </w:p>
        </w:tc>
      </w:tr>
      <w:tr w:rsidR="00937546" w:rsidRPr="00E91A88" w14:paraId="38424309" w14:textId="77777777" w:rsidTr="00447817">
        <w:trPr>
          <w:trHeight w:val="247"/>
        </w:trPr>
        <w:tc>
          <w:tcPr>
            <w:tcW w:w="6541" w:type="dxa"/>
            <w:vMerge w:val="restart"/>
            <w:tcBorders>
              <w:left w:val="nil"/>
            </w:tcBorders>
            <w:shd w:val="clear" w:color="auto" w:fill="auto"/>
            <w:noWrap/>
            <w:vAlign w:val="center"/>
            <w:hideMark/>
          </w:tcPr>
          <w:p w14:paraId="33805E99"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 xml:space="preserve">Number of claims </w:t>
            </w:r>
            <w:r>
              <w:rPr>
                <w:rFonts w:ascii="Times New Roman" w:eastAsia="Times New Roman" w:hAnsi="Times New Roman" w:cs="Times New Roman"/>
                <w:color w:val="000000"/>
                <w:sz w:val="24"/>
                <w:szCs w:val="24"/>
                <w:lang w:eastAsia="en-IN" w:bidi="ta-IN"/>
              </w:rPr>
              <w:t>in</w:t>
            </w:r>
            <w:r w:rsidRPr="00E91A88">
              <w:rPr>
                <w:rFonts w:ascii="Times New Roman" w:eastAsia="Times New Roman" w:hAnsi="Times New Roman" w:cs="Times New Roman"/>
                <w:color w:val="000000"/>
                <w:sz w:val="24"/>
                <w:szCs w:val="24"/>
                <w:lang w:eastAsia="en-IN" w:bidi="ta-IN"/>
              </w:rPr>
              <w:t xml:space="preserve"> private hospitals per 1 lakh enrolled</w:t>
            </w:r>
          </w:p>
        </w:tc>
        <w:tc>
          <w:tcPr>
            <w:tcW w:w="2688"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bottom"/>
            <w:hideMark/>
          </w:tcPr>
          <w:p w14:paraId="5EB9D73E" w14:textId="77777777" w:rsidR="00937546" w:rsidRDefault="00937546" w:rsidP="00447817">
            <w:pPr>
              <w:rPr>
                <w:rFonts w:ascii="Calibri" w:hAnsi="Calibri" w:cs="Calibri"/>
                <w:color w:val="000000"/>
              </w:rPr>
            </w:pPr>
            <w:r>
              <w:rPr>
                <w:rFonts w:ascii="Calibri" w:hAnsi="Calibri" w:cs="Calibri"/>
                <w:color w:val="000000"/>
              </w:rPr>
              <w:t>MADURAI</w:t>
            </w:r>
          </w:p>
        </w:tc>
        <w:tc>
          <w:tcPr>
            <w:tcW w:w="2688" w:type="dxa"/>
            <w:tcBorders>
              <w:top w:val="single" w:sz="4" w:space="0" w:color="auto"/>
              <w:left w:val="single" w:sz="4" w:space="0" w:color="auto"/>
              <w:bottom w:val="single" w:sz="4" w:space="0" w:color="auto"/>
              <w:right w:val="single" w:sz="4" w:space="0" w:color="auto"/>
            </w:tcBorders>
            <w:shd w:val="clear" w:color="auto" w:fill="FF9999"/>
            <w:noWrap/>
            <w:vAlign w:val="bottom"/>
            <w:hideMark/>
          </w:tcPr>
          <w:p w14:paraId="1A834030" w14:textId="77777777" w:rsidR="00937546" w:rsidRDefault="00937546" w:rsidP="00447817">
            <w:pPr>
              <w:rPr>
                <w:rFonts w:ascii="Calibri" w:hAnsi="Calibri" w:cs="Calibri"/>
                <w:color w:val="000000"/>
              </w:rPr>
            </w:pPr>
            <w:r>
              <w:rPr>
                <w:rFonts w:ascii="Calibri" w:hAnsi="Calibri" w:cs="Calibri"/>
                <w:color w:val="000000"/>
              </w:rPr>
              <w:t>NAGAPATTINAM</w:t>
            </w:r>
          </w:p>
        </w:tc>
      </w:tr>
      <w:tr w:rsidR="00937546" w:rsidRPr="00E91A88" w14:paraId="1600CA13" w14:textId="77777777" w:rsidTr="00447817">
        <w:trPr>
          <w:trHeight w:val="247"/>
        </w:trPr>
        <w:tc>
          <w:tcPr>
            <w:tcW w:w="6541" w:type="dxa"/>
            <w:vMerge/>
            <w:tcBorders>
              <w:left w:val="nil"/>
            </w:tcBorders>
            <w:shd w:val="clear" w:color="auto" w:fill="auto"/>
            <w:noWrap/>
            <w:vAlign w:val="bottom"/>
            <w:hideMark/>
          </w:tcPr>
          <w:p w14:paraId="611282B0"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1E2C92A6" w14:textId="77777777" w:rsidR="00937546" w:rsidRDefault="00937546" w:rsidP="00447817">
            <w:pPr>
              <w:rPr>
                <w:rFonts w:ascii="Calibri" w:hAnsi="Calibri" w:cs="Calibri"/>
                <w:color w:val="000000"/>
              </w:rPr>
            </w:pPr>
            <w:r>
              <w:rPr>
                <w:rFonts w:ascii="Calibri" w:hAnsi="Calibri" w:cs="Calibri"/>
                <w:color w:val="000000"/>
              </w:rPr>
              <w:t>KANYAKUMARI</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2F02B5AF" w14:textId="77777777" w:rsidR="00937546" w:rsidRDefault="00937546" w:rsidP="00447817">
            <w:pPr>
              <w:rPr>
                <w:rFonts w:ascii="Calibri" w:hAnsi="Calibri" w:cs="Calibri"/>
                <w:color w:val="000000"/>
              </w:rPr>
            </w:pPr>
            <w:r>
              <w:rPr>
                <w:rFonts w:ascii="Calibri" w:hAnsi="Calibri" w:cs="Calibri"/>
                <w:color w:val="000000"/>
              </w:rPr>
              <w:t>TIRUVARUR</w:t>
            </w:r>
          </w:p>
        </w:tc>
      </w:tr>
      <w:tr w:rsidR="00937546" w:rsidRPr="00E91A88" w14:paraId="0C044652" w14:textId="77777777" w:rsidTr="00447817">
        <w:trPr>
          <w:trHeight w:val="247"/>
        </w:trPr>
        <w:tc>
          <w:tcPr>
            <w:tcW w:w="6541" w:type="dxa"/>
            <w:vMerge/>
            <w:tcBorders>
              <w:left w:val="nil"/>
            </w:tcBorders>
            <w:shd w:val="clear" w:color="auto" w:fill="auto"/>
            <w:noWrap/>
            <w:vAlign w:val="bottom"/>
            <w:hideMark/>
          </w:tcPr>
          <w:p w14:paraId="37550A07"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546E8130" w14:textId="77777777" w:rsidR="00937546" w:rsidRDefault="00937546" w:rsidP="00447817">
            <w:pPr>
              <w:rPr>
                <w:rFonts w:ascii="Calibri" w:hAnsi="Calibri" w:cs="Calibri"/>
                <w:color w:val="000000"/>
              </w:rPr>
            </w:pPr>
            <w:r>
              <w:rPr>
                <w:rFonts w:ascii="Calibri" w:hAnsi="Calibri" w:cs="Calibri"/>
                <w:color w:val="000000"/>
              </w:rPr>
              <w:t>VIRUDHUNAGAR</w:t>
            </w: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2E5EF5B1" w14:textId="77777777" w:rsidR="00937546" w:rsidRDefault="00937546" w:rsidP="00447817">
            <w:pPr>
              <w:rPr>
                <w:rFonts w:ascii="Calibri" w:hAnsi="Calibri" w:cs="Calibri"/>
                <w:color w:val="000000"/>
              </w:rPr>
            </w:pPr>
            <w:r>
              <w:rPr>
                <w:rFonts w:ascii="Calibri" w:hAnsi="Calibri" w:cs="Calibri"/>
                <w:color w:val="000000"/>
              </w:rPr>
              <w:t>KRISHNAGIRI</w:t>
            </w:r>
          </w:p>
        </w:tc>
      </w:tr>
      <w:tr w:rsidR="00937546" w:rsidRPr="00E91A88" w14:paraId="048FEB24" w14:textId="77777777" w:rsidTr="00447817">
        <w:trPr>
          <w:trHeight w:val="247"/>
        </w:trPr>
        <w:tc>
          <w:tcPr>
            <w:tcW w:w="6541" w:type="dxa"/>
            <w:vMerge/>
            <w:tcBorders>
              <w:left w:val="nil"/>
            </w:tcBorders>
            <w:shd w:val="clear" w:color="auto" w:fill="auto"/>
            <w:noWrap/>
            <w:vAlign w:val="bottom"/>
            <w:hideMark/>
          </w:tcPr>
          <w:p w14:paraId="1B0A620D"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78605147" w14:textId="77777777" w:rsidR="00937546" w:rsidRDefault="00937546" w:rsidP="00447817">
            <w:pPr>
              <w:rPr>
                <w:rFonts w:ascii="Calibri" w:hAnsi="Calibri" w:cs="Calibri"/>
                <w:color w:val="000000"/>
              </w:rPr>
            </w:pPr>
            <w:r>
              <w:rPr>
                <w:rFonts w:ascii="Calibri" w:hAnsi="Calibri" w:cs="Calibri"/>
                <w:color w:val="000000"/>
              </w:rPr>
              <w:t>NAMAKKAL</w:t>
            </w: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221B18B7" w14:textId="77777777" w:rsidR="00937546" w:rsidRDefault="00937546" w:rsidP="00447817">
            <w:pPr>
              <w:rPr>
                <w:rFonts w:ascii="Calibri" w:hAnsi="Calibri" w:cs="Calibri"/>
                <w:color w:val="000000"/>
              </w:rPr>
            </w:pPr>
            <w:r>
              <w:rPr>
                <w:rFonts w:ascii="Calibri" w:hAnsi="Calibri" w:cs="Calibri"/>
                <w:color w:val="000000"/>
              </w:rPr>
              <w:t>THANJAVUR</w:t>
            </w:r>
          </w:p>
        </w:tc>
      </w:tr>
      <w:tr w:rsidR="00937546" w:rsidRPr="00E91A88" w14:paraId="4B9E8F2E" w14:textId="77777777" w:rsidTr="00447817">
        <w:trPr>
          <w:trHeight w:val="247"/>
        </w:trPr>
        <w:tc>
          <w:tcPr>
            <w:tcW w:w="6541" w:type="dxa"/>
            <w:vMerge/>
            <w:tcBorders>
              <w:left w:val="nil"/>
            </w:tcBorders>
            <w:shd w:val="clear" w:color="auto" w:fill="auto"/>
            <w:noWrap/>
            <w:vAlign w:val="bottom"/>
            <w:hideMark/>
          </w:tcPr>
          <w:p w14:paraId="203C8292"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4C69E13F" w14:textId="77777777" w:rsidR="00937546" w:rsidRDefault="00937546" w:rsidP="00447817">
            <w:pPr>
              <w:rPr>
                <w:rFonts w:ascii="Calibri" w:hAnsi="Calibri" w:cs="Calibri"/>
                <w:color w:val="000000"/>
              </w:rPr>
            </w:pPr>
            <w:r>
              <w:rPr>
                <w:rFonts w:ascii="Calibri" w:hAnsi="Calibri" w:cs="Calibri"/>
                <w:color w:val="000000"/>
              </w:rPr>
              <w:t>PERAMBALUR</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14F30F4C" w14:textId="77777777" w:rsidR="00937546" w:rsidRDefault="00937546" w:rsidP="00447817">
            <w:pPr>
              <w:rPr>
                <w:rFonts w:ascii="Calibri" w:hAnsi="Calibri" w:cs="Calibri"/>
                <w:color w:val="000000"/>
              </w:rPr>
            </w:pPr>
            <w:r>
              <w:rPr>
                <w:rFonts w:ascii="Calibri" w:hAnsi="Calibri" w:cs="Calibri"/>
                <w:color w:val="000000"/>
              </w:rPr>
              <w:t>NILGIRIS</w:t>
            </w:r>
          </w:p>
        </w:tc>
      </w:tr>
      <w:tr w:rsidR="00937546" w:rsidRPr="00E91A88" w14:paraId="46CB19C0" w14:textId="77777777" w:rsidTr="00447817">
        <w:trPr>
          <w:trHeight w:val="247"/>
        </w:trPr>
        <w:tc>
          <w:tcPr>
            <w:tcW w:w="6541" w:type="dxa"/>
            <w:vMerge w:val="restart"/>
            <w:tcBorders>
              <w:left w:val="nil"/>
            </w:tcBorders>
            <w:shd w:val="clear" w:color="auto" w:fill="auto"/>
            <w:noWrap/>
            <w:vAlign w:val="center"/>
            <w:hideMark/>
          </w:tcPr>
          <w:p w14:paraId="1CE7B6DF"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sidRPr="00E91A88">
              <w:rPr>
                <w:rFonts w:ascii="Times New Roman" w:eastAsia="Times New Roman" w:hAnsi="Times New Roman" w:cs="Times New Roman"/>
                <w:color w:val="000000"/>
                <w:sz w:val="24"/>
                <w:szCs w:val="24"/>
                <w:lang w:eastAsia="en-IN" w:bidi="ta-IN"/>
              </w:rPr>
              <w:t>Number of claims</w:t>
            </w:r>
            <w:r>
              <w:rPr>
                <w:rFonts w:ascii="Times New Roman" w:eastAsia="Times New Roman" w:hAnsi="Times New Roman" w:cs="Times New Roman"/>
                <w:color w:val="000000"/>
                <w:sz w:val="24"/>
                <w:szCs w:val="24"/>
                <w:lang w:eastAsia="en-IN" w:bidi="ta-IN"/>
              </w:rPr>
              <w:t xml:space="preserve"> in </w:t>
            </w:r>
            <w:r w:rsidRPr="00E91A88">
              <w:rPr>
                <w:rFonts w:ascii="Times New Roman" w:eastAsia="Times New Roman" w:hAnsi="Times New Roman" w:cs="Times New Roman"/>
                <w:color w:val="000000"/>
                <w:sz w:val="24"/>
                <w:szCs w:val="24"/>
                <w:lang w:eastAsia="en-IN" w:bidi="ta-IN"/>
              </w:rPr>
              <w:t>public hospitals per 1 lakh enrolled</w:t>
            </w:r>
          </w:p>
        </w:tc>
        <w:tc>
          <w:tcPr>
            <w:tcW w:w="2688"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hideMark/>
          </w:tcPr>
          <w:p w14:paraId="005F56B7" w14:textId="77777777" w:rsidR="00937546" w:rsidRDefault="00937546" w:rsidP="00447817">
            <w:pPr>
              <w:rPr>
                <w:rFonts w:ascii="Calibri" w:hAnsi="Calibri" w:cs="Calibri"/>
                <w:color w:val="000000"/>
              </w:rPr>
            </w:pPr>
            <w:r>
              <w:rPr>
                <w:rFonts w:ascii="Calibri" w:hAnsi="Calibri" w:cs="Calibri"/>
                <w:color w:val="000000"/>
              </w:rPr>
              <w:t>CHENNAI</w:t>
            </w:r>
          </w:p>
        </w:tc>
        <w:tc>
          <w:tcPr>
            <w:tcW w:w="2688" w:type="dxa"/>
            <w:tcBorders>
              <w:top w:val="single" w:sz="4" w:space="0" w:color="auto"/>
              <w:left w:val="single" w:sz="4" w:space="0" w:color="auto"/>
              <w:bottom w:val="single" w:sz="4" w:space="0" w:color="auto"/>
              <w:right w:val="single" w:sz="4" w:space="0" w:color="auto"/>
            </w:tcBorders>
            <w:shd w:val="clear" w:color="auto" w:fill="FF9999"/>
            <w:noWrap/>
            <w:vAlign w:val="bottom"/>
            <w:hideMark/>
          </w:tcPr>
          <w:p w14:paraId="648E6BD1" w14:textId="77777777" w:rsidR="00937546" w:rsidRDefault="00937546" w:rsidP="00447817">
            <w:pPr>
              <w:rPr>
                <w:rFonts w:ascii="Calibri" w:hAnsi="Calibri" w:cs="Calibri"/>
                <w:color w:val="000000"/>
              </w:rPr>
            </w:pPr>
            <w:r>
              <w:rPr>
                <w:rFonts w:ascii="Calibri" w:hAnsi="Calibri" w:cs="Calibri"/>
                <w:color w:val="000000"/>
              </w:rPr>
              <w:t>ERODE</w:t>
            </w:r>
          </w:p>
        </w:tc>
      </w:tr>
      <w:tr w:rsidR="00937546" w:rsidRPr="00E91A88" w14:paraId="5ED43D50" w14:textId="77777777" w:rsidTr="00447817">
        <w:trPr>
          <w:trHeight w:val="247"/>
        </w:trPr>
        <w:tc>
          <w:tcPr>
            <w:tcW w:w="6541" w:type="dxa"/>
            <w:vMerge/>
            <w:tcBorders>
              <w:left w:val="nil"/>
            </w:tcBorders>
            <w:shd w:val="clear" w:color="auto" w:fill="auto"/>
            <w:noWrap/>
            <w:vAlign w:val="center"/>
            <w:hideMark/>
          </w:tcPr>
          <w:p w14:paraId="78A7C765"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57995611" w14:textId="77777777" w:rsidR="00937546" w:rsidRDefault="00937546" w:rsidP="00447817">
            <w:pPr>
              <w:rPr>
                <w:rFonts w:ascii="Calibri" w:hAnsi="Calibri" w:cs="Calibri"/>
                <w:color w:val="000000"/>
              </w:rPr>
            </w:pPr>
            <w:r>
              <w:rPr>
                <w:rFonts w:ascii="Calibri" w:hAnsi="Calibri" w:cs="Calibri"/>
                <w:color w:val="000000"/>
              </w:rPr>
              <w:t>TIRUVALLUR</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3087A511" w14:textId="77777777" w:rsidR="00937546" w:rsidRDefault="00937546" w:rsidP="00447817">
            <w:pPr>
              <w:rPr>
                <w:rFonts w:ascii="Calibri" w:hAnsi="Calibri" w:cs="Calibri"/>
                <w:color w:val="000000"/>
              </w:rPr>
            </w:pPr>
            <w:r>
              <w:rPr>
                <w:rFonts w:ascii="Calibri" w:hAnsi="Calibri" w:cs="Calibri"/>
                <w:color w:val="000000"/>
              </w:rPr>
              <w:t>TIRUPUR</w:t>
            </w:r>
          </w:p>
        </w:tc>
      </w:tr>
      <w:tr w:rsidR="00937546" w:rsidRPr="00E91A88" w14:paraId="5BB16566" w14:textId="77777777" w:rsidTr="00447817">
        <w:trPr>
          <w:trHeight w:val="247"/>
        </w:trPr>
        <w:tc>
          <w:tcPr>
            <w:tcW w:w="6541" w:type="dxa"/>
            <w:vMerge/>
            <w:tcBorders>
              <w:left w:val="nil"/>
            </w:tcBorders>
            <w:shd w:val="clear" w:color="auto" w:fill="auto"/>
            <w:noWrap/>
            <w:vAlign w:val="center"/>
            <w:hideMark/>
          </w:tcPr>
          <w:p w14:paraId="0F41127D"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4E6EF284" w14:textId="77777777" w:rsidR="00937546" w:rsidRDefault="00937546" w:rsidP="00447817">
            <w:pPr>
              <w:rPr>
                <w:rFonts w:ascii="Calibri" w:hAnsi="Calibri" w:cs="Calibri"/>
                <w:color w:val="000000"/>
              </w:rPr>
            </w:pPr>
            <w:r>
              <w:rPr>
                <w:rFonts w:ascii="Calibri" w:hAnsi="Calibri" w:cs="Calibri"/>
                <w:color w:val="000000"/>
              </w:rPr>
              <w:t>TUTICORIN</w:t>
            </w: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115A9922" w14:textId="77777777" w:rsidR="00937546" w:rsidRDefault="00937546" w:rsidP="00447817">
            <w:pPr>
              <w:rPr>
                <w:rFonts w:ascii="Calibri" w:hAnsi="Calibri" w:cs="Calibri"/>
                <w:color w:val="000000"/>
              </w:rPr>
            </w:pPr>
            <w:r>
              <w:rPr>
                <w:rFonts w:ascii="Calibri" w:hAnsi="Calibri" w:cs="Calibri"/>
                <w:color w:val="000000"/>
              </w:rPr>
              <w:t>NILGIRIS</w:t>
            </w:r>
          </w:p>
        </w:tc>
      </w:tr>
      <w:tr w:rsidR="00937546" w:rsidRPr="00E91A88" w14:paraId="52ECF95C" w14:textId="77777777" w:rsidTr="00447817">
        <w:trPr>
          <w:trHeight w:val="213"/>
        </w:trPr>
        <w:tc>
          <w:tcPr>
            <w:tcW w:w="6541" w:type="dxa"/>
            <w:vMerge/>
            <w:tcBorders>
              <w:left w:val="nil"/>
            </w:tcBorders>
            <w:shd w:val="clear" w:color="auto" w:fill="auto"/>
            <w:noWrap/>
            <w:vAlign w:val="center"/>
            <w:hideMark/>
          </w:tcPr>
          <w:p w14:paraId="3F8BCECD"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9999"/>
            <w:noWrap/>
            <w:vAlign w:val="bottom"/>
            <w:hideMark/>
          </w:tcPr>
          <w:p w14:paraId="718952A8" w14:textId="77777777" w:rsidR="00937546" w:rsidRDefault="00937546" w:rsidP="00447817">
            <w:pPr>
              <w:rPr>
                <w:rFonts w:ascii="Calibri" w:hAnsi="Calibri" w:cs="Calibri"/>
                <w:color w:val="000000"/>
              </w:rPr>
            </w:pPr>
            <w:r>
              <w:rPr>
                <w:rFonts w:ascii="Calibri" w:hAnsi="Calibri" w:cs="Calibri"/>
                <w:color w:val="000000"/>
              </w:rPr>
              <w:t>TIRUVANNAMALAI</w:t>
            </w: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3C34DC1C" w14:textId="77777777" w:rsidR="00937546" w:rsidRDefault="00937546" w:rsidP="00447817">
            <w:pPr>
              <w:rPr>
                <w:rFonts w:ascii="Calibri" w:hAnsi="Calibri" w:cs="Calibri"/>
                <w:color w:val="000000"/>
              </w:rPr>
            </w:pPr>
            <w:r>
              <w:rPr>
                <w:rFonts w:ascii="Calibri" w:hAnsi="Calibri" w:cs="Calibri"/>
                <w:color w:val="000000"/>
              </w:rPr>
              <w:t>NAMAKKAL</w:t>
            </w:r>
          </w:p>
        </w:tc>
      </w:tr>
      <w:tr w:rsidR="00937546" w:rsidRPr="00E91A88" w14:paraId="6CC322C9" w14:textId="77777777" w:rsidTr="00447817">
        <w:trPr>
          <w:trHeight w:val="59"/>
        </w:trPr>
        <w:tc>
          <w:tcPr>
            <w:tcW w:w="6541" w:type="dxa"/>
            <w:vMerge/>
            <w:tcBorders>
              <w:left w:val="nil"/>
              <w:bottom w:val="single" w:sz="4" w:space="0" w:color="auto"/>
            </w:tcBorders>
            <w:shd w:val="clear" w:color="auto" w:fill="auto"/>
            <w:noWrap/>
            <w:vAlign w:val="center"/>
            <w:hideMark/>
          </w:tcPr>
          <w:p w14:paraId="68271A6F"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hideMark/>
          </w:tcPr>
          <w:p w14:paraId="3F2DF043" w14:textId="77777777" w:rsidR="00937546" w:rsidRDefault="00937546" w:rsidP="00447817">
            <w:pPr>
              <w:rPr>
                <w:rFonts w:ascii="Calibri" w:hAnsi="Calibri" w:cs="Calibri"/>
                <w:color w:val="000000"/>
              </w:rPr>
            </w:pPr>
            <w:r>
              <w:rPr>
                <w:rFonts w:ascii="Calibri" w:hAnsi="Calibri" w:cs="Calibri"/>
                <w:color w:val="000000"/>
              </w:rPr>
              <w:t>TIRUNELVELI</w:t>
            </w: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hideMark/>
          </w:tcPr>
          <w:p w14:paraId="60670F4F" w14:textId="77777777" w:rsidR="00937546" w:rsidRDefault="00937546" w:rsidP="00447817">
            <w:pPr>
              <w:rPr>
                <w:rFonts w:ascii="Calibri" w:hAnsi="Calibri" w:cs="Calibri"/>
                <w:color w:val="000000"/>
              </w:rPr>
            </w:pPr>
            <w:r>
              <w:rPr>
                <w:rFonts w:ascii="Calibri" w:hAnsi="Calibri" w:cs="Calibri"/>
                <w:color w:val="000000"/>
              </w:rPr>
              <w:t>KARUR</w:t>
            </w:r>
          </w:p>
        </w:tc>
      </w:tr>
      <w:tr w:rsidR="00937546" w:rsidRPr="00E91A88" w14:paraId="52E86EAC" w14:textId="77777777" w:rsidTr="00447817">
        <w:trPr>
          <w:trHeight w:val="59"/>
        </w:trPr>
        <w:tc>
          <w:tcPr>
            <w:tcW w:w="6541" w:type="dxa"/>
            <w:tcBorders>
              <w:left w:val="nil"/>
            </w:tcBorders>
            <w:shd w:val="clear" w:color="auto" w:fill="auto"/>
            <w:noWrap/>
            <w:vAlign w:val="center"/>
          </w:tcPr>
          <w:p w14:paraId="151A781A" w14:textId="77777777" w:rsidR="00937546" w:rsidRPr="00E91A88"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 xml:space="preserve">Number of claims made by hospitals per 1 lakh families enrolled </w:t>
            </w:r>
          </w:p>
        </w:tc>
        <w:tc>
          <w:tcPr>
            <w:tcW w:w="2688"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tcPr>
          <w:p w14:paraId="337E3352" w14:textId="77777777" w:rsidR="00937546" w:rsidRDefault="00937546" w:rsidP="00447817">
            <w:pPr>
              <w:rPr>
                <w:rFonts w:ascii="Calibri" w:hAnsi="Calibri" w:cs="Calibri"/>
                <w:color w:val="000000"/>
              </w:rPr>
            </w:pPr>
            <w:r>
              <w:rPr>
                <w:rFonts w:ascii="Calibri" w:hAnsi="Calibri" w:cs="Calibri"/>
                <w:color w:val="000000"/>
              </w:rPr>
              <w:t>CHENNAI</w:t>
            </w:r>
          </w:p>
        </w:tc>
        <w:tc>
          <w:tcPr>
            <w:tcW w:w="2688" w:type="dxa"/>
            <w:tcBorders>
              <w:top w:val="single" w:sz="4" w:space="0" w:color="auto"/>
              <w:left w:val="single" w:sz="4" w:space="0" w:color="auto"/>
              <w:bottom w:val="single" w:sz="4" w:space="0" w:color="auto"/>
              <w:right w:val="single" w:sz="4" w:space="0" w:color="auto"/>
            </w:tcBorders>
            <w:shd w:val="clear" w:color="auto" w:fill="FF9999"/>
            <w:noWrap/>
            <w:vAlign w:val="bottom"/>
          </w:tcPr>
          <w:p w14:paraId="0B839B45" w14:textId="77777777" w:rsidR="00937546" w:rsidRDefault="00937546" w:rsidP="00447817">
            <w:pPr>
              <w:rPr>
                <w:rFonts w:ascii="Calibri" w:hAnsi="Calibri" w:cs="Calibri"/>
                <w:color w:val="000000"/>
              </w:rPr>
            </w:pPr>
            <w:r>
              <w:rPr>
                <w:rFonts w:ascii="Calibri" w:hAnsi="Calibri" w:cs="Calibri"/>
                <w:color w:val="000000"/>
              </w:rPr>
              <w:t>NILGIRIS</w:t>
            </w:r>
          </w:p>
        </w:tc>
      </w:tr>
      <w:tr w:rsidR="00937546" w:rsidRPr="00E91A88" w14:paraId="18199463" w14:textId="77777777" w:rsidTr="00447817">
        <w:trPr>
          <w:trHeight w:val="59"/>
        </w:trPr>
        <w:tc>
          <w:tcPr>
            <w:tcW w:w="6541" w:type="dxa"/>
            <w:tcBorders>
              <w:left w:val="nil"/>
            </w:tcBorders>
            <w:shd w:val="clear" w:color="auto" w:fill="auto"/>
            <w:noWrap/>
            <w:vAlign w:val="center"/>
          </w:tcPr>
          <w:p w14:paraId="39EA96B3"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tcPr>
          <w:p w14:paraId="77A41F2D" w14:textId="77777777" w:rsidR="00937546" w:rsidRDefault="00937546" w:rsidP="00447817">
            <w:pPr>
              <w:rPr>
                <w:rFonts w:ascii="Calibri" w:hAnsi="Calibri" w:cs="Calibri"/>
                <w:color w:val="000000"/>
              </w:rPr>
            </w:pPr>
            <w:r>
              <w:rPr>
                <w:rFonts w:ascii="Calibri" w:hAnsi="Calibri" w:cs="Calibri"/>
                <w:color w:val="000000"/>
              </w:rPr>
              <w:t>MADURAI</w:t>
            </w:r>
          </w:p>
        </w:tc>
        <w:tc>
          <w:tcPr>
            <w:tcW w:w="2688" w:type="dxa"/>
            <w:tcBorders>
              <w:top w:val="nil"/>
              <w:left w:val="single" w:sz="4" w:space="0" w:color="auto"/>
              <w:bottom w:val="single" w:sz="4" w:space="0" w:color="auto"/>
              <w:right w:val="single" w:sz="4" w:space="0" w:color="auto"/>
            </w:tcBorders>
            <w:shd w:val="clear" w:color="auto" w:fill="FF9999"/>
            <w:noWrap/>
            <w:vAlign w:val="bottom"/>
          </w:tcPr>
          <w:p w14:paraId="6E4CEC7E" w14:textId="77777777" w:rsidR="00937546" w:rsidRDefault="00937546" w:rsidP="00447817">
            <w:pPr>
              <w:rPr>
                <w:rFonts w:ascii="Calibri" w:hAnsi="Calibri" w:cs="Calibri"/>
                <w:color w:val="000000"/>
              </w:rPr>
            </w:pPr>
            <w:r>
              <w:rPr>
                <w:rFonts w:ascii="Calibri" w:hAnsi="Calibri" w:cs="Calibri"/>
                <w:color w:val="000000"/>
              </w:rPr>
              <w:t>PUDUKOTTAI</w:t>
            </w:r>
          </w:p>
        </w:tc>
      </w:tr>
      <w:tr w:rsidR="00937546" w:rsidRPr="00E91A88" w14:paraId="7AEE7EC4" w14:textId="77777777" w:rsidTr="00447817">
        <w:trPr>
          <w:trHeight w:val="59"/>
        </w:trPr>
        <w:tc>
          <w:tcPr>
            <w:tcW w:w="6541" w:type="dxa"/>
            <w:tcBorders>
              <w:left w:val="nil"/>
            </w:tcBorders>
            <w:shd w:val="clear" w:color="auto" w:fill="auto"/>
            <w:noWrap/>
            <w:vAlign w:val="center"/>
          </w:tcPr>
          <w:p w14:paraId="285E621F"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47E71607" w14:textId="77777777" w:rsidR="00937546" w:rsidRDefault="00937546" w:rsidP="00447817">
            <w:pPr>
              <w:rPr>
                <w:rFonts w:ascii="Calibri" w:hAnsi="Calibri" w:cs="Calibri"/>
                <w:color w:val="000000"/>
              </w:rPr>
            </w:pPr>
            <w:r>
              <w:rPr>
                <w:rFonts w:ascii="Calibri" w:hAnsi="Calibri" w:cs="Calibri"/>
                <w:color w:val="000000"/>
              </w:rPr>
              <w:t>COIMBATORE</w:t>
            </w:r>
          </w:p>
        </w:tc>
        <w:tc>
          <w:tcPr>
            <w:tcW w:w="2688" w:type="dxa"/>
            <w:tcBorders>
              <w:top w:val="nil"/>
              <w:left w:val="single" w:sz="4" w:space="0" w:color="auto"/>
              <w:bottom w:val="single" w:sz="4" w:space="0" w:color="auto"/>
              <w:right w:val="single" w:sz="4" w:space="0" w:color="auto"/>
            </w:tcBorders>
            <w:shd w:val="clear" w:color="auto" w:fill="FF9999"/>
            <w:noWrap/>
            <w:vAlign w:val="bottom"/>
          </w:tcPr>
          <w:p w14:paraId="0744F16C" w14:textId="77777777" w:rsidR="00937546" w:rsidRDefault="00937546" w:rsidP="00447817">
            <w:pPr>
              <w:rPr>
                <w:rFonts w:ascii="Calibri" w:hAnsi="Calibri" w:cs="Calibri"/>
                <w:color w:val="000000"/>
              </w:rPr>
            </w:pPr>
            <w:r>
              <w:rPr>
                <w:rFonts w:ascii="Calibri" w:hAnsi="Calibri" w:cs="Calibri"/>
                <w:color w:val="000000"/>
              </w:rPr>
              <w:t>TIRUPUR</w:t>
            </w:r>
          </w:p>
        </w:tc>
      </w:tr>
      <w:tr w:rsidR="00937546" w:rsidRPr="00E91A88" w14:paraId="703F3F57" w14:textId="77777777" w:rsidTr="00447817">
        <w:trPr>
          <w:trHeight w:val="59"/>
        </w:trPr>
        <w:tc>
          <w:tcPr>
            <w:tcW w:w="6541" w:type="dxa"/>
            <w:tcBorders>
              <w:left w:val="nil"/>
            </w:tcBorders>
            <w:shd w:val="clear" w:color="auto" w:fill="auto"/>
            <w:noWrap/>
            <w:vAlign w:val="center"/>
          </w:tcPr>
          <w:p w14:paraId="2A8230CC"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5F96C4DE" w14:textId="77777777" w:rsidR="00937546" w:rsidRDefault="00937546" w:rsidP="00447817">
            <w:pPr>
              <w:rPr>
                <w:rFonts w:ascii="Calibri" w:hAnsi="Calibri" w:cs="Calibri"/>
                <w:color w:val="000000"/>
              </w:rPr>
            </w:pPr>
            <w:r>
              <w:rPr>
                <w:rFonts w:ascii="Calibri" w:hAnsi="Calibri" w:cs="Calibri"/>
                <w:color w:val="000000"/>
              </w:rPr>
              <w:t>KANYAKUMARI</w:t>
            </w:r>
          </w:p>
        </w:tc>
        <w:tc>
          <w:tcPr>
            <w:tcW w:w="2688" w:type="dxa"/>
            <w:tcBorders>
              <w:top w:val="nil"/>
              <w:left w:val="single" w:sz="4" w:space="0" w:color="auto"/>
              <w:bottom w:val="single" w:sz="4" w:space="0" w:color="auto"/>
              <w:right w:val="single" w:sz="4" w:space="0" w:color="auto"/>
            </w:tcBorders>
            <w:shd w:val="clear" w:color="auto" w:fill="FF9999"/>
            <w:noWrap/>
            <w:vAlign w:val="bottom"/>
          </w:tcPr>
          <w:p w14:paraId="360B72C8" w14:textId="77777777" w:rsidR="00937546" w:rsidRDefault="00937546" w:rsidP="00447817">
            <w:pPr>
              <w:rPr>
                <w:rFonts w:ascii="Calibri" w:hAnsi="Calibri" w:cs="Calibri"/>
                <w:color w:val="000000"/>
              </w:rPr>
            </w:pPr>
            <w:r>
              <w:rPr>
                <w:rFonts w:ascii="Calibri" w:hAnsi="Calibri" w:cs="Calibri"/>
                <w:color w:val="000000"/>
              </w:rPr>
              <w:t>NAGAPATTINAM</w:t>
            </w:r>
          </w:p>
        </w:tc>
      </w:tr>
      <w:tr w:rsidR="00937546" w:rsidRPr="00E91A88" w14:paraId="688BC367" w14:textId="77777777" w:rsidTr="00447817">
        <w:trPr>
          <w:trHeight w:val="59"/>
        </w:trPr>
        <w:tc>
          <w:tcPr>
            <w:tcW w:w="6541" w:type="dxa"/>
            <w:tcBorders>
              <w:left w:val="nil"/>
            </w:tcBorders>
            <w:shd w:val="clear" w:color="auto" w:fill="auto"/>
            <w:noWrap/>
            <w:vAlign w:val="center"/>
          </w:tcPr>
          <w:p w14:paraId="456DE0E5"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23598770" w14:textId="77777777" w:rsidR="00937546" w:rsidRDefault="00937546" w:rsidP="00447817">
            <w:pPr>
              <w:rPr>
                <w:rFonts w:ascii="Calibri" w:hAnsi="Calibri" w:cs="Calibri"/>
                <w:color w:val="000000"/>
              </w:rPr>
            </w:pPr>
            <w:r>
              <w:rPr>
                <w:rFonts w:ascii="Calibri" w:hAnsi="Calibri" w:cs="Calibri"/>
                <w:color w:val="000000"/>
              </w:rPr>
              <w:t>KANCHEEPURAM</w:t>
            </w:r>
          </w:p>
        </w:tc>
        <w:tc>
          <w:tcPr>
            <w:tcW w:w="2688" w:type="dxa"/>
            <w:tcBorders>
              <w:top w:val="nil"/>
              <w:left w:val="single" w:sz="4" w:space="0" w:color="auto"/>
              <w:bottom w:val="single" w:sz="4" w:space="0" w:color="auto"/>
              <w:right w:val="single" w:sz="4" w:space="0" w:color="auto"/>
            </w:tcBorders>
            <w:shd w:val="clear" w:color="auto" w:fill="FF9999"/>
            <w:noWrap/>
            <w:vAlign w:val="bottom"/>
          </w:tcPr>
          <w:p w14:paraId="3CAD89C9" w14:textId="77777777" w:rsidR="00937546" w:rsidRDefault="00937546" w:rsidP="00447817">
            <w:pPr>
              <w:rPr>
                <w:rFonts w:ascii="Calibri" w:hAnsi="Calibri" w:cs="Calibri"/>
                <w:color w:val="000000"/>
              </w:rPr>
            </w:pPr>
            <w:r>
              <w:rPr>
                <w:rFonts w:ascii="Calibri" w:hAnsi="Calibri" w:cs="Calibri"/>
                <w:color w:val="000000"/>
              </w:rPr>
              <w:t>ARIYALUR</w:t>
            </w:r>
          </w:p>
        </w:tc>
      </w:tr>
      <w:tr w:rsidR="00937546" w:rsidRPr="00E91A88" w14:paraId="67CC149C" w14:textId="77777777" w:rsidTr="00447817">
        <w:trPr>
          <w:trHeight w:val="59"/>
        </w:trPr>
        <w:tc>
          <w:tcPr>
            <w:tcW w:w="6541" w:type="dxa"/>
            <w:tcBorders>
              <w:left w:val="nil"/>
            </w:tcBorders>
            <w:shd w:val="clear" w:color="auto" w:fill="auto"/>
            <w:noWrap/>
            <w:vAlign w:val="center"/>
          </w:tcPr>
          <w:p w14:paraId="54D42906"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Number of claims made by public hospitals per 1 lakh families enrolled</w:t>
            </w:r>
          </w:p>
        </w:tc>
        <w:tc>
          <w:tcPr>
            <w:tcW w:w="2688"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tcPr>
          <w:p w14:paraId="6A36A684" w14:textId="77777777" w:rsidR="00937546" w:rsidRDefault="00937546" w:rsidP="00447817">
            <w:pPr>
              <w:rPr>
                <w:rFonts w:ascii="Calibri" w:hAnsi="Calibri" w:cs="Calibri"/>
                <w:color w:val="000000"/>
              </w:rPr>
            </w:pPr>
            <w:r>
              <w:rPr>
                <w:rFonts w:ascii="Calibri" w:hAnsi="Calibri" w:cs="Calibri"/>
                <w:color w:val="000000"/>
              </w:rPr>
              <w:t>CHENNAI</w:t>
            </w:r>
          </w:p>
        </w:tc>
        <w:tc>
          <w:tcPr>
            <w:tcW w:w="2688" w:type="dxa"/>
            <w:tcBorders>
              <w:top w:val="single" w:sz="4" w:space="0" w:color="auto"/>
              <w:left w:val="single" w:sz="4" w:space="0" w:color="auto"/>
              <w:bottom w:val="single" w:sz="4" w:space="0" w:color="auto"/>
              <w:right w:val="single" w:sz="4" w:space="0" w:color="auto"/>
            </w:tcBorders>
            <w:shd w:val="clear" w:color="auto" w:fill="FF9999"/>
            <w:noWrap/>
            <w:vAlign w:val="bottom"/>
          </w:tcPr>
          <w:p w14:paraId="4D9EFFE7" w14:textId="77777777" w:rsidR="00937546" w:rsidRDefault="00937546" w:rsidP="00447817">
            <w:pPr>
              <w:rPr>
                <w:rFonts w:ascii="Calibri" w:hAnsi="Calibri" w:cs="Calibri"/>
                <w:color w:val="000000"/>
              </w:rPr>
            </w:pPr>
            <w:r>
              <w:rPr>
                <w:rFonts w:ascii="Calibri" w:hAnsi="Calibri" w:cs="Calibri"/>
                <w:color w:val="000000"/>
              </w:rPr>
              <w:t>TIRUPUR</w:t>
            </w:r>
          </w:p>
        </w:tc>
      </w:tr>
      <w:tr w:rsidR="00937546" w:rsidRPr="00E91A88" w14:paraId="467538F9" w14:textId="77777777" w:rsidTr="00447817">
        <w:trPr>
          <w:trHeight w:val="59"/>
        </w:trPr>
        <w:tc>
          <w:tcPr>
            <w:tcW w:w="6541" w:type="dxa"/>
            <w:tcBorders>
              <w:left w:val="nil"/>
            </w:tcBorders>
            <w:shd w:val="clear" w:color="auto" w:fill="auto"/>
            <w:noWrap/>
            <w:vAlign w:val="center"/>
          </w:tcPr>
          <w:p w14:paraId="1B3FA0C1"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tcPr>
          <w:p w14:paraId="7306DE28" w14:textId="77777777" w:rsidR="00937546" w:rsidRDefault="00937546" w:rsidP="00447817">
            <w:pPr>
              <w:rPr>
                <w:rFonts w:ascii="Calibri" w:hAnsi="Calibri" w:cs="Calibri"/>
                <w:color w:val="000000"/>
              </w:rPr>
            </w:pPr>
            <w:r>
              <w:rPr>
                <w:rFonts w:ascii="Calibri" w:hAnsi="Calibri" w:cs="Calibri"/>
                <w:color w:val="000000"/>
              </w:rPr>
              <w:t>MADURAI</w:t>
            </w: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tcPr>
          <w:p w14:paraId="6985A0C3" w14:textId="77777777" w:rsidR="00937546" w:rsidRDefault="00937546" w:rsidP="00447817">
            <w:pPr>
              <w:rPr>
                <w:rFonts w:ascii="Calibri" w:hAnsi="Calibri" w:cs="Calibri"/>
                <w:color w:val="000000"/>
              </w:rPr>
            </w:pPr>
            <w:r>
              <w:rPr>
                <w:rFonts w:ascii="Calibri" w:hAnsi="Calibri" w:cs="Calibri"/>
                <w:color w:val="000000"/>
              </w:rPr>
              <w:t>DINDIGUL</w:t>
            </w:r>
          </w:p>
        </w:tc>
      </w:tr>
      <w:tr w:rsidR="00937546" w:rsidRPr="00E91A88" w14:paraId="76ED5BBF" w14:textId="77777777" w:rsidTr="00447817">
        <w:trPr>
          <w:trHeight w:val="59"/>
        </w:trPr>
        <w:tc>
          <w:tcPr>
            <w:tcW w:w="6541" w:type="dxa"/>
            <w:tcBorders>
              <w:left w:val="nil"/>
            </w:tcBorders>
            <w:shd w:val="clear" w:color="auto" w:fill="auto"/>
            <w:noWrap/>
            <w:vAlign w:val="center"/>
          </w:tcPr>
          <w:p w14:paraId="1A178406"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13308C4F" w14:textId="77777777" w:rsidR="00937546" w:rsidRDefault="00937546" w:rsidP="00447817">
            <w:pPr>
              <w:rPr>
                <w:rFonts w:ascii="Calibri" w:hAnsi="Calibri" w:cs="Calibri"/>
                <w:color w:val="000000"/>
              </w:rPr>
            </w:pPr>
            <w:r>
              <w:rPr>
                <w:rFonts w:ascii="Calibri" w:hAnsi="Calibri" w:cs="Calibri"/>
                <w:color w:val="000000"/>
              </w:rPr>
              <w:t>TIRUNELVELI</w:t>
            </w: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48837A08" w14:textId="77777777" w:rsidR="00937546" w:rsidRDefault="00937546" w:rsidP="00447817">
            <w:pPr>
              <w:rPr>
                <w:rFonts w:ascii="Calibri" w:hAnsi="Calibri" w:cs="Calibri"/>
                <w:color w:val="000000"/>
              </w:rPr>
            </w:pPr>
            <w:r>
              <w:rPr>
                <w:rFonts w:ascii="Calibri" w:hAnsi="Calibri" w:cs="Calibri"/>
                <w:color w:val="000000"/>
              </w:rPr>
              <w:t>TIRUVALLUR</w:t>
            </w:r>
          </w:p>
        </w:tc>
      </w:tr>
      <w:tr w:rsidR="00937546" w:rsidRPr="00E91A88" w14:paraId="2C08AEA8" w14:textId="77777777" w:rsidTr="00447817">
        <w:trPr>
          <w:trHeight w:val="59"/>
        </w:trPr>
        <w:tc>
          <w:tcPr>
            <w:tcW w:w="6541" w:type="dxa"/>
            <w:tcBorders>
              <w:left w:val="nil"/>
            </w:tcBorders>
            <w:shd w:val="clear" w:color="auto" w:fill="auto"/>
            <w:noWrap/>
            <w:vAlign w:val="center"/>
          </w:tcPr>
          <w:p w14:paraId="0AE59C3C"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25A7685D" w14:textId="77777777" w:rsidR="00937546" w:rsidRDefault="00937546" w:rsidP="00447817">
            <w:pPr>
              <w:rPr>
                <w:rFonts w:ascii="Calibri" w:hAnsi="Calibri" w:cs="Calibri"/>
                <w:color w:val="000000"/>
              </w:rPr>
            </w:pPr>
            <w:r>
              <w:rPr>
                <w:rFonts w:ascii="Calibri" w:hAnsi="Calibri" w:cs="Calibri"/>
                <w:color w:val="000000"/>
              </w:rPr>
              <w:t>TUTICORIN</w:t>
            </w:r>
          </w:p>
        </w:tc>
        <w:tc>
          <w:tcPr>
            <w:tcW w:w="2688" w:type="dxa"/>
            <w:tcBorders>
              <w:top w:val="nil"/>
              <w:left w:val="single" w:sz="4" w:space="0" w:color="auto"/>
              <w:bottom w:val="single" w:sz="4" w:space="0" w:color="auto"/>
              <w:right w:val="single" w:sz="4" w:space="0" w:color="auto"/>
            </w:tcBorders>
            <w:shd w:val="clear" w:color="auto" w:fill="FF9999"/>
            <w:noWrap/>
            <w:vAlign w:val="bottom"/>
          </w:tcPr>
          <w:p w14:paraId="225B84F7" w14:textId="77777777" w:rsidR="00937546" w:rsidRDefault="00937546" w:rsidP="00447817">
            <w:pPr>
              <w:rPr>
                <w:rFonts w:ascii="Calibri" w:hAnsi="Calibri" w:cs="Calibri"/>
                <w:color w:val="000000"/>
              </w:rPr>
            </w:pPr>
            <w:r>
              <w:rPr>
                <w:rFonts w:ascii="Calibri" w:hAnsi="Calibri" w:cs="Calibri"/>
                <w:color w:val="000000"/>
              </w:rPr>
              <w:t>ERODE</w:t>
            </w:r>
          </w:p>
        </w:tc>
      </w:tr>
      <w:tr w:rsidR="00937546" w:rsidRPr="00E91A88" w14:paraId="3A511AF1" w14:textId="77777777" w:rsidTr="00447817">
        <w:trPr>
          <w:trHeight w:val="59"/>
        </w:trPr>
        <w:tc>
          <w:tcPr>
            <w:tcW w:w="6541" w:type="dxa"/>
            <w:tcBorders>
              <w:left w:val="nil"/>
            </w:tcBorders>
            <w:shd w:val="clear" w:color="auto" w:fill="auto"/>
            <w:noWrap/>
            <w:vAlign w:val="center"/>
          </w:tcPr>
          <w:p w14:paraId="64211BFA"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single" w:sz="4" w:space="0" w:color="auto"/>
              <w:left w:val="single" w:sz="4" w:space="0" w:color="auto"/>
              <w:bottom w:val="single" w:sz="4" w:space="0" w:color="auto"/>
              <w:right w:val="single" w:sz="4" w:space="0" w:color="auto"/>
            </w:tcBorders>
            <w:shd w:val="clear" w:color="auto" w:fill="C5E0B3" w:themeFill="accent6" w:themeFillTint="66"/>
            <w:noWrap/>
            <w:vAlign w:val="bottom"/>
          </w:tcPr>
          <w:p w14:paraId="653B2175" w14:textId="77777777" w:rsidR="00937546" w:rsidRDefault="00937546" w:rsidP="00447817">
            <w:pPr>
              <w:rPr>
                <w:rFonts w:ascii="Calibri" w:hAnsi="Calibri" w:cs="Calibri"/>
                <w:color w:val="000000"/>
              </w:rPr>
            </w:pPr>
            <w:r>
              <w:rPr>
                <w:rFonts w:ascii="Calibri" w:hAnsi="Calibri" w:cs="Calibri"/>
                <w:color w:val="000000"/>
              </w:rPr>
              <w:t>KANYAKUMARI</w:t>
            </w:r>
          </w:p>
        </w:tc>
        <w:tc>
          <w:tcPr>
            <w:tcW w:w="2688" w:type="dxa"/>
            <w:tcBorders>
              <w:top w:val="nil"/>
              <w:left w:val="single" w:sz="4" w:space="0" w:color="auto"/>
              <w:bottom w:val="single" w:sz="4" w:space="0" w:color="auto"/>
              <w:right w:val="single" w:sz="4" w:space="0" w:color="auto"/>
            </w:tcBorders>
            <w:shd w:val="clear" w:color="auto" w:fill="FF9999"/>
            <w:noWrap/>
            <w:vAlign w:val="bottom"/>
          </w:tcPr>
          <w:p w14:paraId="287F64F7" w14:textId="77777777" w:rsidR="00937546" w:rsidRDefault="00937546" w:rsidP="00447817">
            <w:pPr>
              <w:rPr>
                <w:rFonts w:ascii="Calibri" w:hAnsi="Calibri" w:cs="Calibri"/>
                <w:color w:val="000000"/>
              </w:rPr>
            </w:pPr>
            <w:r>
              <w:rPr>
                <w:rFonts w:ascii="Calibri" w:hAnsi="Calibri" w:cs="Calibri"/>
                <w:color w:val="000000"/>
              </w:rPr>
              <w:t>PUDUKOTTAI</w:t>
            </w:r>
          </w:p>
        </w:tc>
      </w:tr>
      <w:tr w:rsidR="00937546" w:rsidRPr="00E91A88" w14:paraId="41117375" w14:textId="77777777" w:rsidTr="00447817">
        <w:trPr>
          <w:trHeight w:val="59"/>
        </w:trPr>
        <w:tc>
          <w:tcPr>
            <w:tcW w:w="6541" w:type="dxa"/>
            <w:tcBorders>
              <w:left w:val="nil"/>
            </w:tcBorders>
            <w:shd w:val="clear" w:color="auto" w:fill="auto"/>
            <w:noWrap/>
            <w:vAlign w:val="center"/>
          </w:tcPr>
          <w:p w14:paraId="548366C4"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Number of claims made by Private hospitals per 1 lakh families enrolled</w:t>
            </w:r>
          </w:p>
        </w:tc>
        <w:tc>
          <w:tcPr>
            <w:tcW w:w="2688" w:type="dxa"/>
            <w:tcBorders>
              <w:top w:val="single" w:sz="4" w:space="0" w:color="auto"/>
              <w:left w:val="single" w:sz="4" w:space="0" w:color="auto"/>
              <w:bottom w:val="single" w:sz="4" w:space="0" w:color="auto"/>
              <w:right w:val="single" w:sz="4" w:space="0" w:color="auto"/>
            </w:tcBorders>
            <w:shd w:val="clear" w:color="auto" w:fill="FFE599" w:themeFill="accent4" w:themeFillTint="66"/>
            <w:noWrap/>
            <w:vAlign w:val="bottom"/>
          </w:tcPr>
          <w:p w14:paraId="500A5787" w14:textId="77777777" w:rsidR="00937546" w:rsidRDefault="00937546" w:rsidP="00447817">
            <w:pPr>
              <w:rPr>
                <w:rFonts w:ascii="Calibri" w:hAnsi="Calibri" w:cs="Calibri"/>
                <w:color w:val="000000"/>
              </w:rPr>
            </w:pPr>
            <w:r>
              <w:rPr>
                <w:rFonts w:ascii="Calibri" w:hAnsi="Calibri" w:cs="Calibri"/>
                <w:color w:val="000000"/>
              </w:rPr>
              <w:t>MADURAI</w:t>
            </w:r>
          </w:p>
        </w:tc>
        <w:tc>
          <w:tcPr>
            <w:tcW w:w="2688" w:type="dxa"/>
            <w:tcBorders>
              <w:top w:val="single" w:sz="4" w:space="0" w:color="auto"/>
              <w:left w:val="single" w:sz="4" w:space="0" w:color="auto"/>
              <w:bottom w:val="single" w:sz="4" w:space="0" w:color="auto"/>
              <w:right w:val="single" w:sz="4" w:space="0" w:color="auto"/>
            </w:tcBorders>
            <w:shd w:val="clear" w:color="auto" w:fill="FF9999"/>
            <w:noWrap/>
            <w:vAlign w:val="bottom"/>
          </w:tcPr>
          <w:p w14:paraId="37CCA638" w14:textId="77777777" w:rsidR="00937546" w:rsidRDefault="00937546" w:rsidP="00447817">
            <w:pPr>
              <w:rPr>
                <w:rFonts w:ascii="Calibri" w:hAnsi="Calibri" w:cs="Calibri"/>
                <w:color w:val="000000"/>
              </w:rPr>
            </w:pPr>
            <w:r>
              <w:rPr>
                <w:rFonts w:ascii="Calibri" w:hAnsi="Calibri" w:cs="Calibri"/>
                <w:color w:val="000000"/>
              </w:rPr>
              <w:t>NAGAPATTINAM</w:t>
            </w:r>
          </w:p>
        </w:tc>
      </w:tr>
      <w:tr w:rsidR="00937546" w:rsidRPr="00E91A88" w14:paraId="49190A4D" w14:textId="77777777" w:rsidTr="00447817">
        <w:trPr>
          <w:trHeight w:val="59"/>
        </w:trPr>
        <w:tc>
          <w:tcPr>
            <w:tcW w:w="6541" w:type="dxa"/>
            <w:tcBorders>
              <w:left w:val="nil"/>
            </w:tcBorders>
            <w:shd w:val="clear" w:color="auto" w:fill="auto"/>
            <w:noWrap/>
            <w:vAlign w:val="center"/>
          </w:tcPr>
          <w:p w14:paraId="5587236C"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3C66D0DC" w14:textId="77777777" w:rsidR="00937546" w:rsidRDefault="00937546" w:rsidP="00447817">
            <w:pPr>
              <w:rPr>
                <w:rFonts w:ascii="Calibri" w:hAnsi="Calibri" w:cs="Calibri"/>
                <w:color w:val="000000"/>
              </w:rPr>
            </w:pPr>
            <w:r>
              <w:rPr>
                <w:rFonts w:ascii="Calibri" w:hAnsi="Calibri" w:cs="Calibri"/>
                <w:color w:val="000000"/>
              </w:rPr>
              <w:t>CHENNAI</w:t>
            </w:r>
          </w:p>
        </w:tc>
        <w:tc>
          <w:tcPr>
            <w:tcW w:w="2688" w:type="dxa"/>
            <w:tcBorders>
              <w:top w:val="nil"/>
              <w:left w:val="single" w:sz="4" w:space="0" w:color="auto"/>
              <w:bottom w:val="single" w:sz="4" w:space="0" w:color="auto"/>
              <w:right w:val="single" w:sz="4" w:space="0" w:color="auto"/>
            </w:tcBorders>
            <w:shd w:val="clear" w:color="auto" w:fill="FF9999"/>
            <w:noWrap/>
            <w:vAlign w:val="bottom"/>
          </w:tcPr>
          <w:p w14:paraId="4F674D9B" w14:textId="77777777" w:rsidR="00937546" w:rsidRDefault="00937546" w:rsidP="00447817">
            <w:pPr>
              <w:rPr>
                <w:rFonts w:ascii="Calibri" w:hAnsi="Calibri" w:cs="Calibri"/>
                <w:color w:val="000000"/>
              </w:rPr>
            </w:pPr>
            <w:r>
              <w:rPr>
                <w:rFonts w:ascii="Calibri" w:hAnsi="Calibri" w:cs="Calibri"/>
                <w:color w:val="000000"/>
              </w:rPr>
              <w:t>NILGIRIS</w:t>
            </w:r>
          </w:p>
        </w:tc>
      </w:tr>
      <w:tr w:rsidR="00937546" w:rsidRPr="00E91A88" w14:paraId="2DF25CB3" w14:textId="77777777" w:rsidTr="00447817">
        <w:trPr>
          <w:trHeight w:val="59"/>
        </w:trPr>
        <w:tc>
          <w:tcPr>
            <w:tcW w:w="6541" w:type="dxa"/>
            <w:tcBorders>
              <w:left w:val="nil"/>
            </w:tcBorders>
            <w:shd w:val="clear" w:color="auto" w:fill="auto"/>
            <w:noWrap/>
            <w:vAlign w:val="center"/>
          </w:tcPr>
          <w:p w14:paraId="60AD0164"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681B35DD" w14:textId="77777777" w:rsidR="00937546" w:rsidRDefault="00937546" w:rsidP="00447817">
            <w:pPr>
              <w:rPr>
                <w:rFonts w:ascii="Calibri" w:hAnsi="Calibri" w:cs="Calibri"/>
                <w:color w:val="000000"/>
              </w:rPr>
            </w:pPr>
            <w:r>
              <w:rPr>
                <w:rFonts w:ascii="Calibri" w:hAnsi="Calibri" w:cs="Calibri"/>
                <w:color w:val="000000"/>
              </w:rPr>
              <w:t>COIMBATORE</w:t>
            </w:r>
          </w:p>
        </w:tc>
        <w:tc>
          <w:tcPr>
            <w:tcW w:w="2688" w:type="dxa"/>
            <w:tcBorders>
              <w:top w:val="nil"/>
              <w:left w:val="single" w:sz="4" w:space="0" w:color="auto"/>
              <w:bottom w:val="single" w:sz="4" w:space="0" w:color="auto"/>
              <w:right w:val="single" w:sz="4" w:space="0" w:color="auto"/>
            </w:tcBorders>
            <w:shd w:val="clear" w:color="auto" w:fill="FFE599" w:themeFill="accent4" w:themeFillTint="66"/>
            <w:noWrap/>
            <w:vAlign w:val="bottom"/>
          </w:tcPr>
          <w:p w14:paraId="76EE45A2" w14:textId="77777777" w:rsidR="00937546" w:rsidRDefault="00937546" w:rsidP="00447817">
            <w:pPr>
              <w:rPr>
                <w:rFonts w:ascii="Calibri" w:hAnsi="Calibri" w:cs="Calibri"/>
                <w:color w:val="000000"/>
              </w:rPr>
            </w:pPr>
            <w:r>
              <w:rPr>
                <w:rFonts w:ascii="Calibri" w:hAnsi="Calibri" w:cs="Calibri"/>
                <w:color w:val="000000"/>
              </w:rPr>
              <w:t>RAMANATHAPURAM</w:t>
            </w:r>
          </w:p>
        </w:tc>
      </w:tr>
      <w:tr w:rsidR="00937546" w:rsidRPr="00E91A88" w14:paraId="1B9C4D36" w14:textId="77777777" w:rsidTr="00447817">
        <w:trPr>
          <w:trHeight w:val="59"/>
        </w:trPr>
        <w:tc>
          <w:tcPr>
            <w:tcW w:w="6541" w:type="dxa"/>
            <w:tcBorders>
              <w:left w:val="nil"/>
            </w:tcBorders>
            <w:shd w:val="clear" w:color="auto" w:fill="auto"/>
            <w:noWrap/>
            <w:vAlign w:val="center"/>
          </w:tcPr>
          <w:p w14:paraId="45DB1AD1"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FF9999"/>
            <w:noWrap/>
            <w:vAlign w:val="bottom"/>
          </w:tcPr>
          <w:p w14:paraId="01A08AF6" w14:textId="77777777" w:rsidR="00937546" w:rsidRDefault="00937546" w:rsidP="00447817">
            <w:pPr>
              <w:rPr>
                <w:rFonts w:ascii="Calibri" w:hAnsi="Calibri" w:cs="Calibri"/>
                <w:color w:val="000000"/>
              </w:rPr>
            </w:pPr>
            <w:r>
              <w:rPr>
                <w:rFonts w:ascii="Calibri" w:hAnsi="Calibri" w:cs="Calibri"/>
                <w:color w:val="000000"/>
              </w:rPr>
              <w:t>PERAMBALUR</w:t>
            </w:r>
          </w:p>
        </w:tc>
        <w:tc>
          <w:tcPr>
            <w:tcW w:w="2688" w:type="dxa"/>
            <w:tcBorders>
              <w:top w:val="nil"/>
              <w:left w:val="single" w:sz="4" w:space="0" w:color="auto"/>
              <w:bottom w:val="single" w:sz="4" w:space="0" w:color="auto"/>
              <w:right w:val="single" w:sz="4" w:space="0" w:color="auto"/>
            </w:tcBorders>
            <w:shd w:val="clear" w:color="auto" w:fill="FF9999"/>
            <w:noWrap/>
            <w:vAlign w:val="bottom"/>
          </w:tcPr>
          <w:p w14:paraId="06FFBA57" w14:textId="77777777" w:rsidR="00937546" w:rsidRDefault="00937546" w:rsidP="00447817">
            <w:pPr>
              <w:rPr>
                <w:rFonts w:ascii="Calibri" w:hAnsi="Calibri" w:cs="Calibri"/>
                <w:color w:val="000000"/>
              </w:rPr>
            </w:pPr>
            <w:r>
              <w:rPr>
                <w:rFonts w:ascii="Calibri" w:hAnsi="Calibri" w:cs="Calibri"/>
                <w:color w:val="000000"/>
              </w:rPr>
              <w:t>ARIYALUR</w:t>
            </w:r>
          </w:p>
        </w:tc>
      </w:tr>
      <w:tr w:rsidR="00937546" w:rsidRPr="00E91A88" w14:paraId="086DF0CF" w14:textId="77777777" w:rsidTr="00447817">
        <w:trPr>
          <w:trHeight w:val="59"/>
        </w:trPr>
        <w:tc>
          <w:tcPr>
            <w:tcW w:w="6541" w:type="dxa"/>
            <w:tcBorders>
              <w:left w:val="nil"/>
              <w:bottom w:val="single" w:sz="4" w:space="0" w:color="auto"/>
            </w:tcBorders>
            <w:shd w:val="clear" w:color="auto" w:fill="auto"/>
            <w:noWrap/>
            <w:vAlign w:val="center"/>
          </w:tcPr>
          <w:p w14:paraId="564AD909" w14:textId="77777777" w:rsidR="00937546" w:rsidRDefault="00937546" w:rsidP="00447817">
            <w:pPr>
              <w:spacing w:after="0" w:line="240" w:lineRule="auto"/>
              <w:jc w:val="both"/>
              <w:rPr>
                <w:rFonts w:ascii="Times New Roman" w:eastAsia="Times New Roman" w:hAnsi="Times New Roman" w:cs="Times New Roman"/>
                <w:color w:val="000000"/>
                <w:sz w:val="24"/>
                <w:szCs w:val="24"/>
                <w:lang w:eastAsia="en-IN" w:bidi="ta-IN"/>
              </w:rPr>
            </w:pPr>
          </w:p>
        </w:tc>
        <w:tc>
          <w:tcPr>
            <w:tcW w:w="2688" w:type="dxa"/>
            <w:tcBorders>
              <w:top w:val="nil"/>
              <w:left w:val="single" w:sz="4" w:space="0" w:color="auto"/>
              <w:bottom w:val="single" w:sz="4" w:space="0" w:color="auto"/>
              <w:right w:val="single" w:sz="4" w:space="0" w:color="auto"/>
            </w:tcBorders>
            <w:shd w:val="clear" w:color="auto" w:fill="C5E0B3" w:themeFill="accent6" w:themeFillTint="66"/>
            <w:noWrap/>
            <w:vAlign w:val="bottom"/>
          </w:tcPr>
          <w:p w14:paraId="10750A3F" w14:textId="77777777" w:rsidR="00937546" w:rsidRDefault="00937546" w:rsidP="00447817">
            <w:pPr>
              <w:rPr>
                <w:rFonts w:ascii="Calibri" w:hAnsi="Calibri" w:cs="Calibri"/>
                <w:color w:val="000000"/>
              </w:rPr>
            </w:pPr>
            <w:r>
              <w:rPr>
                <w:rFonts w:ascii="Calibri" w:hAnsi="Calibri" w:cs="Calibri"/>
                <w:color w:val="000000"/>
              </w:rPr>
              <w:t>KANCHEEPURAM</w:t>
            </w:r>
          </w:p>
        </w:tc>
        <w:tc>
          <w:tcPr>
            <w:tcW w:w="2688" w:type="dxa"/>
            <w:tcBorders>
              <w:top w:val="nil"/>
              <w:left w:val="single" w:sz="4" w:space="0" w:color="auto"/>
              <w:bottom w:val="single" w:sz="4" w:space="0" w:color="auto"/>
              <w:right w:val="single" w:sz="4" w:space="0" w:color="auto"/>
            </w:tcBorders>
            <w:shd w:val="clear" w:color="auto" w:fill="FF9999"/>
            <w:noWrap/>
            <w:vAlign w:val="bottom"/>
          </w:tcPr>
          <w:p w14:paraId="7516D81E" w14:textId="77777777" w:rsidR="00937546" w:rsidRDefault="00937546" w:rsidP="00447817">
            <w:pPr>
              <w:rPr>
                <w:rFonts w:ascii="Calibri" w:hAnsi="Calibri" w:cs="Calibri"/>
                <w:color w:val="000000"/>
              </w:rPr>
            </w:pPr>
            <w:r>
              <w:rPr>
                <w:rFonts w:ascii="Calibri" w:hAnsi="Calibri" w:cs="Calibri"/>
                <w:color w:val="000000"/>
              </w:rPr>
              <w:t>PUDUKOTTAI</w:t>
            </w:r>
          </w:p>
        </w:tc>
      </w:tr>
    </w:tbl>
    <w:p w14:paraId="7CBBFD0D" w14:textId="77777777" w:rsidR="00937546" w:rsidRPr="00E91A88" w:rsidRDefault="00937546" w:rsidP="00937546">
      <w:pPr>
        <w:pStyle w:val="ColorfulList-Accent11"/>
        <w:autoSpaceDE w:val="0"/>
        <w:autoSpaceDN w:val="0"/>
        <w:adjustRightInd w:val="0"/>
        <w:spacing w:after="0" w:line="240" w:lineRule="auto"/>
        <w:ind w:left="0" w:right="26"/>
        <w:jc w:val="both"/>
        <w:rPr>
          <w:rFonts w:ascii="Times New Roman" w:hAnsi="Times New Roman"/>
          <w:color w:val="231F20"/>
          <w:sz w:val="24"/>
          <w:szCs w:val="24"/>
        </w:rPr>
      </w:pPr>
      <w:r w:rsidRPr="00E91A88">
        <w:rPr>
          <w:rFonts w:ascii="Times New Roman" w:hAnsi="Times New Roman"/>
          <w:color w:val="231F20"/>
          <w:sz w:val="24"/>
          <w:szCs w:val="24"/>
        </w:rPr>
        <w:t>*- Red shade indicates Low Development Group, Yellow shade indicates Middle Development Group, Green indicates High Development Group</w:t>
      </w:r>
    </w:p>
    <w:p w14:paraId="52E7E358" w14:textId="77777777" w:rsidR="00937546" w:rsidRPr="00E91A88" w:rsidRDefault="00937546" w:rsidP="00937546">
      <w:pPr>
        <w:pStyle w:val="ColorfulList-Accent11"/>
        <w:autoSpaceDE w:val="0"/>
        <w:autoSpaceDN w:val="0"/>
        <w:adjustRightInd w:val="0"/>
        <w:spacing w:after="0" w:line="360" w:lineRule="auto"/>
        <w:ind w:left="-90" w:right="26" w:firstLine="90"/>
        <w:jc w:val="both"/>
        <w:rPr>
          <w:rFonts w:ascii="Times New Roman" w:hAnsi="Times New Roman"/>
          <w:color w:val="231F20"/>
          <w:sz w:val="24"/>
          <w:szCs w:val="24"/>
        </w:rPr>
      </w:pPr>
    </w:p>
    <w:p w14:paraId="2509781E" w14:textId="77777777" w:rsidR="00937546" w:rsidRPr="00E91A88" w:rsidRDefault="00937546" w:rsidP="00937546">
      <w:pPr>
        <w:pStyle w:val="ColorfulList-Accent11"/>
        <w:autoSpaceDE w:val="0"/>
        <w:autoSpaceDN w:val="0"/>
        <w:adjustRightInd w:val="0"/>
        <w:spacing w:after="0" w:line="360" w:lineRule="auto"/>
        <w:ind w:left="-90" w:right="26" w:firstLine="90"/>
        <w:jc w:val="both"/>
        <w:rPr>
          <w:rFonts w:ascii="Times New Roman" w:hAnsi="Times New Roman"/>
          <w:color w:val="231F20"/>
          <w:sz w:val="24"/>
          <w:szCs w:val="24"/>
        </w:rPr>
      </w:pPr>
    </w:p>
    <w:p w14:paraId="7751E5DF" w14:textId="77777777" w:rsidR="00937546" w:rsidRPr="00E91A88" w:rsidRDefault="00937546" w:rsidP="00937546">
      <w:pPr>
        <w:pStyle w:val="ColorfulList-Accent11"/>
        <w:autoSpaceDE w:val="0"/>
        <w:autoSpaceDN w:val="0"/>
        <w:adjustRightInd w:val="0"/>
        <w:spacing w:after="0" w:line="360" w:lineRule="auto"/>
        <w:ind w:left="-90" w:right="26" w:firstLine="90"/>
        <w:jc w:val="both"/>
        <w:rPr>
          <w:rFonts w:ascii="Times New Roman" w:hAnsi="Times New Roman"/>
          <w:color w:val="231F20"/>
          <w:sz w:val="24"/>
          <w:szCs w:val="24"/>
        </w:rPr>
      </w:pPr>
    </w:p>
    <w:p w14:paraId="1BEC8716" w14:textId="77777777" w:rsidR="00937546" w:rsidRPr="00E91A88" w:rsidRDefault="00937546" w:rsidP="00937546">
      <w:pPr>
        <w:pStyle w:val="ColorfulList-Accent11"/>
        <w:autoSpaceDE w:val="0"/>
        <w:autoSpaceDN w:val="0"/>
        <w:adjustRightInd w:val="0"/>
        <w:spacing w:after="0" w:line="360" w:lineRule="auto"/>
        <w:ind w:left="-90" w:right="26" w:firstLine="90"/>
        <w:jc w:val="both"/>
        <w:rPr>
          <w:rFonts w:ascii="Times New Roman" w:hAnsi="Times New Roman"/>
          <w:color w:val="231F20"/>
          <w:sz w:val="24"/>
          <w:szCs w:val="24"/>
        </w:rPr>
      </w:pPr>
    </w:p>
    <w:p w14:paraId="5C072032" w14:textId="77777777" w:rsidR="00937546" w:rsidRPr="00E91A88" w:rsidRDefault="00937546" w:rsidP="00937546">
      <w:pPr>
        <w:pStyle w:val="ColorfulList-Accent11"/>
        <w:autoSpaceDE w:val="0"/>
        <w:autoSpaceDN w:val="0"/>
        <w:adjustRightInd w:val="0"/>
        <w:spacing w:after="0" w:line="360" w:lineRule="auto"/>
        <w:ind w:left="0" w:right="26"/>
        <w:jc w:val="both"/>
        <w:rPr>
          <w:rFonts w:ascii="Times New Roman" w:hAnsi="Times New Roman"/>
          <w:color w:val="231F20"/>
          <w:sz w:val="24"/>
          <w:szCs w:val="24"/>
        </w:rPr>
        <w:sectPr w:rsidR="00937546" w:rsidRPr="00E91A88" w:rsidSect="00FF676D">
          <w:pgSz w:w="15840" w:h="19100"/>
          <w:pgMar w:top="1440" w:right="1797" w:bottom="3260" w:left="1803" w:header="720" w:footer="720" w:gutter="0"/>
          <w:cols w:space="720"/>
          <w:noEndnote/>
          <w:docGrid w:linePitch="299"/>
        </w:sectPr>
      </w:pPr>
    </w:p>
    <w:tbl>
      <w:tblPr>
        <w:tblStyle w:val="TableGrid"/>
        <w:tblpPr w:leftFromText="180" w:rightFromText="180" w:vertAnchor="page" w:horzAnchor="page" w:tblpX="1737" w:tblpY="3192"/>
        <w:tblW w:w="5720" w:type="pct"/>
        <w:tblLayout w:type="fixed"/>
        <w:tblLook w:val="04A0" w:firstRow="1" w:lastRow="0" w:firstColumn="1" w:lastColumn="0" w:noHBand="0" w:noVBand="1"/>
      </w:tblPr>
      <w:tblGrid>
        <w:gridCol w:w="2068"/>
        <w:gridCol w:w="1393"/>
        <w:gridCol w:w="1149"/>
        <w:gridCol w:w="1297"/>
        <w:gridCol w:w="1060"/>
        <w:gridCol w:w="1396"/>
        <w:gridCol w:w="1429"/>
        <w:gridCol w:w="1310"/>
        <w:gridCol w:w="1340"/>
        <w:gridCol w:w="1340"/>
        <w:gridCol w:w="1340"/>
        <w:gridCol w:w="1340"/>
      </w:tblGrid>
      <w:tr w:rsidR="00937546" w:rsidRPr="00E91A88" w14:paraId="536905B5" w14:textId="77777777" w:rsidTr="00447817">
        <w:trPr>
          <w:trHeight w:val="666"/>
        </w:trPr>
        <w:tc>
          <w:tcPr>
            <w:tcW w:w="628" w:type="pct"/>
          </w:tcPr>
          <w:p w14:paraId="186B09C4"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lastRenderedPageBreak/>
              <w:t>Development index</w:t>
            </w:r>
          </w:p>
        </w:tc>
        <w:tc>
          <w:tcPr>
            <w:tcW w:w="423" w:type="pct"/>
          </w:tcPr>
          <w:p w14:paraId="5D625162" w14:textId="77777777" w:rsidR="00937546" w:rsidRPr="00E91A88" w:rsidRDefault="00937546" w:rsidP="00447817">
            <w:pPr>
              <w:jc w:val="both"/>
              <w:rPr>
                <w:rFonts w:ascii="Times New Roman" w:hAnsi="Times New Roman" w:cs="Times New Roman"/>
                <w:sz w:val="24"/>
                <w:szCs w:val="24"/>
              </w:rPr>
            </w:pPr>
          </w:p>
        </w:tc>
        <w:tc>
          <w:tcPr>
            <w:tcW w:w="349" w:type="pct"/>
          </w:tcPr>
          <w:p w14:paraId="1FD90AC0"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 xml:space="preserve">Proportion Of Population Enrolled </w:t>
            </w:r>
          </w:p>
          <w:p w14:paraId="647E1BAC" w14:textId="77777777" w:rsidR="00937546" w:rsidRPr="00E91A88" w:rsidRDefault="00937546" w:rsidP="00447817">
            <w:pPr>
              <w:jc w:val="both"/>
              <w:rPr>
                <w:rFonts w:ascii="Times New Roman" w:hAnsi="Times New Roman" w:cs="Times New Roman"/>
                <w:color w:val="000000"/>
                <w:sz w:val="24"/>
                <w:szCs w:val="24"/>
              </w:rPr>
            </w:pPr>
          </w:p>
        </w:tc>
        <w:tc>
          <w:tcPr>
            <w:tcW w:w="394" w:type="pct"/>
          </w:tcPr>
          <w:p w14:paraId="54F890F7"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Hospital Availability</w:t>
            </w:r>
          </w:p>
          <w:p w14:paraId="5EDE3AC1"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 xml:space="preserve">/1lakh </w:t>
            </w:r>
            <w:r>
              <w:rPr>
                <w:rFonts w:ascii="Times New Roman" w:hAnsi="Times New Roman" w:cs="Times New Roman"/>
                <w:color w:val="000000"/>
                <w:sz w:val="24"/>
                <w:szCs w:val="24"/>
              </w:rPr>
              <w:t xml:space="preserve">Families </w:t>
            </w:r>
            <w:r w:rsidRPr="00E91A88">
              <w:rPr>
                <w:rFonts w:ascii="Times New Roman" w:hAnsi="Times New Roman" w:cs="Times New Roman"/>
                <w:color w:val="000000"/>
                <w:sz w:val="24"/>
                <w:szCs w:val="24"/>
              </w:rPr>
              <w:t>Enrolled</w:t>
            </w:r>
          </w:p>
        </w:tc>
        <w:tc>
          <w:tcPr>
            <w:tcW w:w="322" w:type="pct"/>
          </w:tcPr>
          <w:p w14:paraId="0E80F4F4"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Public</w:t>
            </w:r>
            <w:r>
              <w:rPr>
                <w:rFonts w:ascii="Times New Roman" w:hAnsi="Times New Roman" w:cs="Times New Roman"/>
                <w:color w:val="000000"/>
                <w:sz w:val="24"/>
                <w:szCs w:val="24"/>
              </w:rPr>
              <w:t xml:space="preserve"> Hospital Availability </w:t>
            </w:r>
            <w:r w:rsidRPr="00E91A88">
              <w:rPr>
                <w:rFonts w:ascii="Times New Roman" w:hAnsi="Times New Roman" w:cs="Times New Roman"/>
                <w:color w:val="000000"/>
                <w:sz w:val="24"/>
                <w:szCs w:val="24"/>
              </w:rPr>
              <w:t xml:space="preserve">/ 1 Lakh </w:t>
            </w:r>
            <w:r>
              <w:rPr>
                <w:rFonts w:ascii="Times New Roman" w:hAnsi="Times New Roman" w:cs="Times New Roman"/>
                <w:color w:val="000000"/>
                <w:sz w:val="24"/>
                <w:szCs w:val="24"/>
              </w:rPr>
              <w:t xml:space="preserve">Families </w:t>
            </w:r>
            <w:r w:rsidRPr="00E91A88">
              <w:rPr>
                <w:rFonts w:ascii="Times New Roman" w:hAnsi="Times New Roman" w:cs="Times New Roman"/>
                <w:color w:val="000000"/>
                <w:sz w:val="24"/>
                <w:szCs w:val="24"/>
              </w:rPr>
              <w:t>enrolled</w:t>
            </w:r>
          </w:p>
        </w:tc>
        <w:tc>
          <w:tcPr>
            <w:tcW w:w="424" w:type="pct"/>
          </w:tcPr>
          <w:p w14:paraId="0441EB44" w14:textId="77777777" w:rsidR="00937546" w:rsidRPr="00E91A88" w:rsidRDefault="00937546" w:rsidP="00447817">
            <w:pPr>
              <w:jc w:val="both"/>
              <w:rPr>
                <w:rFonts w:ascii="Times New Roman" w:hAnsi="Times New Roman" w:cs="Times New Roman"/>
                <w:color w:val="000000"/>
                <w:sz w:val="24"/>
                <w:szCs w:val="24"/>
              </w:rPr>
            </w:pPr>
            <w:r>
              <w:rPr>
                <w:rFonts w:ascii="Times New Roman" w:hAnsi="Times New Roman" w:cs="Times New Roman"/>
                <w:color w:val="000000"/>
                <w:sz w:val="24"/>
                <w:szCs w:val="24"/>
              </w:rPr>
              <w:t>Private Hospital Availability</w:t>
            </w:r>
            <w:r w:rsidRPr="00E91A88">
              <w:rPr>
                <w:rFonts w:ascii="Times New Roman" w:hAnsi="Times New Roman" w:cs="Times New Roman"/>
                <w:color w:val="000000"/>
                <w:sz w:val="24"/>
                <w:szCs w:val="24"/>
              </w:rPr>
              <w:t>/</w:t>
            </w:r>
          </w:p>
          <w:p w14:paraId="6FEB5323"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1 Lakh</w:t>
            </w:r>
            <w:r>
              <w:rPr>
                <w:rFonts w:ascii="Times New Roman" w:hAnsi="Times New Roman" w:cs="Times New Roman"/>
                <w:color w:val="000000"/>
                <w:sz w:val="24"/>
                <w:szCs w:val="24"/>
              </w:rPr>
              <w:t xml:space="preserve"> Families</w:t>
            </w:r>
            <w:r w:rsidRPr="00E91A88">
              <w:rPr>
                <w:rFonts w:ascii="Times New Roman" w:hAnsi="Times New Roman" w:cs="Times New Roman"/>
                <w:color w:val="000000"/>
                <w:sz w:val="24"/>
                <w:szCs w:val="24"/>
              </w:rPr>
              <w:t xml:space="preserve"> Enrolled</w:t>
            </w:r>
          </w:p>
        </w:tc>
        <w:tc>
          <w:tcPr>
            <w:tcW w:w="434" w:type="pct"/>
          </w:tcPr>
          <w:p w14:paraId="31E151D6"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Claims</w:t>
            </w:r>
            <w:r>
              <w:rPr>
                <w:rFonts w:ascii="Times New Roman" w:hAnsi="Times New Roman" w:cs="Times New Roman"/>
                <w:color w:val="000000"/>
                <w:sz w:val="24"/>
                <w:szCs w:val="24"/>
              </w:rPr>
              <w:t xml:space="preserve"> Made By Population</w:t>
            </w:r>
            <w:r w:rsidRPr="00E91A88">
              <w:rPr>
                <w:rFonts w:ascii="Times New Roman" w:hAnsi="Times New Roman" w:cs="Times New Roman"/>
                <w:color w:val="000000"/>
                <w:sz w:val="24"/>
                <w:szCs w:val="24"/>
              </w:rPr>
              <w:t xml:space="preserve"> /1 Lakh Enrolled</w:t>
            </w:r>
          </w:p>
        </w:tc>
        <w:tc>
          <w:tcPr>
            <w:tcW w:w="398" w:type="pct"/>
          </w:tcPr>
          <w:p w14:paraId="2C0D5CC7"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Public Claims/1 Lakh Enrolled</w:t>
            </w:r>
          </w:p>
        </w:tc>
        <w:tc>
          <w:tcPr>
            <w:tcW w:w="407" w:type="pct"/>
          </w:tcPr>
          <w:p w14:paraId="17AD1690"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Pvt Claims/Enrolled</w:t>
            </w:r>
          </w:p>
        </w:tc>
        <w:tc>
          <w:tcPr>
            <w:tcW w:w="407" w:type="pct"/>
          </w:tcPr>
          <w:p w14:paraId="664744BD"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 xml:space="preserve">Claims </w:t>
            </w:r>
            <w:r>
              <w:rPr>
                <w:rFonts w:ascii="Times New Roman" w:hAnsi="Times New Roman" w:cs="Times New Roman"/>
                <w:color w:val="000000"/>
                <w:sz w:val="24"/>
                <w:szCs w:val="24"/>
              </w:rPr>
              <w:t xml:space="preserve">Made By Hospital </w:t>
            </w:r>
            <w:r w:rsidRPr="00E91A88">
              <w:rPr>
                <w:rFonts w:ascii="Times New Roman" w:hAnsi="Times New Roman" w:cs="Times New Roman"/>
                <w:color w:val="000000"/>
                <w:sz w:val="24"/>
                <w:szCs w:val="24"/>
              </w:rPr>
              <w:t xml:space="preserve">/1 Lakh </w:t>
            </w:r>
            <w:r>
              <w:rPr>
                <w:rFonts w:ascii="Times New Roman" w:hAnsi="Times New Roman" w:cs="Times New Roman"/>
                <w:color w:val="000000"/>
                <w:sz w:val="24"/>
                <w:szCs w:val="24"/>
              </w:rPr>
              <w:t xml:space="preserve">Families </w:t>
            </w:r>
            <w:r w:rsidRPr="00E91A88">
              <w:rPr>
                <w:rFonts w:ascii="Times New Roman" w:hAnsi="Times New Roman" w:cs="Times New Roman"/>
                <w:color w:val="000000"/>
                <w:sz w:val="24"/>
                <w:szCs w:val="24"/>
              </w:rPr>
              <w:t>Enrolled</w:t>
            </w:r>
          </w:p>
        </w:tc>
        <w:tc>
          <w:tcPr>
            <w:tcW w:w="407" w:type="pct"/>
          </w:tcPr>
          <w:p w14:paraId="5724E9DD"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Claims</w:t>
            </w:r>
            <w:r>
              <w:rPr>
                <w:rFonts w:ascii="Times New Roman" w:hAnsi="Times New Roman" w:cs="Times New Roman"/>
                <w:color w:val="000000"/>
                <w:sz w:val="24"/>
                <w:szCs w:val="24"/>
              </w:rPr>
              <w:t xml:space="preserve"> By Public Hospitals</w:t>
            </w:r>
            <w:r w:rsidRPr="00E91A88">
              <w:rPr>
                <w:rFonts w:ascii="Times New Roman" w:hAnsi="Times New Roman" w:cs="Times New Roman"/>
                <w:color w:val="000000"/>
                <w:sz w:val="24"/>
                <w:szCs w:val="24"/>
              </w:rPr>
              <w:t>/1 Lakh Enrolled</w:t>
            </w:r>
          </w:p>
        </w:tc>
        <w:tc>
          <w:tcPr>
            <w:tcW w:w="407" w:type="pct"/>
          </w:tcPr>
          <w:p w14:paraId="3E2CB002" w14:textId="77777777" w:rsidR="00937546" w:rsidRPr="00E91A88" w:rsidRDefault="00937546" w:rsidP="00447817">
            <w:pPr>
              <w:jc w:val="both"/>
              <w:rPr>
                <w:rFonts w:ascii="Times New Roman" w:hAnsi="Times New Roman" w:cs="Times New Roman"/>
                <w:color w:val="000000"/>
                <w:sz w:val="24"/>
                <w:szCs w:val="24"/>
              </w:rPr>
            </w:pPr>
            <w:r w:rsidRPr="00E91A88">
              <w:rPr>
                <w:rFonts w:ascii="Times New Roman" w:hAnsi="Times New Roman" w:cs="Times New Roman"/>
                <w:color w:val="000000"/>
                <w:sz w:val="24"/>
                <w:szCs w:val="24"/>
              </w:rPr>
              <w:t>Claims</w:t>
            </w:r>
            <w:r>
              <w:rPr>
                <w:rFonts w:ascii="Times New Roman" w:hAnsi="Times New Roman" w:cs="Times New Roman"/>
                <w:color w:val="000000"/>
                <w:sz w:val="24"/>
                <w:szCs w:val="24"/>
              </w:rPr>
              <w:t xml:space="preserve"> By Private Hospitals</w:t>
            </w:r>
            <w:r w:rsidRPr="00E91A88">
              <w:rPr>
                <w:rFonts w:ascii="Times New Roman" w:hAnsi="Times New Roman" w:cs="Times New Roman"/>
                <w:color w:val="000000"/>
                <w:sz w:val="24"/>
                <w:szCs w:val="24"/>
              </w:rPr>
              <w:t>/Enrolled</w:t>
            </w:r>
          </w:p>
        </w:tc>
      </w:tr>
      <w:tr w:rsidR="00937546" w:rsidRPr="00E91A88" w14:paraId="007DDC52" w14:textId="77777777" w:rsidTr="00447817">
        <w:trPr>
          <w:trHeight w:val="197"/>
        </w:trPr>
        <w:tc>
          <w:tcPr>
            <w:tcW w:w="628" w:type="pct"/>
            <w:vMerge w:val="restart"/>
          </w:tcPr>
          <w:p w14:paraId="7F0CC771"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 xml:space="preserve">Overall HDI </w:t>
            </w:r>
          </w:p>
        </w:tc>
        <w:tc>
          <w:tcPr>
            <w:tcW w:w="423" w:type="pct"/>
          </w:tcPr>
          <w:p w14:paraId="284C4053"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Pearson Correlation</w:t>
            </w:r>
          </w:p>
        </w:tc>
        <w:tc>
          <w:tcPr>
            <w:tcW w:w="349" w:type="pct"/>
            <w:tcBorders>
              <w:top w:val="single" w:sz="4" w:space="0" w:color="auto"/>
              <w:left w:val="single" w:sz="4" w:space="0" w:color="auto"/>
              <w:bottom w:val="single" w:sz="4" w:space="0" w:color="auto"/>
              <w:right w:val="single" w:sz="4" w:space="0" w:color="auto"/>
            </w:tcBorders>
            <w:shd w:val="clear" w:color="auto" w:fill="auto"/>
            <w:vAlign w:val="bottom"/>
          </w:tcPr>
          <w:p w14:paraId="104C76D0" w14:textId="77777777" w:rsidR="00937546" w:rsidRDefault="00937546" w:rsidP="00447817">
            <w:pPr>
              <w:jc w:val="center"/>
              <w:rPr>
                <w:rFonts w:ascii="Calibri" w:hAnsi="Calibri" w:cs="Calibri"/>
                <w:color w:val="000000"/>
              </w:rPr>
            </w:pPr>
            <w:r>
              <w:rPr>
                <w:rFonts w:ascii="Calibri" w:hAnsi="Calibri" w:cs="Calibri"/>
                <w:color w:val="000000"/>
              </w:rPr>
              <w:t>-.361*</w:t>
            </w:r>
          </w:p>
        </w:tc>
        <w:tc>
          <w:tcPr>
            <w:tcW w:w="394" w:type="pct"/>
            <w:tcBorders>
              <w:top w:val="single" w:sz="4" w:space="0" w:color="auto"/>
              <w:left w:val="single" w:sz="4" w:space="0" w:color="auto"/>
              <w:bottom w:val="single" w:sz="4" w:space="0" w:color="auto"/>
              <w:right w:val="single" w:sz="4" w:space="0" w:color="auto"/>
            </w:tcBorders>
            <w:shd w:val="clear" w:color="auto" w:fill="auto"/>
            <w:vAlign w:val="bottom"/>
          </w:tcPr>
          <w:p w14:paraId="6076C80D" w14:textId="77777777" w:rsidR="00937546" w:rsidRDefault="00937546" w:rsidP="00447817">
            <w:pPr>
              <w:jc w:val="center"/>
              <w:rPr>
                <w:rFonts w:ascii="Calibri" w:hAnsi="Calibri" w:cs="Calibri"/>
                <w:color w:val="000000"/>
              </w:rPr>
            </w:pPr>
            <w:r>
              <w:rPr>
                <w:rFonts w:ascii="Calibri" w:hAnsi="Calibri" w:cs="Calibri"/>
                <w:color w:val="000000"/>
              </w:rPr>
              <w:t>.516**</w:t>
            </w:r>
          </w:p>
        </w:tc>
        <w:tc>
          <w:tcPr>
            <w:tcW w:w="322" w:type="pct"/>
            <w:tcBorders>
              <w:top w:val="single" w:sz="4" w:space="0" w:color="auto"/>
              <w:left w:val="single" w:sz="4" w:space="0" w:color="auto"/>
              <w:bottom w:val="single" w:sz="4" w:space="0" w:color="auto"/>
              <w:right w:val="single" w:sz="4" w:space="0" w:color="auto"/>
            </w:tcBorders>
            <w:shd w:val="clear" w:color="auto" w:fill="auto"/>
            <w:vAlign w:val="bottom"/>
          </w:tcPr>
          <w:p w14:paraId="47E5874B" w14:textId="77777777" w:rsidR="00937546" w:rsidRDefault="00937546" w:rsidP="00447817">
            <w:pPr>
              <w:jc w:val="center"/>
              <w:rPr>
                <w:rFonts w:ascii="Calibri" w:hAnsi="Calibri" w:cs="Calibri"/>
                <w:color w:val="000000"/>
              </w:rPr>
            </w:pPr>
            <w:r>
              <w:rPr>
                <w:rFonts w:ascii="Calibri" w:hAnsi="Calibri" w:cs="Calibri"/>
                <w:color w:val="000000"/>
              </w:rPr>
              <w:t>0.073</w:t>
            </w:r>
          </w:p>
        </w:tc>
        <w:tc>
          <w:tcPr>
            <w:tcW w:w="424" w:type="pct"/>
            <w:tcBorders>
              <w:top w:val="single" w:sz="4" w:space="0" w:color="auto"/>
              <w:left w:val="nil"/>
              <w:bottom w:val="single" w:sz="4" w:space="0" w:color="auto"/>
              <w:right w:val="single" w:sz="4" w:space="0" w:color="auto"/>
            </w:tcBorders>
            <w:shd w:val="clear" w:color="auto" w:fill="auto"/>
            <w:vAlign w:val="bottom"/>
          </w:tcPr>
          <w:p w14:paraId="4B8429A7" w14:textId="77777777" w:rsidR="00937546" w:rsidRDefault="00937546" w:rsidP="00447817">
            <w:pPr>
              <w:jc w:val="center"/>
              <w:rPr>
                <w:rFonts w:ascii="Calibri" w:hAnsi="Calibri" w:cs="Calibri"/>
                <w:color w:val="000000"/>
              </w:rPr>
            </w:pPr>
            <w:r>
              <w:rPr>
                <w:rFonts w:ascii="Calibri" w:hAnsi="Calibri" w:cs="Calibri"/>
                <w:color w:val="000000"/>
              </w:rPr>
              <w:t>.492**</w:t>
            </w:r>
          </w:p>
        </w:tc>
        <w:tc>
          <w:tcPr>
            <w:tcW w:w="434" w:type="pct"/>
            <w:tcBorders>
              <w:top w:val="single" w:sz="4" w:space="0" w:color="auto"/>
              <w:left w:val="single" w:sz="4" w:space="0" w:color="auto"/>
              <w:bottom w:val="single" w:sz="4" w:space="0" w:color="auto"/>
              <w:right w:val="single" w:sz="4" w:space="0" w:color="auto"/>
            </w:tcBorders>
            <w:shd w:val="clear" w:color="auto" w:fill="auto"/>
            <w:vAlign w:val="bottom"/>
          </w:tcPr>
          <w:p w14:paraId="283ECA9B" w14:textId="77777777" w:rsidR="00937546" w:rsidRDefault="00937546" w:rsidP="00447817">
            <w:pPr>
              <w:jc w:val="center"/>
              <w:rPr>
                <w:rFonts w:ascii="Calibri" w:hAnsi="Calibri" w:cs="Calibri"/>
                <w:color w:val="000000"/>
              </w:rPr>
            </w:pPr>
            <w:r>
              <w:rPr>
                <w:rFonts w:ascii="Calibri" w:hAnsi="Calibri" w:cs="Calibri"/>
                <w:color w:val="000000"/>
              </w:rPr>
              <w:t>0.23</w:t>
            </w:r>
          </w:p>
        </w:tc>
        <w:tc>
          <w:tcPr>
            <w:tcW w:w="398" w:type="pct"/>
            <w:tcBorders>
              <w:top w:val="single" w:sz="4" w:space="0" w:color="auto"/>
              <w:left w:val="single" w:sz="4" w:space="0" w:color="auto"/>
              <w:bottom w:val="single" w:sz="4" w:space="0" w:color="auto"/>
              <w:right w:val="single" w:sz="4" w:space="0" w:color="auto"/>
            </w:tcBorders>
            <w:shd w:val="clear" w:color="auto" w:fill="auto"/>
            <w:vAlign w:val="bottom"/>
          </w:tcPr>
          <w:p w14:paraId="0BEF551C" w14:textId="77777777" w:rsidR="00937546" w:rsidRDefault="00937546" w:rsidP="00447817">
            <w:pPr>
              <w:jc w:val="center"/>
              <w:rPr>
                <w:rFonts w:ascii="Calibri" w:hAnsi="Calibri" w:cs="Calibri"/>
                <w:color w:val="000000"/>
              </w:rPr>
            </w:pPr>
            <w:r>
              <w:rPr>
                <w:rFonts w:ascii="Calibri" w:hAnsi="Calibri" w:cs="Calibri"/>
                <w:color w:val="000000"/>
              </w:rPr>
              <w:t>0.062</w:t>
            </w:r>
          </w:p>
        </w:tc>
        <w:tc>
          <w:tcPr>
            <w:tcW w:w="407" w:type="pct"/>
            <w:tcBorders>
              <w:top w:val="single" w:sz="4" w:space="0" w:color="auto"/>
              <w:left w:val="nil"/>
              <w:bottom w:val="single" w:sz="4" w:space="0" w:color="auto"/>
              <w:right w:val="single" w:sz="4" w:space="0" w:color="auto"/>
            </w:tcBorders>
            <w:shd w:val="clear" w:color="auto" w:fill="auto"/>
            <w:vAlign w:val="bottom"/>
          </w:tcPr>
          <w:p w14:paraId="77A0BA82" w14:textId="77777777" w:rsidR="00937546" w:rsidRDefault="00937546" w:rsidP="00447817">
            <w:pPr>
              <w:jc w:val="center"/>
              <w:rPr>
                <w:rFonts w:ascii="Calibri" w:hAnsi="Calibri" w:cs="Calibri"/>
                <w:color w:val="000000"/>
              </w:rPr>
            </w:pPr>
            <w:r>
              <w:rPr>
                <w:rFonts w:ascii="Calibri" w:hAnsi="Calibri" w:cs="Calibri"/>
                <w:color w:val="000000"/>
              </w:rPr>
              <w:t>0.302</w:t>
            </w:r>
          </w:p>
        </w:tc>
        <w:tc>
          <w:tcPr>
            <w:tcW w:w="407" w:type="pct"/>
            <w:tcBorders>
              <w:top w:val="single" w:sz="4" w:space="0" w:color="auto"/>
              <w:left w:val="single" w:sz="4" w:space="0" w:color="auto"/>
              <w:bottom w:val="single" w:sz="4" w:space="0" w:color="auto"/>
              <w:right w:val="single" w:sz="4" w:space="0" w:color="auto"/>
            </w:tcBorders>
            <w:shd w:val="clear" w:color="auto" w:fill="auto"/>
            <w:vAlign w:val="bottom"/>
          </w:tcPr>
          <w:p w14:paraId="6C1FF4ED" w14:textId="77777777" w:rsidR="00937546" w:rsidRDefault="00937546" w:rsidP="00447817">
            <w:pPr>
              <w:jc w:val="center"/>
              <w:rPr>
                <w:rFonts w:ascii="Calibri" w:hAnsi="Calibri" w:cs="Calibri"/>
                <w:color w:val="000000"/>
              </w:rPr>
            </w:pPr>
            <w:r>
              <w:rPr>
                <w:rFonts w:ascii="Calibri" w:hAnsi="Calibri" w:cs="Calibri"/>
                <w:color w:val="000000"/>
              </w:rPr>
              <w:t>0.213</w:t>
            </w:r>
          </w:p>
        </w:tc>
        <w:tc>
          <w:tcPr>
            <w:tcW w:w="407" w:type="pct"/>
            <w:tcBorders>
              <w:top w:val="single" w:sz="4" w:space="0" w:color="auto"/>
              <w:left w:val="single" w:sz="4" w:space="0" w:color="auto"/>
              <w:bottom w:val="single" w:sz="4" w:space="0" w:color="auto"/>
              <w:right w:val="single" w:sz="4" w:space="0" w:color="auto"/>
            </w:tcBorders>
            <w:shd w:val="clear" w:color="auto" w:fill="auto"/>
            <w:vAlign w:val="bottom"/>
          </w:tcPr>
          <w:p w14:paraId="210410ED" w14:textId="77777777" w:rsidR="00937546" w:rsidRDefault="00937546" w:rsidP="00447817">
            <w:pPr>
              <w:jc w:val="center"/>
              <w:rPr>
                <w:rFonts w:ascii="Calibri" w:hAnsi="Calibri" w:cs="Calibri"/>
                <w:color w:val="000000"/>
              </w:rPr>
            </w:pPr>
            <w:r>
              <w:rPr>
                <w:rFonts w:ascii="Calibri" w:hAnsi="Calibri" w:cs="Calibri"/>
                <w:color w:val="000000"/>
              </w:rPr>
              <w:t>0.097</w:t>
            </w:r>
          </w:p>
        </w:tc>
        <w:tc>
          <w:tcPr>
            <w:tcW w:w="407" w:type="pct"/>
            <w:tcBorders>
              <w:top w:val="single" w:sz="4" w:space="0" w:color="auto"/>
              <w:left w:val="nil"/>
              <w:bottom w:val="single" w:sz="4" w:space="0" w:color="auto"/>
              <w:right w:val="single" w:sz="4" w:space="0" w:color="auto"/>
            </w:tcBorders>
            <w:shd w:val="clear" w:color="auto" w:fill="auto"/>
            <w:vAlign w:val="bottom"/>
          </w:tcPr>
          <w:p w14:paraId="340A0C12" w14:textId="77777777" w:rsidR="00937546" w:rsidRDefault="00937546" w:rsidP="00447817">
            <w:pPr>
              <w:jc w:val="center"/>
              <w:rPr>
                <w:rFonts w:ascii="Calibri" w:hAnsi="Calibri" w:cs="Calibri"/>
                <w:color w:val="000000"/>
              </w:rPr>
            </w:pPr>
            <w:r>
              <w:rPr>
                <w:rFonts w:ascii="Calibri" w:hAnsi="Calibri" w:cs="Calibri"/>
                <w:color w:val="000000"/>
              </w:rPr>
              <w:t>0.307</w:t>
            </w:r>
          </w:p>
        </w:tc>
      </w:tr>
      <w:tr w:rsidR="00937546" w:rsidRPr="00E91A88" w14:paraId="75E73DEA" w14:textId="77777777" w:rsidTr="00447817">
        <w:trPr>
          <w:trHeight w:val="233"/>
        </w:trPr>
        <w:tc>
          <w:tcPr>
            <w:tcW w:w="628" w:type="pct"/>
            <w:vMerge/>
          </w:tcPr>
          <w:p w14:paraId="7779D7BB" w14:textId="77777777" w:rsidR="00937546" w:rsidRPr="00E91A88" w:rsidRDefault="00937546" w:rsidP="00447817">
            <w:pPr>
              <w:jc w:val="both"/>
              <w:rPr>
                <w:rFonts w:ascii="Times New Roman" w:hAnsi="Times New Roman" w:cs="Times New Roman"/>
                <w:sz w:val="24"/>
                <w:szCs w:val="24"/>
              </w:rPr>
            </w:pPr>
          </w:p>
        </w:tc>
        <w:tc>
          <w:tcPr>
            <w:tcW w:w="423" w:type="pct"/>
            <w:shd w:val="clear" w:color="auto" w:fill="BDD6EE" w:themeFill="accent1" w:themeFillTint="66"/>
          </w:tcPr>
          <w:p w14:paraId="185605A4"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P value</w:t>
            </w:r>
          </w:p>
        </w:tc>
        <w:tc>
          <w:tcPr>
            <w:tcW w:w="349"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37232864" w14:textId="77777777" w:rsidR="00937546" w:rsidRDefault="00937546" w:rsidP="00447817">
            <w:pPr>
              <w:jc w:val="center"/>
              <w:rPr>
                <w:rFonts w:ascii="Calibri" w:hAnsi="Calibri" w:cs="Calibri"/>
                <w:color w:val="000000"/>
              </w:rPr>
            </w:pPr>
            <w:r>
              <w:rPr>
                <w:rFonts w:ascii="Calibri" w:hAnsi="Calibri" w:cs="Calibri"/>
                <w:color w:val="000000"/>
              </w:rPr>
              <w:t>0.042</w:t>
            </w:r>
          </w:p>
        </w:tc>
        <w:tc>
          <w:tcPr>
            <w:tcW w:w="394"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5AD14690" w14:textId="77777777" w:rsidR="00937546" w:rsidRDefault="00937546" w:rsidP="00447817">
            <w:pPr>
              <w:jc w:val="center"/>
              <w:rPr>
                <w:rFonts w:ascii="Calibri" w:hAnsi="Calibri" w:cs="Calibri"/>
                <w:color w:val="000000"/>
              </w:rPr>
            </w:pPr>
            <w:r>
              <w:rPr>
                <w:rFonts w:ascii="Calibri" w:hAnsi="Calibri" w:cs="Calibri"/>
                <w:color w:val="000000"/>
              </w:rPr>
              <w:t>0.003</w:t>
            </w:r>
          </w:p>
        </w:tc>
        <w:tc>
          <w:tcPr>
            <w:tcW w:w="322"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298CF208" w14:textId="77777777" w:rsidR="00937546" w:rsidRDefault="00937546" w:rsidP="00447817">
            <w:pPr>
              <w:jc w:val="center"/>
              <w:rPr>
                <w:rFonts w:ascii="Calibri" w:hAnsi="Calibri" w:cs="Calibri"/>
                <w:color w:val="000000"/>
              </w:rPr>
            </w:pPr>
            <w:r>
              <w:rPr>
                <w:rFonts w:ascii="Calibri" w:hAnsi="Calibri" w:cs="Calibri"/>
                <w:color w:val="000000"/>
              </w:rPr>
              <w:t>0.692</w:t>
            </w:r>
          </w:p>
        </w:tc>
        <w:tc>
          <w:tcPr>
            <w:tcW w:w="424" w:type="pct"/>
            <w:tcBorders>
              <w:top w:val="nil"/>
              <w:left w:val="nil"/>
              <w:bottom w:val="single" w:sz="4" w:space="0" w:color="auto"/>
              <w:right w:val="single" w:sz="4" w:space="0" w:color="auto"/>
            </w:tcBorders>
            <w:shd w:val="clear" w:color="auto" w:fill="BDD6EE" w:themeFill="accent1" w:themeFillTint="66"/>
            <w:vAlign w:val="bottom"/>
          </w:tcPr>
          <w:p w14:paraId="1F2DF014" w14:textId="77777777" w:rsidR="00937546" w:rsidRDefault="00937546" w:rsidP="00447817">
            <w:pPr>
              <w:jc w:val="center"/>
              <w:rPr>
                <w:rFonts w:ascii="Calibri" w:hAnsi="Calibri" w:cs="Calibri"/>
                <w:color w:val="000000"/>
              </w:rPr>
            </w:pPr>
            <w:r>
              <w:rPr>
                <w:rFonts w:ascii="Calibri" w:hAnsi="Calibri" w:cs="Calibri"/>
                <w:color w:val="000000"/>
              </w:rPr>
              <w:t>0.004</w:t>
            </w:r>
          </w:p>
        </w:tc>
        <w:tc>
          <w:tcPr>
            <w:tcW w:w="434"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405FFA92" w14:textId="77777777" w:rsidR="00937546" w:rsidRDefault="00937546" w:rsidP="00447817">
            <w:pPr>
              <w:jc w:val="center"/>
              <w:rPr>
                <w:rFonts w:ascii="Calibri" w:hAnsi="Calibri" w:cs="Calibri"/>
                <w:color w:val="000000"/>
              </w:rPr>
            </w:pPr>
            <w:r>
              <w:rPr>
                <w:rFonts w:ascii="Calibri" w:hAnsi="Calibri" w:cs="Calibri"/>
                <w:color w:val="000000"/>
              </w:rPr>
              <w:t>0.206</w:t>
            </w:r>
          </w:p>
        </w:tc>
        <w:tc>
          <w:tcPr>
            <w:tcW w:w="398"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3D1C7B92" w14:textId="77777777" w:rsidR="00937546" w:rsidRDefault="00937546" w:rsidP="00447817">
            <w:pPr>
              <w:jc w:val="center"/>
              <w:rPr>
                <w:rFonts w:ascii="Calibri" w:hAnsi="Calibri" w:cs="Calibri"/>
                <w:color w:val="000000"/>
              </w:rPr>
            </w:pPr>
            <w:r>
              <w:rPr>
                <w:rFonts w:ascii="Calibri" w:hAnsi="Calibri" w:cs="Calibri"/>
                <w:color w:val="000000"/>
              </w:rPr>
              <w:t>0.737</w:t>
            </w:r>
          </w:p>
        </w:tc>
        <w:tc>
          <w:tcPr>
            <w:tcW w:w="407" w:type="pct"/>
            <w:tcBorders>
              <w:top w:val="nil"/>
              <w:left w:val="nil"/>
              <w:bottom w:val="single" w:sz="4" w:space="0" w:color="auto"/>
              <w:right w:val="single" w:sz="4" w:space="0" w:color="auto"/>
            </w:tcBorders>
            <w:shd w:val="clear" w:color="auto" w:fill="BDD6EE" w:themeFill="accent1" w:themeFillTint="66"/>
            <w:vAlign w:val="bottom"/>
          </w:tcPr>
          <w:p w14:paraId="08BD634A" w14:textId="77777777" w:rsidR="00937546" w:rsidRDefault="00937546" w:rsidP="00447817">
            <w:pPr>
              <w:jc w:val="center"/>
              <w:rPr>
                <w:rFonts w:ascii="Calibri" w:hAnsi="Calibri" w:cs="Calibri"/>
                <w:color w:val="000000"/>
              </w:rPr>
            </w:pPr>
            <w:r>
              <w:rPr>
                <w:rFonts w:ascii="Calibri" w:hAnsi="Calibri" w:cs="Calibri"/>
                <w:color w:val="000000"/>
              </w:rPr>
              <w:t>0.093</w:t>
            </w:r>
          </w:p>
        </w:tc>
        <w:tc>
          <w:tcPr>
            <w:tcW w:w="407"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6496B9CA" w14:textId="77777777" w:rsidR="00937546" w:rsidRDefault="00937546" w:rsidP="00447817">
            <w:pPr>
              <w:jc w:val="center"/>
              <w:rPr>
                <w:rFonts w:ascii="Calibri" w:hAnsi="Calibri" w:cs="Calibri"/>
                <w:color w:val="000000"/>
              </w:rPr>
            </w:pPr>
            <w:r>
              <w:rPr>
                <w:rFonts w:ascii="Calibri" w:hAnsi="Calibri" w:cs="Calibri"/>
                <w:color w:val="000000"/>
              </w:rPr>
              <w:t>0.241</w:t>
            </w:r>
          </w:p>
        </w:tc>
        <w:tc>
          <w:tcPr>
            <w:tcW w:w="407"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05626529" w14:textId="77777777" w:rsidR="00937546" w:rsidRDefault="00937546" w:rsidP="00447817">
            <w:pPr>
              <w:jc w:val="center"/>
              <w:rPr>
                <w:rFonts w:ascii="Calibri" w:hAnsi="Calibri" w:cs="Calibri"/>
                <w:color w:val="000000"/>
              </w:rPr>
            </w:pPr>
            <w:r>
              <w:rPr>
                <w:rFonts w:ascii="Calibri" w:hAnsi="Calibri" w:cs="Calibri"/>
                <w:color w:val="000000"/>
              </w:rPr>
              <w:t>0.599</w:t>
            </w:r>
          </w:p>
        </w:tc>
        <w:tc>
          <w:tcPr>
            <w:tcW w:w="407" w:type="pct"/>
            <w:tcBorders>
              <w:top w:val="nil"/>
              <w:left w:val="nil"/>
              <w:bottom w:val="single" w:sz="4" w:space="0" w:color="auto"/>
              <w:right w:val="single" w:sz="4" w:space="0" w:color="auto"/>
            </w:tcBorders>
            <w:shd w:val="clear" w:color="auto" w:fill="BDD6EE" w:themeFill="accent1" w:themeFillTint="66"/>
            <w:vAlign w:val="bottom"/>
          </w:tcPr>
          <w:p w14:paraId="2ACF8327" w14:textId="77777777" w:rsidR="00937546" w:rsidRDefault="00937546" w:rsidP="00447817">
            <w:pPr>
              <w:jc w:val="center"/>
              <w:rPr>
                <w:rFonts w:ascii="Calibri" w:hAnsi="Calibri" w:cs="Calibri"/>
                <w:color w:val="000000"/>
              </w:rPr>
            </w:pPr>
            <w:r>
              <w:rPr>
                <w:rFonts w:ascii="Calibri" w:hAnsi="Calibri" w:cs="Calibri"/>
                <w:color w:val="000000"/>
              </w:rPr>
              <w:t>0.088</w:t>
            </w:r>
          </w:p>
        </w:tc>
      </w:tr>
      <w:tr w:rsidR="00937546" w:rsidRPr="00E91A88" w14:paraId="6A00E1E4" w14:textId="77777777" w:rsidTr="00447817">
        <w:trPr>
          <w:trHeight w:val="168"/>
        </w:trPr>
        <w:tc>
          <w:tcPr>
            <w:tcW w:w="628" w:type="pct"/>
            <w:vMerge w:val="restart"/>
          </w:tcPr>
          <w:p w14:paraId="433F368A"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Health Index</w:t>
            </w:r>
          </w:p>
        </w:tc>
        <w:tc>
          <w:tcPr>
            <w:tcW w:w="423" w:type="pct"/>
          </w:tcPr>
          <w:p w14:paraId="6B1C21C6"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Pearson Correlation</w:t>
            </w:r>
          </w:p>
        </w:tc>
        <w:tc>
          <w:tcPr>
            <w:tcW w:w="349" w:type="pct"/>
            <w:tcBorders>
              <w:top w:val="nil"/>
              <w:left w:val="single" w:sz="4" w:space="0" w:color="auto"/>
              <w:bottom w:val="single" w:sz="4" w:space="0" w:color="auto"/>
              <w:right w:val="single" w:sz="4" w:space="0" w:color="auto"/>
            </w:tcBorders>
            <w:shd w:val="clear" w:color="auto" w:fill="auto"/>
            <w:vAlign w:val="bottom"/>
          </w:tcPr>
          <w:p w14:paraId="31489A5F" w14:textId="77777777" w:rsidR="00937546" w:rsidRDefault="00937546" w:rsidP="00447817">
            <w:pPr>
              <w:jc w:val="center"/>
              <w:rPr>
                <w:rFonts w:ascii="Calibri" w:hAnsi="Calibri" w:cs="Calibri"/>
                <w:color w:val="000000"/>
              </w:rPr>
            </w:pPr>
            <w:r>
              <w:rPr>
                <w:rFonts w:ascii="Calibri" w:hAnsi="Calibri" w:cs="Calibri"/>
                <w:color w:val="000000"/>
              </w:rPr>
              <w:t>-.473**</w:t>
            </w:r>
          </w:p>
        </w:tc>
        <w:tc>
          <w:tcPr>
            <w:tcW w:w="394" w:type="pct"/>
            <w:tcBorders>
              <w:top w:val="nil"/>
              <w:left w:val="single" w:sz="4" w:space="0" w:color="auto"/>
              <w:bottom w:val="single" w:sz="4" w:space="0" w:color="auto"/>
              <w:right w:val="single" w:sz="4" w:space="0" w:color="auto"/>
            </w:tcBorders>
            <w:shd w:val="clear" w:color="auto" w:fill="auto"/>
            <w:vAlign w:val="bottom"/>
          </w:tcPr>
          <w:p w14:paraId="495708A6" w14:textId="77777777" w:rsidR="00937546" w:rsidRDefault="00937546" w:rsidP="00447817">
            <w:pPr>
              <w:jc w:val="center"/>
              <w:rPr>
                <w:rFonts w:ascii="Calibri" w:hAnsi="Calibri" w:cs="Calibri"/>
                <w:color w:val="000000"/>
              </w:rPr>
            </w:pPr>
            <w:r>
              <w:rPr>
                <w:rFonts w:ascii="Calibri" w:hAnsi="Calibri" w:cs="Calibri"/>
                <w:color w:val="000000"/>
              </w:rPr>
              <w:t>.351*</w:t>
            </w:r>
          </w:p>
        </w:tc>
        <w:tc>
          <w:tcPr>
            <w:tcW w:w="322" w:type="pct"/>
            <w:tcBorders>
              <w:top w:val="nil"/>
              <w:left w:val="single" w:sz="4" w:space="0" w:color="auto"/>
              <w:bottom w:val="single" w:sz="4" w:space="0" w:color="auto"/>
              <w:right w:val="single" w:sz="4" w:space="0" w:color="auto"/>
            </w:tcBorders>
            <w:shd w:val="clear" w:color="auto" w:fill="auto"/>
            <w:vAlign w:val="bottom"/>
          </w:tcPr>
          <w:p w14:paraId="2AF3B5DA" w14:textId="77777777" w:rsidR="00937546" w:rsidRDefault="00937546" w:rsidP="00447817">
            <w:pPr>
              <w:jc w:val="center"/>
              <w:rPr>
                <w:rFonts w:ascii="Calibri" w:hAnsi="Calibri" w:cs="Calibri"/>
                <w:color w:val="000000"/>
              </w:rPr>
            </w:pPr>
            <w:r>
              <w:rPr>
                <w:rFonts w:ascii="Calibri" w:hAnsi="Calibri" w:cs="Calibri"/>
                <w:color w:val="000000"/>
              </w:rPr>
              <w:t>0.138</w:t>
            </w:r>
          </w:p>
        </w:tc>
        <w:tc>
          <w:tcPr>
            <w:tcW w:w="424" w:type="pct"/>
            <w:tcBorders>
              <w:top w:val="nil"/>
              <w:left w:val="nil"/>
              <w:bottom w:val="single" w:sz="4" w:space="0" w:color="auto"/>
              <w:right w:val="single" w:sz="4" w:space="0" w:color="auto"/>
            </w:tcBorders>
            <w:shd w:val="clear" w:color="auto" w:fill="auto"/>
            <w:vAlign w:val="bottom"/>
          </w:tcPr>
          <w:p w14:paraId="62943519" w14:textId="77777777" w:rsidR="00937546" w:rsidRDefault="00937546" w:rsidP="00447817">
            <w:pPr>
              <w:jc w:val="center"/>
              <w:rPr>
                <w:rFonts w:ascii="Calibri" w:hAnsi="Calibri" w:cs="Calibri"/>
                <w:color w:val="000000"/>
              </w:rPr>
            </w:pPr>
            <w:r>
              <w:rPr>
                <w:rFonts w:ascii="Calibri" w:hAnsi="Calibri" w:cs="Calibri"/>
                <w:color w:val="000000"/>
              </w:rPr>
              <w:t>0.306</w:t>
            </w:r>
          </w:p>
        </w:tc>
        <w:tc>
          <w:tcPr>
            <w:tcW w:w="434" w:type="pct"/>
            <w:tcBorders>
              <w:top w:val="nil"/>
              <w:left w:val="single" w:sz="4" w:space="0" w:color="auto"/>
              <w:bottom w:val="single" w:sz="4" w:space="0" w:color="auto"/>
              <w:right w:val="single" w:sz="4" w:space="0" w:color="auto"/>
            </w:tcBorders>
            <w:shd w:val="clear" w:color="auto" w:fill="auto"/>
            <w:vAlign w:val="bottom"/>
          </w:tcPr>
          <w:p w14:paraId="6AC5F62B" w14:textId="77777777" w:rsidR="00937546" w:rsidRDefault="00937546" w:rsidP="00447817">
            <w:pPr>
              <w:jc w:val="center"/>
              <w:rPr>
                <w:rFonts w:ascii="Calibri" w:hAnsi="Calibri" w:cs="Calibri"/>
                <w:color w:val="000000"/>
              </w:rPr>
            </w:pPr>
            <w:r>
              <w:rPr>
                <w:rFonts w:ascii="Calibri" w:hAnsi="Calibri" w:cs="Calibri"/>
                <w:color w:val="000000"/>
              </w:rPr>
              <w:t>.486**</w:t>
            </w:r>
          </w:p>
        </w:tc>
        <w:tc>
          <w:tcPr>
            <w:tcW w:w="398" w:type="pct"/>
            <w:tcBorders>
              <w:top w:val="nil"/>
              <w:left w:val="single" w:sz="4" w:space="0" w:color="auto"/>
              <w:bottom w:val="single" w:sz="4" w:space="0" w:color="auto"/>
              <w:right w:val="single" w:sz="4" w:space="0" w:color="auto"/>
            </w:tcBorders>
            <w:shd w:val="clear" w:color="auto" w:fill="auto"/>
            <w:vAlign w:val="bottom"/>
          </w:tcPr>
          <w:p w14:paraId="4781B3A6" w14:textId="77777777" w:rsidR="00937546" w:rsidRDefault="00937546" w:rsidP="00447817">
            <w:pPr>
              <w:jc w:val="center"/>
              <w:rPr>
                <w:rFonts w:ascii="Calibri" w:hAnsi="Calibri" w:cs="Calibri"/>
                <w:color w:val="000000"/>
              </w:rPr>
            </w:pPr>
            <w:r>
              <w:rPr>
                <w:rFonts w:ascii="Calibri" w:hAnsi="Calibri" w:cs="Calibri"/>
                <w:color w:val="000000"/>
              </w:rPr>
              <w:t>.430*</w:t>
            </w:r>
          </w:p>
        </w:tc>
        <w:tc>
          <w:tcPr>
            <w:tcW w:w="407" w:type="pct"/>
            <w:tcBorders>
              <w:top w:val="nil"/>
              <w:left w:val="nil"/>
              <w:bottom w:val="single" w:sz="4" w:space="0" w:color="auto"/>
              <w:right w:val="single" w:sz="4" w:space="0" w:color="auto"/>
            </w:tcBorders>
            <w:shd w:val="clear" w:color="auto" w:fill="auto"/>
            <w:vAlign w:val="bottom"/>
          </w:tcPr>
          <w:p w14:paraId="55D5D406" w14:textId="77777777" w:rsidR="00937546" w:rsidRDefault="00937546" w:rsidP="00447817">
            <w:pPr>
              <w:jc w:val="center"/>
              <w:rPr>
                <w:rFonts w:ascii="Calibri" w:hAnsi="Calibri" w:cs="Calibri"/>
                <w:color w:val="000000"/>
              </w:rPr>
            </w:pPr>
            <w:r>
              <w:rPr>
                <w:rFonts w:ascii="Calibri" w:hAnsi="Calibri" w:cs="Calibri"/>
                <w:color w:val="000000"/>
              </w:rPr>
              <w:t>0.203</w:t>
            </w:r>
          </w:p>
        </w:tc>
        <w:tc>
          <w:tcPr>
            <w:tcW w:w="407" w:type="pct"/>
            <w:tcBorders>
              <w:top w:val="nil"/>
              <w:left w:val="single" w:sz="4" w:space="0" w:color="auto"/>
              <w:bottom w:val="single" w:sz="4" w:space="0" w:color="auto"/>
              <w:right w:val="single" w:sz="4" w:space="0" w:color="auto"/>
            </w:tcBorders>
            <w:shd w:val="clear" w:color="auto" w:fill="auto"/>
            <w:vAlign w:val="bottom"/>
          </w:tcPr>
          <w:p w14:paraId="0733D987" w14:textId="77777777" w:rsidR="00937546" w:rsidRDefault="00937546" w:rsidP="00447817">
            <w:pPr>
              <w:jc w:val="center"/>
              <w:rPr>
                <w:rFonts w:ascii="Calibri" w:hAnsi="Calibri" w:cs="Calibri"/>
                <w:color w:val="000000"/>
              </w:rPr>
            </w:pPr>
            <w:r>
              <w:rPr>
                <w:rFonts w:ascii="Calibri" w:hAnsi="Calibri" w:cs="Calibri"/>
                <w:color w:val="000000"/>
              </w:rPr>
              <w:t>.405*</w:t>
            </w:r>
          </w:p>
        </w:tc>
        <w:tc>
          <w:tcPr>
            <w:tcW w:w="407" w:type="pct"/>
            <w:tcBorders>
              <w:top w:val="nil"/>
              <w:left w:val="single" w:sz="4" w:space="0" w:color="auto"/>
              <w:bottom w:val="single" w:sz="4" w:space="0" w:color="auto"/>
              <w:right w:val="single" w:sz="4" w:space="0" w:color="auto"/>
            </w:tcBorders>
            <w:shd w:val="clear" w:color="auto" w:fill="auto"/>
            <w:vAlign w:val="bottom"/>
          </w:tcPr>
          <w:p w14:paraId="6B2CC05F" w14:textId="77777777" w:rsidR="00937546" w:rsidRDefault="00937546" w:rsidP="00447817">
            <w:pPr>
              <w:jc w:val="center"/>
              <w:rPr>
                <w:rFonts w:ascii="Calibri" w:hAnsi="Calibri" w:cs="Calibri"/>
                <w:color w:val="000000"/>
              </w:rPr>
            </w:pPr>
            <w:r>
              <w:rPr>
                <w:rFonts w:ascii="Calibri" w:hAnsi="Calibri" w:cs="Calibri"/>
                <w:color w:val="000000"/>
              </w:rPr>
              <w:t>.401*</w:t>
            </w:r>
          </w:p>
        </w:tc>
        <w:tc>
          <w:tcPr>
            <w:tcW w:w="407" w:type="pct"/>
            <w:tcBorders>
              <w:top w:val="nil"/>
              <w:left w:val="nil"/>
              <w:bottom w:val="single" w:sz="4" w:space="0" w:color="auto"/>
              <w:right w:val="single" w:sz="4" w:space="0" w:color="auto"/>
            </w:tcBorders>
            <w:shd w:val="clear" w:color="auto" w:fill="auto"/>
            <w:vAlign w:val="bottom"/>
          </w:tcPr>
          <w:p w14:paraId="2EDCDC6C" w14:textId="77777777" w:rsidR="00937546" w:rsidRDefault="00937546" w:rsidP="00447817">
            <w:pPr>
              <w:jc w:val="center"/>
              <w:rPr>
                <w:rFonts w:ascii="Calibri" w:hAnsi="Calibri" w:cs="Calibri"/>
                <w:color w:val="000000"/>
              </w:rPr>
            </w:pPr>
            <w:r>
              <w:rPr>
                <w:rFonts w:ascii="Calibri" w:hAnsi="Calibri" w:cs="Calibri"/>
                <w:color w:val="000000"/>
              </w:rPr>
              <w:t>0.279</w:t>
            </w:r>
          </w:p>
        </w:tc>
      </w:tr>
      <w:tr w:rsidR="00937546" w:rsidRPr="00E91A88" w14:paraId="7B44329E" w14:textId="77777777" w:rsidTr="00447817">
        <w:trPr>
          <w:trHeight w:val="259"/>
        </w:trPr>
        <w:tc>
          <w:tcPr>
            <w:tcW w:w="628" w:type="pct"/>
            <w:vMerge/>
          </w:tcPr>
          <w:p w14:paraId="3EE6CCAF" w14:textId="77777777" w:rsidR="00937546" w:rsidRPr="00E91A88" w:rsidRDefault="00937546" w:rsidP="00447817">
            <w:pPr>
              <w:jc w:val="both"/>
              <w:rPr>
                <w:rFonts w:ascii="Times New Roman" w:hAnsi="Times New Roman" w:cs="Times New Roman"/>
                <w:sz w:val="24"/>
                <w:szCs w:val="24"/>
              </w:rPr>
            </w:pPr>
          </w:p>
        </w:tc>
        <w:tc>
          <w:tcPr>
            <w:tcW w:w="423" w:type="pct"/>
            <w:shd w:val="clear" w:color="auto" w:fill="BDD6EE" w:themeFill="accent1" w:themeFillTint="66"/>
          </w:tcPr>
          <w:p w14:paraId="37471BC8"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P value</w:t>
            </w:r>
          </w:p>
        </w:tc>
        <w:tc>
          <w:tcPr>
            <w:tcW w:w="349"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3E01A910" w14:textId="77777777" w:rsidR="00937546" w:rsidRDefault="00937546" w:rsidP="00447817">
            <w:pPr>
              <w:jc w:val="center"/>
              <w:rPr>
                <w:rFonts w:ascii="Calibri" w:hAnsi="Calibri" w:cs="Calibri"/>
                <w:color w:val="000000"/>
              </w:rPr>
            </w:pPr>
            <w:r>
              <w:rPr>
                <w:rFonts w:ascii="Calibri" w:hAnsi="Calibri" w:cs="Calibri"/>
                <w:color w:val="000000"/>
              </w:rPr>
              <w:t>0.006</w:t>
            </w:r>
          </w:p>
        </w:tc>
        <w:tc>
          <w:tcPr>
            <w:tcW w:w="394"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60BFA9BF" w14:textId="77777777" w:rsidR="00937546" w:rsidRDefault="00937546" w:rsidP="00447817">
            <w:pPr>
              <w:jc w:val="center"/>
              <w:rPr>
                <w:rFonts w:ascii="Calibri" w:hAnsi="Calibri" w:cs="Calibri"/>
                <w:color w:val="000000"/>
              </w:rPr>
            </w:pPr>
            <w:r>
              <w:rPr>
                <w:rFonts w:ascii="Calibri" w:hAnsi="Calibri" w:cs="Calibri"/>
                <w:color w:val="000000"/>
              </w:rPr>
              <w:t>0.049</w:t>
            </w:r>
          </w:p>
        </w:tc>
        <w:tc>
          <w:tcPr>
            <w:tcW w:w="322"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33DFE38C" w14:textId="77777777" w:rsidR="00937546" w:rsidRDefault="00937546" w:rsidP="00447817">
            <w:pPr>
              <w:jc w:val="center"/>
              <w:rPr>
                <w:rFonts w:ascii="Calibri" w:hAnsi="Calibri" w:cs="Calibri"/>
                <w:color w:val="000000"/>
              </w:rPr>
            </w:pPr>
            <w:r>
              <w:rPr>
                <w:rFonts w:ascii="Calibri" w:hAnsi="Calibri" w:cs="Calibri"/>
                <w:color w:val="000000"/>
              </w:rPr>
              <w:t>0.45</w:t>
            </w:r>
          </w:p>
        </w:tc>
        <w:tc>
          <w:tcPr>
            <w:tcW w:w="424" w:type="pct"/>
            <w:tcBorders>
              <w:top w:val="nil"/>
              <w:left w:val="nil"/>
              <w:bottom w:val="single" w:sz="4" w:space="0" w:color="auto"/>
              <w:right w:val="single" w:sz="4" w:space="0" w:color="auto"/>
            </w:tcBorders>
            <w:shd w:val="clear" w:color="auto" w:fill="BDD6EE" w:themeFill="accent1" w:themeFillTint="66"/>
            <w:vAlign w:val="bottom"/>
          </w:tcPr>
          <w:p w14:paraId="2F293F90" w14:textId="77777777" w:rsidR="00937546" w:rsidRDefault="00937546" w:rsidP="00447817">
            <w:pPr>
              <w:jc w:val="center"/>
              <w:rPr>
                <w:rFonts w:ascii="Calibri" w:hAnsi="Calibri" w:cs="Calibri"/>
                <w:color w:val="000000"/>
              </w:rPr>
            </w:pPr>
            <w:r>
              <w:rPr>
                <w:rFonts w:ascii="Calibri" w:hAnsi="Calibri" w:cs="Calibri"/>
                <w:color w:val="000000"/>
              </w:rPr>
              <w:t>0.089</w:t>
            </w:r>
          </w:p>
        </w:tc>
        <w:tc>
          <w:tcPr>
            <w:tcW w:w="434"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5C7838A6" w14:textId="77777777" w:rsidR="00937546" w:rsidRDefault="00937546" w:rsidP="00447817">
            <w:pPr>
              <w:jc w:val="center"/>
              <w:rPr>
                <w:rFonts w:ascii="Calibri" w:hAnsi="Calibri" w:cs="Calibri"/>
                <w:color w:val="000000"/>
              </w:rPr>
            </w:pPr>
            <w:r>
              <w:rPr>
                <w:rFonts w:ascii="Calibri" w:hAnsi="Calibri" w:cs="Calibri"/>
                <w:color w:val="000000"/>
              </w:rPr>
              <w:t>0.005</w:t>
            </w:r>
          </w:p>
        </w:tc>
        <w:tc>
          <w:tcPr>
            <w:tcW w:w="398"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0B222122" w14:textId="77777777" w:rsidR="00937546" w:rsidRDefault="00937546" w:rsidP="00447817">
            <w:pPr>
              <w:jc w:val="center"/>
              <w:rPr>
                <w:rFonts w:ascii="Calibri" w:hAnsi="Calibri" w:cs="Calibri"/>
                <w:color w:val="000000"/>
              </w:rPr>
            </w:pPr>
            <w:r>
              <w:rPr>
                <w:rFonts w:ascii="Calibri" w:hAnsi="Calibri" w:cs="Calibri"/>
                <w:color w:val="000000"/>
              </w:rPr>
              <w:t>0.014</w:t>
            </w:r>
          </w:p>
        </w:tc>
        <w:tc>
          <w:tcPr>
            <w:tcW w:w="407" w:type="pct"/>
            <w:tcBorders>
              <w:top w:val="nil"/>
              <w:left w:val="nil"/>
              <w:bottom w:val="single" w:sz="4" w:space="0" w:color="auto"/>
              <w:right w:val="single" w:sz="4" w:space="0" w:color="auto"/>
            </w:tcBorders>
            <w:shd w:val="clear" w:color="auto" w:fill="BDD6EE" w:themeFill="accent1" w:themeFillTint="66"/>
            <w:vAlign w:val="bottom"/>
          </w:tcPr>
          <w:p w14:paraId="375DCD40" w14:textId="77777777" w:rsidR="00937546" w:rsidRDefault="00937546" w:rsidP="00447817">
            <w:pPr>
              <w:jc w:val="center"/>
              <w:rPr>
                <w:rFonts w:ascii="Calibri" w:hAnsi="Calibri" w:cs="Calibri"/>
                <w:color w:val="000000"/>
              </w:rPr>
            </w:pPr>
            <w:r>
              <w:rPr>
                <w:rFonts w:ascii="Calibri" w:hAnsi="Calibri" w:cs="Calibri"/>
                <w:color w:val="000000"/>
              </w:rPr>
              <w:t>0.264</w:t>
            </w:r>
          </w:p>
        </w:tc>
        <w:tc>
          <w:tcPr>
            <w:tcW w:w="407"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2497D70F" w14:textId="77777777" w:rsidR="00937546" w:rsidRDefault="00937546" w:rsidP="00447817">
            <w:pPr>
              <w:jc w:val="center"/>
              <w:rPr>
                <w:rFonts w:ascii="Calibri" w:hAnsi="Calibri" w:cs="Calibri"/>
                <w:color w:val="000000"/>
              </w:rPr>
            </w:pPr>
            <w:r>
              <w:rPr>
                <w:rFonts w:ascii="Calibri" w:hAnsi="Calibri" w:cs="Calibri"/>
                <w:color w:val="000000"/>
              </w:rPr>
              <w:t>0.021</w:t>
            </w:r>
          </w:p>
        </w:tc>
        <w:tc>
          <w:tcPr>
            <w:tcW w:w="407"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702226E0" w14:textId="77777777" w:rsidR="00937546" w:rsidRDefault="00937546" w:rsidP="00447817">
            <w:pPr>
              <w:jc w:val="center"/>
              <w:rPr>
                <w:rFonts w:ascii="Calibri" w:hAnsi="Calibri" w:cs="Calibri"/>
                <w:color w:val="000000"/>
              </w:rPr>
            </w:pPr>
            <w:r>
              <w:rPr>
                <w:rFonts w:ascii="Calibri" w:hAnsi="Calibri" w:cs="Calibri"/>
                <w:color w:val="000000"/>
              </w:rPr>
              <w:t>0.023</w:t>
            </w:r>
          </w:p>
        </w:tc>
        <w:tc>
          <w:tcPr>
            <w:tcW w:w="407" w:type="pct"/>
            <w:tcBorders>
              <w:top w:val="nil"/>
              <w:left w:val="nil"/>
              <w:bottom w:val="single" w:sz="4" w:space="0" w:color="auto"/>
              <w:right w:val="single" w:sz="4" w:space="0" w:color="auto"/>
            </w:tcBorders>
            <w:shd w:val="clear" w:color="auto" w:fill="BDD6EE" w:themeFill="accent1" w:themeFillTint="66"/>
            <w:vAlign w:val="bottom"/>
          </w:tcPr>
          <w:p w14:paraId="693A43B4" w14:textId="77777777" w:rsidR="00937546" w:rsidRDefault="00937546" w:rsidP="00447817">
            <w:pPr>
              <w:jc w:val="center"/>
              <w:rPr>
                <w:rFonts w:ascii="Calibri" w:hAnsi="Calibri" w:cs="Calibri"/>
                <w:color w:val="000000"/>
              </w:rPr>
            </w:pPr>
            <w:r>
              <w:rPr>
                <w:rFonts w:ascii="Calibri" w:hAnsi="Calibri" w:cs="Calibri"/>
                <w:color w:val="000000"/>
              </w:rPr>
              <w:t>0.121</w:t>
            </w:r>
          </w:p>
        </w:tc>
      </w:tr>
      <w:tr w:rsidR="00937546" w:rsidRPr="00E91A88" w14:paraId="41B2B30B" w14:textId="77777777" w:rsidTr="00447817">
        <w:trPr>
          <w:trHeight w:val="190"/>
        </w:trPr>
        <w:tc>
          <w:tcPr>
            <w:tcW w:w="628" w:type="pct"/>
            <w:vMerge w:val="restart"/>
          </w:tcPr>
          <w:p w14:paraId="0256DCA0"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Education index</w:t>
            </w:r>
          </w:p>
        </w:tc>
        <w:tc>
          <w:tcPr>
            <w:tcW w:w="423" w:type="pct"/>
          </w:tcPr>
          <w:p w14:paraId="595A981A"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Pearson Correlation</w:t>
            </w:r>
          </w:p>
        </w:tc>
        <w:tc>
          <w:tcPr>
            <w:tcW w:w="349" w:type="pct"/>
            <w:tcBorders>
              <w:top w:val="nil"/>
              <w:left w:val="single" w:sz="4" w:space="0" w:color="auto"/>
              <w:bottom w:val="single" w:sz="4" w:space="0" w:color="auto"/>
              <w:right w:val="single" w:sz="4" w:space="0" w:color="auto"/>
            </w:tcBorders>
            <w:shd w:val="clear" w:color="auto" w:fill="auto"/>
            <w:vAlign w:val="bottom"/>
          </w:tcPr>
          <w:p w14:paraId="0389FD36" w14:textId="77777777" w:rsidR="00937546" w:rsidRDefault="00937546" w:rsidP="00447817">
            <w:pPr>
              <w:jc w:val="center"/>
              <w:rPr>
                <w:rFonts w:ascii="Calibri" w:hAnsi="Calibri" w:cs="Calibri"/>
                <w:color w:val="000000"/>
              </w:rPr>
            </w:pPr>
            <w:r>
              <w:rPr>
                <w:rFonts w:ascii="Calibri" w:hAnsi="Calibri" w:cs="Calibri"/>
                <w:color w:val="000000"/>
              </w:rPr>
              <w:t>-.538**</w:t>
            </w:r>
          </w:p>
        </w:tc>
        <w:tc>
          <w:tcPr>
            <w:tcW w:w="394" w:type="pct"/>
            <w:tcBorders>
              <w:top w:val="nil"/>
              <w:left w:val="single" w:sz="4" w:space="0" w:color="auto"/>
              <w:bottom w:val="single" w:sz="4" w:space="0" w:color="auto"/>
              <w:right w:val="single" w:sz="4" w:space="0" w:color="auto"/>
            </w:tcBorders>
            <w:shd w:val="clear" w:color="auto" w:fill="auto"/>
            <w:vAlign w:val="bottom"/>
          </w:tcPr>
          <w:p w14:paraId="5FC3A9FA" w14:textId="77777777" w:rsidR="00937546" w:rsidRDefault="00937546" w:rsidP="00447817">
            <w:pPr>
              <w:jc w:val="center"/>
              <w:rPr>
                <w:rFonts w:ascii="Calibri" w:hAnsi="Calibri" w:cs="Calibri"/>
                <w:color w:val="000000"/>
              </w:rPr>
            </w:pPr>
            <w:r>
              <w:rPr>
                <w:rFonts w:ascii="Calibri" w:hAnsi="Calibri" w:cs="Calibri"/>
                <w:color w:val="000000"/>
              </w:rPr>
              <w:t>0.22</w:t>
            </w:r>
          </w:p>
        </w:tc>
        <w:tc>
          <w:tcPr>
            <w:tcW w:w="322" w:type="pct"/>
            <w:tcBorders>
              <w:top w:val="nil"/>
              <w:left w:val="single" w:sz="4" w:space="0" w:color="auto"/>
              <w:bottom w:val="single" w:sz="4" w:space="0" w:color="auto"/>
              <w:right w:val="single" w:sz="4" w:space="0" w:color="auto"/>
            </w:tcBorders>
            <w:shd w:val="clear" w:color="auto" w:fill="auto"/>
            <w:vAlign w:val="bottom"/>
          </w:tcPr>
          <w:p w14:paraId="705CBFD9" w14:textId="77777777" w:rsidR="00937546" w:rsidRDefault="00937546" w:rsidP="00447817">
            <w:pPr>
              <w:jc w:val="center"/>
              <w:rPr>
                <w:rFonts w:ascii="Calibri" w:hAnsi="Calibri" w:cs="Calibri"/>
                <w:color w:val="000000"/>
              </w:rPr>
            </w:pPr>
            <w:r>
              <w:rPr>
                <w:rFonts w:ascii="Calibri" w:hAnsi="Calibri" w:cs="Calibri"/>
                <w:color w:val="000000"/>
              </w:rPr>
              <w:t>.512**</w:t>
            </w:r>
          </w:p>
        </w:tc>
        <w:tc>
          <w:tcPr>
            <w:tcW w:w="424" w:type="pct"/>
            <w:tcBorders>
              <w:top w:val="nil"/>
              <w:left w:val="nil"/>
              <w:bottom w:val="single" w:sz="4" w:space="0" w:color="auto"/>
              <w:right w:val="single" w:sz="4" w:space="0" w:color="auto"/>
            </w:tcBorders>
            <w:shd w:val="clear" w:color="auto" w:fill="auto"/>
            <w:vAlign w:val="bottom"/>
          </w:tcPr>
          <w:p w14:paraId="3138D47B" w14:textId="77777777" w:rsidR="00937546" w:rsidRDefault="00937546" w:rsidP="00447817">
            <w:pPr>
              <w:jc w:val="center"/>
              <w:rPr>
                <w:rFonts w:ascii="Calibri" w:hAnsi="Calibri" w:cs="Calibri"/>
                <w:color w:val="000000"/>
              </w:rPr>
            </w:pPr>
            <w:r>
              <w:rPr>
                <w:rFonts w:ascii="Calibri" w:hAnsi="Calibri" w:cs="Calibri"/>
                <w:color w:val="000000"/>
              </w:rPr>
              <w:t>0.053</w:t>
            </w:r>
          </w:p>
        </w:tc>
        <w:tc>
          <w:tcPr>
            <w:tcW w:w="434" w:type="pct"/>
            <w:tcBorders>
              <w:top w:val="nil"/>
              <w:left w:val="single" w:sz="4" w:space="0" w:color="auto"/>
              <w:bottom w:val="single" w:sz="4" w:space="0" w:color="auto"/>
              <w:right w:val="single" w:sz="4" w:space="0" w:color="auto"/>
            </w:tcBorders>
            <w:shd w:val="clear" w:color="auto" w:fill="auto"/>
            <w:vAlign w:val="bottom"/>
          </w:tcPr>
          <w:p w14:paraId="6C3C34D8" w14:textId="77777777" w:rsidR="00937546" w:rsidRDefault="00937546" w:rsidP="00447817">
            <w:pPr>
              <w:jc w:val="center"/>
              <w:rPr>
                <w:rFonts w:ascii="Calibri" w:hAnsi="Calibri" w:cs="Calibri"/>
                <w:color w:val="000000"/>
              </w:rPr>
            </w:pPr>
            <w:r>
              <w:rPr>
                <w:rFonts w:ascii="Calibri" w:hAnsi="Calibri" w:cs="Calibri"/>
                <w:color w:val="000000"/>
              </w:rPr>
              <w:t>0.257</w:t>
            </w:r>
          </w:p>
        </w:tc>
        <w:tc>
          <w:tcPr>
            <w:tcW w:w="398" w:type="pct"/>
            <w:tcBorders>
              <w:top w:val="nil"/>
              <w:left w:val="single" w:sz="4" w:space="0" w:color="auto"/>
              <w:bottom w:val="single" w:sz="4" w:space="0" w:color="auto"/>
              <w:right w:val="single" w:sz="4" w:space="0" w:color="auto"/>
            </w:tcBorders>
            <w:shd w:val="clear" w:color="auto" w:fill="auto"/>
            <w:vAlign w:val="bottom"/>
          </w:tcPr>
          <w:p w14:paraId="5CC42B38" w14:textId="77777777" w:rsidR="00937546" w:rsidRDefault="00937546" w:rsidP="00447817">
            <w:pPr>
              <w:jc w:val="center"/>
              <w:rPr>
                <w:rFonts w:ascii="Calibri" w:hAnsi="Calibri" w:cs="Calibri"/>
                <w:color w:val="000000"/>
              </w:rPr>
            </w:pPr>
            <w:r>
              <w:rPr>
                <w:rFonts w:ascii="Calibri" w:hAnsi="Calibri" w:cs="Calibri"/>
                <w:color w:val="000000"/>
              </w:rPr>
              <w:t>0.328</w:t>
            </w:r>
          </w:p>
        </w:tc>
        <w:tc>
          <w:tcPr>
            <w:tcW w:w="407" w:type="pct"/>
            <w:tcBorders>
              <w:top w:val="nil"/>
              <w:left w:val="nil"/>
              <w:bottom w:val="single" w:sz="4" w:space="0" w:color="auto"/>
              <w:right w:val="single" w:sz="4" w:space="0" w:color="auto"/>
            </w:tcBorders>
            <w:shd w:val="clear" w:color="auto" w:fill="auto"/>
            <w:vAlign w:val="bottom"/>
          </w:tcPr>
          <w:p w14:paraId="6CBADAC8" w14:textId="77777777" w:rsidR="00937546" w:rsidRDefault="00937546" w:rsidP="00447817">
            <w:pPr>
              <w:jc w:val="center"/>
              <w:rPr>
                <w:rFonts w:ascii="Calibri" w:hAnsi="Calibri" w:cs="Calibri"/>
                <w:color w:val="000000"/>
              </w:rPr>
            </w:pPr>
            <w:r>
              <w:rPr>
                <w:rFonts w:ascii="Calibri" w:hAnsi="Calibri" w:cs="Calibri"/>
                <w:color w:val="000000"/>
              </w:rPr>
              <w:t>-0.037</w:t>
            </w:r>
          </w:p>
        </w:tc>
        <w:tc>
          <w:tcPr>
            <w:tcW w:w="407" w:type="pct"/>
            <w:tcBorders>
              <w:top w:val="nil"/>
              <w:left w:val="single" w:sz="4" w:space="0" w:color="auto"/>
              <w:bottom w:val="single" w:sz="4" w:space="0" w:color="auto"/>
              <w:right w:val="single" w:sz="4" w:space="0" w:color="auto"/>
            </w:tcBorders>
            <w:shd w:val="clear" w:color="auto" w:fill="auto"/>
            <w:vAlign w:val="bottom"/>
          </w:tcPr>
          <w:p w14:paraId="576829E2" w14:textId="77777777" w:rsidR="00937546" w:rsidRDefault="00937546" w:rsidP="00447817">
            <w:pPr>
              <w:jc w:val="center"/>
              <w:rPr>
                <w:rFonts w:ascii="Calibri" w:hAnsi="Calibri" w:cs="Calibri"/>
                <w:color w:val="000000"/>
              </w:rPr>
            </w:pPr>
            <w:r>
              <w:rPr>
                <w:rFonts w:ascii="Calibri" w:hAnsi="Calibri" w:cs="Calibri"/>
                <w:color w:val="000000"/>
              </w:rPr>
              <w:t>0.211</w:t>
            </w:r>
          </w:p>
        </w:tc>
        <w:tc>
          <w:tcPr>
            <w:tcW w:w="407" w:type="pct"/>
            <w:tcBorders>
              <w:top w:val="nil"/>
              <w:left w:val="single" w:sz="4" w:space="0" w:color="auto"/>
              <w:bottom w:val="single" w:sz="4" w:space="0" w:color="auto"/>
              <w:right w:val="single" w:sz="4" w:space="0" w:color="auto"/>
            </w:tcBorders>
            <w:shd w:val="clear" w:color="auto" w:fill="auto"/>
            <w:vAlign w:val="bottom"/>
          </w:tcPr>
          <w:p w14:paraId="521BAD6D" w14:textId="77777777" w:rsidR="00937546" w:rsidRDefault="00937546" w:rsidP="00447817">
            <w:pPr>
              <w:jc w:val="center"/>
              <w:rPr>
                <w:rFonts w:ascii="Calibri" w:hAnsi="Calibri" w:cs="Calibri"/>
                <w:color w:val="000000"/>
              </w:rPr>
            </w:pPr>
            <w:r>
              <w:rPr>
                <w:rFonts w:ascii="Calibri" w:hAnsi="Calibri" w:cs="Calibri"/>
                <w:color w:val="000000"/>
              </w:rPr>
              <w:t>0.221</w:t>
            </w:r>
          </w:p>
        </w:tc>
        <w:tc>
          <w:tcPr>
            <w:tcW w:w="407" w:type="pct"/>
            <w:tcBorders>
              <w:top w:val="nil"/>
              <w:left w:val="nil"/>
              <w:bottom w:val="single" w:sz="4" w:space="0" w:color="auto"/>
              <w:right w:val="single" w:sz="4" w:space="0" w:color="auto"/>
            </w:tcBorders>
            <w:shd w:val="clear" w:color="auto" w:fill="auto"/>
            <w:vAlign w:val="bottom"/>
          </w:tcPr>
          <w:p w14:paraId="0AD8FEC6" w14:textId="77777777" w:rsidR="00937546" w:rsidRDefault="00937546" w:rsidP="00447817">
            <w:pPr>
              <w:jc w:val="center"/>
              <w:rPr>
                <w:rFonts w:ascii="Calibri" w:hAnsi="Calibri" w:cs="Calibri"/>
                <w:color w:val="000000"/>
              </w:rPr>
            </w:pPr>
            <w:r>
              <w:rPr>
                <w:rFonts w:ascii="Calibri" w:hAnsi="Calibri" w:cs="Calibri"/>
                <w:color w:val="000000"/>
              </w:rPr>
              <w:t>0.128</w:t>
            </w:r>
          </w:p>
        </w:tc>
      </w:tr>
      <w:tr w:rsidR="00937546" w:rsidRPr="00E91A88" w14:paraId="05BFFCCA" w14:textId="77777777" w:rsidTr="00447817">
        <w:trPr>
          <w:trHeight w:val="215"/>
        </w:trPr>
        <w:tc>
          <w:tcPr>
            <w:tcW w:w="628" w:type="pct"/>
            <w:vMerge/>
          </w:tcPr>
          <w:p w14:paraId="7F8B80EA" w14:textId="77777777" w:rsidR="00937546" w:rsidRPr="00E91A88" w:rsidRDefault="00937546" w:rsidP="00447817">
            <w:pPr>
              <w:jc w:val="both"/>
              <w:rPr>
                <w:rFonts w:ascii="Times New Roman" w:hAnsi="Times New Roman" w:cs="Times New Roman"/>
                <w:sz w:val="24"/>
                <w:szCs w:val="24"/>
              </w:rPr>
            </w:pPr>
          </w:p>
        </w:tc>
        <w:tc>
          <w:tcPr>
            <w:tcW w:w="423" w:type="pct"/>
            <w:shd w:val="clear" w:color="auto" w:fill="BDD6EE" w:themeFill="accent1" w:themeFillTint="66"/>
          </w:tcPr>
          <w:p w14:paraId="25DD7BA2"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P value</w:t>
            </w:r>
          </w:p>
        </w:tc>
        <w:tc>
          <w:tcPr>
            <w:tcW w:w="349"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3CDCBB9C" w14:textId="77777777" w:rsidR="00937546" w:rsidRDefault="00937546" w:rsidP="00447817">
            <w:pPr>
              <w:jc w:val="center"/>
              <w:rPr>
                <w:rFonts w:ascii="Calibri" w:hAnsi="Calibri" w:cs="Calibri"/>
                <w:color w:val="000000"/>
              </w:rPr>
            </w:pPr>
            <w:r>
              <w:rPr>
                <w:rFonts w:ascii="Calibri" w:hAnsi="Calibri" w:cs="Calibri"/>
                <w:color w:val="000000"/>
              </w:rPr>
              <w:t>0.001</w:t>
            </w:r>
          </w:p>
        </w:tc>
        <w:tc>
          <w:tcPr>
            <w:tcW w:w="394"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7B162DA1" w14:textId="77777777" w:rsidR="00937546" w:rsidRDefault="00937546" w:rsidP="00447817">
            <w:pPr>
              <w:jc w:val="center"/>
              <w:rPr>
                <w:rFonts w:ascii="Calibri" w:hAnsi="Calibri" w:cs="Calibri"/>
                <w:color w:val="000000"/>
              </w:rPr>
            </w:pPr>
            <w:r>
              <w:rPr>
                <w:rFonts w:ascii="Calibri" w:hAnsi="Calibri" w:cs="Calibri"/>
                <w:color w:val="000000"/>
              </w:rPr>
              <w:t>0.226</w:t>
            </w:r>
          </w:p>
        </w:tc>
        <w:tc>
          <w:tcPr>
            <w:tcW w:w="322"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1CE17127" w14:textId="77777777" w:rsidR="00937546" w:rsidRDefault="00937546" w:rsidP="00447817">
            <w:pPr>
              <w:jc w:val="center"/>
              <w:rPr>
                <w:rFonts w:ascii="Calibri" w:hAnsi="Calibri" w:cs="Calibri"/>
                <w:color w:val="000000"/>
              </w:rPr>
            </w:pPr>
            <w:r>
              <w:rPr>
                <w:rFonts w:ascii="Calibri" w:hAnsi="Calibri" w:cs="Calibri"/>
                <w:color w:val="000000"/>
              </w:rPr>
              <w:t>0.003</w:t>
            </w:r>
          </w:p>
        </w:tc>
        <w:tc>
          <w:tcPr>
            <w:tcW w:w="424" w:type="pct"/>
            <w:tcBorders>
              <w:top w:val="nil"/>
              <w:left w:val="nil"/>
              <w:bottom w:val="single" w:sz="4" w:space="0" w:color="auto"/>
              <w:right w:val="single" w:sz="4" w:space="0" w:color="auto"/>
            </w:tcBorders>
            <w:shd w:val="clear" w:color="auto" w:fill="BDD6EE" w:themeFill="accent1" w:themeFillTint="66"/>
            <w:vAlign w:val="bottom"/>
          </w:tcPr>
          <w:p w14:paraId="0FBE9BCB" w14:textId="77777777" w:rsidR="00937546" w:rsidRDefault="00937546" w:rsidP="00447817">
            <w:pPr>
              <w:jc w:val="center"/>
              <w:rPr>
                <w:rFonts w:ascii="Calibri" w:hAnsi="Calibri" w:cs="Calibri"/>
                <w:color w:val="000000"/>
              </w:rPr>
            </w:pPr>
            <w:r>
              <w:rPr>
                <w:rFonts w:ascii="Calibri" w:hAnsi="Calibri" w:cs="Calibri"/>
                <w:color w:val="000000"/>
              </w:rPr>
              <w:t>0.774</w:t>
            </w:r>
          </w:p>
        </w:tc>
        <w:tc>
          <w:tcPr>
            <w:tcW w:w="434"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1E6B7E2F" w14:textId="77777777" w:rsidR="00937546" w:rsidRDefault="00937546" w:rsidP="00447817">
            <w:pPr>
              <w:jc w:val="center"/>
              <w:rPr>
                <w:rFonts w:ascii="Calibri" w:hAnsi="Calibri" w:cs="Calibri"/>
                <w:color w:val="000000"/>
              </w:rPr>
            </w:pPr>
            <w:r>
              <w:rPr>
                <w:rFonts w:ascii="Calibri" w:hAnsi="Calibri" w:cs="Calibri"/>
                <w:color w:val="000000"/>
              </w:rPr>
              <w:t>0.155</w:t>
            </w:r>
          </w:p>
        </w:tc>
        <w:tc>
          <w:tcPr>
            <w:tcW w:w="398"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1CD496D6" w14:textId="77777777" w:rsidR="00937546" w:rsidRDefault="00937546" w:rsidP="00447817">
            <w:pPr>
              <w:jc w:val="center"/>
              <w:rPr>
                <w:rFonts w:ascii="Calibri" w:hAnsi="Calibri" w:cs="Calibri"/>
                <w:color w:val="000000"/>
              </w:rPr>
            </w:pPr>
            <w:r>
              <w:rPr>
                <w:rFonts w:ascii="Calibri" w:hAnsi="Calibri" w:cs="Calibri"/>
                <w:color w:val="000000"/>
              </w:rPr>
              <w:t>0.067</w:t>
            </w:r>
          </w:p>
        </w:tc>
        <w:tc>
          <w:tcPr>
            <w:tcW w:w="407" w:type="pct"/>
            <w:tcBorders>
              <w:top w:val="nil"/>
              <w:left w:val="nil"/>
              <w:bottom w:val="single" w:sz="4" w:space="0" w:color="auto"/>
              <w:right w:val="single" w:sz="4" w:space="0" w:color="auto"/>
            </w:tcBorders>
            <w:shd w:val="clear" w:color="auto" w:fill="BDD6EE" w:themeFill="accent1" w:themeFillTint="66"/>
            <w:vAlign w:val="bottom"/>
          </w:tcPr>
          <w:p w14:paraId="22AB4757" w14:textId="77777777" w:rsidR="00937546" w:rsidRDefault="00937546" w:rsidP="00447817">
            <w:pPr>
              <w:jc w:val="center"/>
              <w:rPr>
                <w:rFonts w:ascii="Calibri" w:hAnsi="Calibri" w:cs="Calibri"/>
                <w:color w:val="000000"/>
              </w:rPr>
            </w:pPr>
            <w:r>
              <w:rPr>
                <w:rFonts w:ascii="Calibri" w:hAnsi="Calibri" w:cs="Calibri"/>
                <w:color w:val="000000"/>
              </w:rPr>
              <w:t>0.84</w:t>
            </w:r>
          </w:p>
        </w:tc>
        <w:tc>
          <w:tcPr>
            <w:tcW w:w="407"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1FDCA5E8" w14:textId="77777777" w:rsidR="00937546" w:rsidRDefault="00937546" w:rsidP="00447817">
            <w:pPr>
              <w:jc w:val="center"/>
              <w:rPr>
                <w:rFonts w:ascii="Calibri" w:hAnsi="Calibri" w:cs="Calibri"/>
                <w:color w:val="000000"/>
              </w:rPr>
            </w:pPr>
            <w:r>
              <w:rPr>
                <w:rFonts w:ascii="Calibri" w:hAnsi="Calibri" w:cs="Calibri"/>
                <w:color w:val="000000"/>
              </w:rPr>
              <w:t>0.246</w:t>
            </w:r>
          </w:p>
        </w:tc>
        <w:tc>
          <w:tcPr>
            <w:tcW w:w="407"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6ED56BD4" w14:textId="77777777" w:rsidR="00937546" w:rsidRDefault="00937546" w:rsidP="00447817">
            <w:pPr>
              <w:jc w:val="center"/>
              <w:rPr>
                <w:rFonts w:ascii="Calibri" w:hAnsi="Calibri" w:cs="Calibri"/>
                <w:color w:val="000000"/>
              </w:rPr>
            </w:pPr>
            <w:r>
              <w:rPr>
                <w:rFonts w:ascii="Calibri" w:hAnsi="Calibri" w:cs="Calibri"/>
                <w:color w:val="000000"/>
              </w:rPr>
              <w:t>0.223</w:t>
            </w:r>
          </w:p>
        </w:tc>
        <w:tc>
          <w:tcPr>
            <w:tcW w:w="407" w:type="pct"/>
            <w:tcBorders>
              <w:top w:val="nil"/>
              <w:left w:val="nil"/>
              <w:bottom w:val="single" w:sz="4" w:space="0" w:color="auto"/>
              <w:right w:val="single" w:sz="4" w:space="0" w:color="auto"/>
            </w:tcBorders>
            <w:shd w:val="clear" w:color="auto" w:fill="BDD6EE" w:themeFill="accent1" w:themeFillTint="66"/>
            <w:vAlign w:val="bottom"/>
          </w:tcPr>
          <w:p w14:paraId="0C9686D9" w14:textId="77777777" w:rsidR="00937546" w:rsidRDefault="00937546" w:rsidP="00447817">
            <w:pPr>
              <w:jc w:val="center"/>
              <w:rPr>
                <w:rFonts w:ascii="Calibri" w:hAnsi="Calibri" w:cs="Calibri"/>
                <w:color w:val="000000"/>
              </w:rPr>
            </w:pPr>
            <w:r>
              <w:rPr>
                <w:rFonts w:ascii="Calibri" w:hAnsi="Calibri" w:cs="Calibri"/>
                <w:color w:val="000000"/>
              </w:rPr>
              <w:t>0.484</w:t>
            </w:r>
          </w:p>
        </w:tc>
      </w:tr>
      <w:tr w:rsidR="00937546" w:rsidRPr="00E91A88" w14:paraId="432BF99B" w14:textId="77777777" w:rsidTr="00447817">
        <w:trPr>
          <w:trHeight w:val="251"/>
        </w:trPr>
        <w:tc>
          <w:tcPr>
            <w:tcW w:w="628" w:type="pct"/>
            <w:vMerge w:val="restart"/>
          </w:tcPr>
          <w:p w14:paraId="31518F93"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LIVING STANDARD INDEX</w:t>
            </w:r>
          </w:p>
        </w:tc>
        <w:tc>
          <w:tcPr>
            <w:tcW w:w="423" w:type="pct"/>
          </w:tcPr>
          <w:p w14:paraId="20FDCB1A"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Pearson Correlation</w:t>
            </w:r>
          </w:p>
        </w:tc>
        <w:tc>
          <w:tcPr>
            <w:tcW w:w="349" w:type="pct"/>
            <w:tcBorders>
              <w:top w:val="nil"/>
              <w:left w:val="single" w:sz="4" w:space="0" w:color="auto"/>
              <w:bottom w:val="single" w:sz="4" w:space="0" w:color="auto"/>
              <w:right w:val="single" w:sz="4" w:space="0" w:color="auto"/>
            </w:tcBorders>
            <w:shd w:val="clear" w:color="auto" w:fill="auto"/>
            <w:vAlign w:val="bottom"/>
          </w:tcPr>
          <w:p w14:paraId="43656FF9" w14:textId="77777777" w:rsidR="00937546" w:rsidRDefault="00937546" w:rsidP="00447817">
            <w:pPr>
              <w:jc w:val="center"/>
              <w:rPr>
                <w:rFonts w:ascii="Calibri" w:hAnsi="Calibri" w:cs="Calibri"/>
                <w:color w:val="000000"/>
              </w:rPr>
            </w:pPr>
            <w:r>
              <w:rPr>
                <w:rFonts w:ascii="Calibri" w:hAnsi="Calibri" w:cs="Calibri"/>
                <w:color w:val="000000"/>
              </w:rPr>
              <w:t>-.584**</w:t>
            </w:r>
          </w:p>
        </w:tc>
        <w:tc>
          <w:tcPr>
            <w:tcW w:w="394" w:type="pct"/>
            <w:tcBorders>
              <w:top w:val="nil"/>
              <w:left w:val="single" w:sz="4" w:space="0" w:color="auto"/>
              <w:bottom w:val="single" w:sz="4" w:space="0" w:color="auto"/>
              <w:right w:val="single" w:sz="4" w:space="0" w:color="auto"/>
            </w:tcBorders>
            <w:shd w:val="clear" w:color="auto" w:fill="auto"/>
            <w:vAlign w:val="bottom"/>
          </w:tcPr>
          <w:p w14:paraId="258580E5" w14:textId="77777777" w:rsidR="00937546" w:rsidRDefault="00937546" w:rsidP="00447817">
            <w:pPr>
              <w:jc w:val="center"/>
              <w:rPr>
                <w:rFonts w:ascii="Calibri" w:hAnsi="Calibri" w:cs="Calibri"/>
                <w:color w:val="000000"/>
              </w:rPr>
            </w:pPr>
            <w:r>
              <w:rPr>
                <w:rFonts w:ascii="Calibri" w:hAnsi="Calibri" w:cs="Calibri"/>
                <w:color w:val="000000"/>
              </w:rPr>
              <w:t>.528**</w:t>
            </w:r>
          </w:p>
        </w:tc>
        <w:tc>
          <w:tcPr>
            <w:tcW w:w="322" w:type="pct"/>
            <w:tcBorders>
              <w:top w:val="nil"/>
              <w:left w:val="single" w:sz="4" w:space="0" w:color="auto"/>
              <w:bottom w:val="single" w:sz="4" w:space="0" w:color="auto"/>
              <w:right w:val="single" w:sz="4" w:space="0" w:color="auto"/>
            </w:tcBorders>
            <w:shd w:val="clear" w:color="auto" w:fill="auto"/>
            <w:vAlign w:val="bottom"/>
          </w:tcPr>
          <w:p w14:paraId="0DAE9814" w14:textId="77777777" w:rsidR="00937546" w:rsidRDefault="00937546" w:rsidP="00447817">
            <w:pPr>
              <w:jc w:val="center"/>
              <w:rPr>
                <w:rFonts w:ascii="Calibri" w:hAnsi="Calibri" w:cs="Calibri"/>
                <w:color w:val="000000"/>
              </w:rPr>
            </w:pPr>
            <w:r>
              <w:rPr>
                <w:rFonts w:ascii="Calibri" w:hAnsi="Calibri" w:cs="Calibri"/>
                <w:color w:val="000000"/>
              </w:rPr>
              <w:t>0.283</w:t>
            </w:r>
          </w:p>
        </w:tc>
        <w:tc>
          <w:tcPr>
            <w:tcW w:w="424" w:type="pct"/>
            <w:tcBorders>
              <w:top w:val="nil"/>
              <w:left w:val="nil"/>
              <w:bottom w:val="single" w:sz="4" w:space="0" w:color="auto"/>
              <w:right w:val="single" w:sz="4" w:space="0" w:color="auto"/>
            </w:tcBorders>
            <w:shd w:val="clear" w:color="auto" w:fill="auto"/>
            <w:vAlign w:val="bottom"/>
          </w:tcPr>
          <w:p w14:paraId="7E0CE44B" w14:textId="77777777" w:rsidR="00937546" w:rsidRDefault="00937546" w:rsidP="00447817">
            <w:pPr>
              <w:jc w:val="center"/>
              <w:rPr>
                <w:rFonts w:ascii="Calibri" w:hAnsi="Calibri" w:cs="Calibri"/>
                <w:color w:val="000000"/>
              </w:rPr>
            </w:pPr>
            <w:r>
              <w:rPr>
                <w:rFonts w:ascii="Calibri" w:hAnsi="Calibri" w:cs="Calibri"/>
                <w:color w:val="000000"/>
              </w:rPr>
              <w:t>.435*</w:t>
            </w:r>
          </w:p>
        </w:tc>
        <w:tc>
          <w:tcPr>
            <w:tcW w:w="434" w:type="pct"/>
            <w:tcBorders>
              <w:top w:val="nil"/>
              <w:left w:val="single" w:sz="4" w:space="0" w:color="auto"/>
              <w:bottom w:val="single" w:sz="4" w:space="0" w:color="auto"/>
              <w:right w:val="single" w:sz="4" w:space="0" w:color="auto"/>
            </w:tcBorders>
            <w:shd w:val="clear" w:color="auto" w:fill="auto"/>
            <w:vAlign w:val="bottom"/>
          </w:tcPr>
          <w:p w14:paraId="4F9F17D1" w14:textId="77777777" w:rsidR="00937546" w:rsidRDefault="00937546" w:rsidP="00447817">
            <w:pPr>
              <w:jc w:val="center"/>
              <w:rPr>
                <w:rFonts w:ascii="Calibri" w:hAnsi="Calibri" w:cs="Calibri"/>
                <w:color w:val="000000"/>
              </w:rPr>
            </w:pPr>
            <w:r>
              <w:rPr>
                <w:rFonts w:ascii="Calibri" w:hAnsi="Calibri" w:cs="Calibri"/>
                <w:color w:val="000000"/>
              </w:rPr>
              <w:t>.419*</w:t>
            </w:r>
          </w:p>
        </w:tc>
        <w:tc>
          <w:tcPr>
            <w:tcW w:w="398" w:type="pct"/>
            <w:tcBorders>
              <w:top w:val="nil"/>
              <w:left w:val="single" w:sz="4" w:space="0" w:color="auto"/>
              <w:bottom w:val="single" w:sz="4" w:space="0" w:color="auto"/>
              <w:right w:val="single" w:sz="4" w:space="0" w:color="auto"/>
            </w:tcBorders>
            <w:shd w:val="clear" w:color="auto" w:fill="auto"/>
            <w:vAlign w:val="bottom"/>
          </w:tcPr>
          <w:p w14:paraId="25618F75" w14:textId="77777777" w:rsidR="00937546" w:rsidRDefault="00937546" w:rsidP="00447817">
            <w:pPr>
              <w:jc w:val="center"/>
              <w:rPr>
                <w:rFonts w:ascii="Calibri" w:hAnsi="Calibri" w:cs="Calibri"/>
                <w:color w:val="000000"/>
              </w:rPr>
            </w:pPr>
            <w:r>
              <w:rPr>
                <w:rFonts w:ascii="Calibri" w:hAnsi="Calibri" w:cs="Calibri"/>
                <w:color w:val="000000"/>
              </w:rPr>
              <w:t>0.325</w:t>
            </w:r>
          </w:p>
        </w:tc>
        <w:tc>
          <w:tcPr>
            <w:tcW w:w="407" w:type="pct"/>
            <w:tcBorders>
              <w:top w:val="nil"/>
              <w:left w:val="nil"/>
              <w:bottom w:val="single" w:sz="4" w:space="0" w:color="auto"/>
              <w:right w:val="single" w:sz="4" w:space="0" w:color="auto"/>
            </w:tcBorders>
            <w:shd w:val="clear" w:color="auto" w:fill="auto"/>
            <w:vAlign w:val="bottom"/>
          </w:tcPr>
          <w:p w14:paraId="2AC94FE0" w14:textId="77777777" w:rsidR="00937546" w:rsidRDefault="00937546" w:rsidP="00447817">
            <w:pPr>
              <w:jc w:val="center"/>
              <w:rPr>
                <w:rFonts w:ascii="Calibri" w:hAnsi="Calibri" w:cs="Calibri"/>
                <w:color w:val="000000"/>
              </w:rPr>
            </w:pPr>
            <w:r>
              <w:rPr>
                <w:rFonts w:ascii="Calibri" w:hAnsi="Calibri" w:cs="Calibri"/>
                <w:color w:val="000000"/>
              </w:rPr>
              <w:t>0.242</w:t>
            </w:r>
          </w:p>
        </w:tc>
        <w:tc>
          <w:tcPr>
            <w:tcW w:w="407" w:type="pct"/>
            <w:tcBorders>
              <w:top w:val="nil"/>
              <w:left w:val="single" w:sz="4" w:space="0" w:color="auto"/>
              <w:bottom w:val="single" w:sz="4" w:space="0" w:color="auto"/>
              <w:right w:val="single" w:sz="4" w:space="0" w:color="auto"/>
            </w:tcBorders>
            <w:shd w:val="clear" w:color="auto" w:fill="auto"/>
            <w:vAlign w:val="bottom"/>
          </w:tcPr>
          <w:p w14:paraId="080A0C16" w14:textId="77777777" w:rsidR="00937546" w:rsidRDefault="00937546" w:rsidP="00447817">
            <w:pPr>
              <w:jc w:val="center"/>
              <w:rPr>
                <w:rFonts w:ascii="Calibri" w:hAnsi="Calibri" w:cs="Calibri"/>
                <w:color w:val="000000"/>
              </w:rPr>
            </w:pPr>
            <w:r>
              <w:rPr>
                <w:rFonts w:ascii="Calibri" w:hAnsi="Calibri" w:cs="Calibri"/>
                <w:color w:val="000000"/>
              </w:rPr>
              <w:t>0.348</w:t>
            </w:r>
          </w:p>
        </w:tc>
        <w:tc>
          <w:tcPr>
            <w:tcW w:w="407" w:type="pct"/>
            <w:tcBorders>
              <w:top w:val="nil"/>
              <w:left w:val="single" w:sz="4" w:space="0" w:color="auto"/>
              <w:bottom w:val="single" w:sz="4" w:space="0" w:color="auto"/>
              <w:right w:val="single" w:sz="4" w:space="0" w:color="auto"/>
            </w:tcBorders>
            <w:shd w:val="clear" w:color="auto" w:fill="auto"/>
            <w:vAlign w:val="bottom"/>
          </w:tcPr>
          <w:p w14:paraId="047E54F4" w14:textId="77777777" w:rsidR="00937546" w:rsidRDefault="00937546" w:rsidP="00447817">
            <w:pPr>
              <w:jc w:val="center"/>
              <w:rPr>
                <w:rFonts w:ascii="Calibri" w:hAnsi="Calibri" w:cs="Calibri"/>
                <w:color w:val="000000"/>
              </w:rPr>
            </w:pPr>
            <w:r>
              <w:rPr>
                <w:rFonts w:ascii="Calibri" w:hAnsi="Calibri" w:cs="Calibri"/>
                <w:color w:val="000000"/>
              </w:rPr>
              <w:t>0.286</w:t>
            </w:r>
          </w:p>
        </w:tc>
        <w:tc>
          <w:tcPr>
            <w:tcW w:w="407" w:type="pct"/>
            <w:tcBorders>
              <w:top w:val="nil"/>
              <w:left w:val="nil"/>
              <w:bottom w:val="single" w:sz="4" w:space="0" w:color="auto"/>
              <w:right w:val="single" w:sz="4" w:space="0" w:color="auto"/>
            </w:tcBorders>
            <w:shd w:val="clear" w:color="auto" w:fill="auto"/>
            <w:vAlign w:val="bottom"/>
          </w:tcPr>
          <w:p w14:paraId="7D8DC783" w14:textId="77777777" w:rsidR="00937546" w:rsidRDefault="00937546" w:rsidP="00447817">
            <w:pPr>
              <w:jc w:val="center"/>
              <w:rPr>
                <w:rFonts w:ascii="Calibri" w:hAnsi="Calibri" w:cs="Calibri"/>
                <w:color w:val="000000"/>
              </w:rPr>
            </w:pPr>
            <w:r>
              <w:rPr>
                <w:rFonts w:ascii="Calibri" w:hAnsi="Calibri" w:cs="Calibri"/>
                <w:color w:val="000000"/>
              </w:rPr>
              <w:t>0.32</w:t>
            </w:r>
          </w:p>
        </w:tc>
      </w:tr>
      <w:tr w:rsidR="00937546" w:rsidRPr="00E91A88" w14:paraId="7CA2AC0D" w14:textId="77777777" w:rsidTr="00447817">
        <w:trPr>
          <w:trHeight w:val="176"/>
        </w:trPr>
        <w:tc>
          <w:tcPr>
            <w:tcW w:w="628" w:type="pct"/>
            <w:vMerge/>
          </w:tcPr>
          <w:p w14:paraId="09138375" w14:textId="77777777" w:rsidR="00937546" w:rsidRPr="00E91A88" w:rsidRDefault="00937546" w:rsidP="00447817">
            <w:pPr>
              <w:jc w:val="both"/>
              <w:rPr>
                <w:rFonts w:ascii="Times New Roman" w:hAnsi="Times New Roman" w:cs="Times New Roman"/>
                <w:sz w:val="24"/>
                <w:szCs w:val="24"/>
              </w:rPr>
            </w:pPr>
          </w:p>
        </w:tc>
        <w:tc>
          <w:tcPr>
            <w:tcW w:w="423" w:type="pct"/>
            <w:shd w:val="clear" w:color="auto" w:fill="BDD6EE" w:themeFill="accent1" w:themeFillTint="66"/>
          </w:tcPr>
          <w:p w14:paraId="4CA6D24E" w14:textId="77777777" w:rsidR="00937546" w:rsidRPr="00E91A88" w:rsidRDefault="00937546" w:rsidP="00447817">
            <w:pPr>
              <w:jc w:val="both"/>
              <w:rPr>
                <w:rFonts w:ascii="Times New Roman" w:hAnsi="Times New Roman" w:cs="Times New Roman"/>
                <w:sz w:val="24"/>
                <w:szCs w:val="24"/>
              </w:rPr>
            </w:pPr>
            <w:r w:rsidRPr="00E91A88">
              <w:rPr>
                <w:rFonts w:ascii="Times New Roman" w:hAnsi="Times New Roman" w:cs="Times New Roman"/>
                <w:sz w:val="24"/>
                <w:szCs w:val="24"/>
              </w:rPr>
              <w:t>P value</w:t>
            </w:r>
          </w:p>
        </w:tc>
        <w:tc>
          <w:tcPr>
            <w:tcW w:w="349"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36DEDA05" w14:textId="77777777" w:rsidR="00937546" w:rsidRDefault="00937546" w:rsidP="00447817">
            <w:pPr>
              <w:jc w:val="center"/>
              <w:rPr>
                <w:rFonts w:ascii="Calibri" w:hAnsi="Calibri" w:cs="Calibri"/>
                <w:color w:val="000000"/>
              </w:rPr>
            </w:pPr>
            <w:r>
              <w:rPr>
                <w:rFonts w:ascii="Calibri" w:hAnsi="Calibri" w:cs="Calibri"/>
                <w:color w:val="000000"/>
              </w:rPr>
              <w:t>0</w:t>
            </w:r>
          </w:p>
        </w:tc>
        <w:tc>
          <w:tcPr>
            <w:tcW w:w="394"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1E5EC9EF" w14:textId="77777777" w:rsidR="00937546" w:rsidRDefault="00937546" w:rsidP="00447817">
            <w:pPr>
              <w:jc w:val="center"/>
              <w:rPr>
                <w:rFonts w:ascii="Calibri" w:hAnsi="Calibri" w:cs="Calibri"/>
                <w:color w:val="000000"/>
              </w:rPr>
            </w:pPr>
            <w:r>
              <w:rPr>
                <w:rFonts w:ascii="Calibri" w:hAnsi="Calibri" w:cs="Calibri"/>
                <w:color w:val="000000"/>
              </w:rPr>
              <w:t>0.002</w:t>
            </w:r>
          </w:p>
        </w:tc>
        <w:tc>
          <w:tcPr>
            <w:tcW w:w="322"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3575A0AE" w14:textId="77777777" w:rsidR="00937546" w:rsidRDefault="00937546" w:rsidP="00447817">
            <w:pPr>
              <w:jc w:val="center"/>
              <w:rPr>
                <w:rFonts w:ascii="Calibri" w:hAnsi="Calibri" w:cs="Calibri"/>
                <w:color w:val="000000"/>
              </w:rPr>
            </w:pPr>
            <w:r>
              <w:rPr>
                <w:rFonts w:ascii="Calibri" w:hAnsi="Calibri" w:cs="Calibri"/>
                <w:color w:val="000000"/>
              </w:rPr>
              <w:t>0.116</w:t>
            </w:r>
          </w:p>
        </w:tc>
        <w:tc>
          <w:tcPr>
            <w:tcW w:w="424" w:type="pct"/>
            <w:tcBorders>
              <w:top w:val="nil"/>
              <w:left w:val="nil"/>
              <w:bottom w:val="single" w:sz="4" w:space="0" w:color="auto"/>
              <w:right w:val="single" w:sz="4" w:space="0" w:color="auto"/>
            </w:tcBorders>
            <w:shd w:val="clear" w:color="auto" w:fill="BDD6EE" w:themeFill="accent1" w:themeFillTint="66"/>
            <w:vAlign w:val="bottom"/>
          </w:tcPr>
          <w:p w14:paraId="7CA1F84B" w14:textId="77777777" w:rsidR="00937546" w:rsidRDefault="00937546" w:rsidP="00447817">
            <w:pPr>
              <w:jc w:val="center"/>
              <w:rPr>
                <w:rFonts w:ascii="Calibri" w:hAnsi="Calibri" w:cs="Calibri"/>
                <w:color w:val="000000"/>
              </w:rPr>
            </w:pPr>
            <w:r>
              <w:rPr>
                <w:rFonts w:ascii="Calibri" w:hAnsi="Calibri" w:cs="Calibri"/>
                <w:color w:val="000000"/>
              </w:rPr>
              <w:t>0.013</w:t>
            </w:r>
          </w:p>
        </w:tc>
        <w:tc>
          <w:tcPr>
            <w:tcW w:w="434"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6CBF4137" w14:textId="77777777" w:rsidR="00937546" w:rsidRDefault="00937546" w:rsidP="00447817">
            <w:pPr>
              <w:jc w:val="center"/>
              <w:rPr>
                <w:rFonts w:ascii="Calibri" w:hAnsi="Calibri" w:cs="Calibri"/>
                <w:color w:val="000000"/>
              </w:rPr>
            </w:pPr>
            <w:r>
              <w:rPr>
                <w:rFonts w:ascii="Calibri" w:hAnsi="Calibri" w:cs="Calibri"/>
                <w:color w:val="000000"/>
              </w:rPr>
              <w:t>0.017</w:t>
            </w:r>
          </w:p>
        </w:tc>
        <w:tc>
          <w:tcPr>
            <w:tcW w:w="398"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0035D172" w14:textId="77777777" w:rsidR="00937546" w:rsidRDefault="00937546" w:rsidP="00447817">
            <w:pPr>
              <w:jc w:val="center"/>
              <w:rPr>
                <w:rFonts w:ascii="Calibri" w:hAnsi="Calibri" w:cs="Calibri"/>
                <w:color w:val="000000"/>
              </w:rPr>
            </w:pPr>
            <w:r>
              <w:rPr>
                <w:rFonts w:ascii="Calibri" w:hAnsi="Calibri" w:cs="Calibri"/>
                <w:color w:val="000000"/>
              </w:rPr>
              <w:t>0.069</w:t>
            </w:r>
          </w:p>
        </w:tc>
        <w:tc>
          <w:tcPr>
            <w:tcW w:w="407" w:type="pct"/>
            <w:tcBorders>
              <w:top w:val="nil"/>
              <w:left w:val="nil"/>
              <w:bottom w:val="single" w:sz="4" w:space="0" w:color="auto"/>
              <w:right w:val="single" w:sz="4" w:space="0" w:color="auto"/>
            </w:tcBorders>
            <w:shd w:val="clear" w:color="auto" w:fill="BDD6EE" w:themeFill="accent1" w:themeFillTint="66"/>
            <w:vAlign w:val="bottom"/>
          </w:tcPr>
          <w:p w14:paraId="2BB0BCA3" w14:textId="77777777" w:rsidR="00937546" w:rsidRDefault="00937546" w:rsidP="00447817">
            <w:pPr>
              <w:jc w:val="center"/>
              <w:rPr>
                <w:rFonts w:ascii="Calibri" w:hAnsi="Calibri" w:cs="Calibri"/>
                <w:color w:val="000000"/>
              </w:rPr>
            </w:pPr>
            <w:r>
              <w:rPr>
                <w:rFonts w:ascii="Calibri" w:hAnsi="Calibri" w:cs="Calibri"/>
                <w:color w:val="000000"/>
              </w:rPr>
              <w:t>0.182</w:t>
            </w:r>
          </w:p>
        </w:tc>
        <w:tc>
          <w:tcPr>
            <w:tcW w:w="407"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364171DD" w14:textId="77777777" w:rsidR="00937546" w:rsidRDefault="00937546" w:rsidP="00447817">
            <w:pPr>
              <w:jc w:val="center"/>
              <w:rPr>
                <w:rFonts w:ascii="Calibri" w:hAnsi="Calibri" w:cs="Calibri"/>
                <w:color w:val="000000"/>
              </w:rPr>
            </w:pPr>
            <w:r>
              <w:rPr>
                <w:rFonts w:ascii="Calibri" w:hAnsi="Calibri" w:cs="Calibri"/>
                <w:color w:val="000000"/>
              </w:rPr>
              <w:t>0.051</w:t>
            </w:r>
          </w:p>
        </w:tc>
        <w:tc>
          <w:tcPr>
            <w:tcW w:w="407" w:type="pct"/>
            <w:tcBorders>
              <w:top w:val="nil"/>
              <w:left w:val="single" w:sz="4" w:space="0" w:color="auto"/>
              <w:bottom w:val="single" w:sz="4" w:space="0" w:color="auto"/>
              <w:right w:val="single" w:sz="4" w:space="0" w:color="auto"/>
            </w:tcBorders>
            <w:shd w:val="clear" w:color="auto" w:fill="BDD6EE" w:themeFill="accent1" w:themeFillTint="66"/>
            <w:vAlign w:val="bottom"/>
          </w:tcPr>
          <w:p w14:paraId="07B9F970" w14:textId="77777777" w:rsidR="00937546" w:rsidRDefault="00937546" w:rsidP="00447817">
            <w:pPr>
              <w:jc w:val="center"/>
              <w:rPr>
                <w:rFonts w:ascii="Calibri" w:hAnsi="Calibri" w:cs="Calibri"/>
                <w:color w:val="000000"/>
              </w:rPr>
            </w:pPr>
            <w:r>
              <w:rPr>
                <w:rFonts w:ascii="Calibri" w:hAnsi="Calibri" w:cs="Calibri"/>
                <w:color w:val="000000"/>
              </w:rPr>
              <w:t>0.112</w:t>
            </w:r>
          </w:p>
        </w:tc>
        <w:tc>
          <w:tcPr>
            <w:tcW w:w="407" w:type="pct"/>
            <w:tcBorders>
              <w:top w:val="nil"/>
              <w:left w:val="nil"/>
              <w:bottom w:val="single" w:sz="4" w:space="0" w:color="auto"/>
              <w:right w:val="single" w:sz="4" w:space="0" w:color="auto"/>
            </w:tcBorders>
            <w:shd w:val="clear" w:color="auto" w:fill="BDD6EE" w:themeFill="accent1" w:themeFillTint="66"/>
            <w:vAlign w:val="bottom"/>
          </w:tcPr>
          <w:p w14:paraId="04A3027A" w14:textId="77777777" w:rsidR="00937546" w:rsidRDefault="00937546" w:rsidP="00447817">
            <w:pPr>
              <w:jc w:val="center"/>
              <w:rPr>
                <w:rFonts w:ascii="Calibri" w:hAnsi="Calibri" w:cs="Calibri"/>
                <w:color w:val="000000"/>
              </w:rPr>
            </w:pPr>
            <w:r>
              <w:rPr>
                <w:rFonts w:ascii="Calibri" w:hAnsi="Calibri" w:cs="Calibri"/>
                <w:color w:val="000000"/>
              </w:rPr>
              <w:t>0.074</w:t>
            </w:r>
          </w:p>
        </w:tc>
      </w:tr>
    </w:tbl>
    <w:p w14:paraId="07AF7599" w14:textId="77777777" w:rsidR="00937546" w:rsidRDefault="00937546" w:rsidP="00937546">
      <w:pPr>
        <w:spacing w:line="360" w:lineRule="auto"/>
        <w:jc w:val="both"/>
        <w:rPr>
          <w:rFonts w:ascii="Times New Roman" w:hAnsi="Times New Roman" w:cs="Times New Roman"/>
          <w:sz w:val="24"/>
          <w:szCs w:val="24"/>
        </w:rPr>
      </w:pPr>
      <w:r w:rsidRPr="00E91A88">
        <w:rPr>
          <w:rFonts w:ascii="Times New Roman" w:hAnsi="Times New Roman" w:cs="Times New Roman"/>
          <w:sz w:val="24"/>
          <w:szCs w:val="24"/>
        </w:rPr>
        <w:t>Table 3. Correlation matrix between development index and insurance indicators</w:t>
      </w:r>
    </w:p>
    <w:p w14:paraId="713F2042" w14:textId="77777777" w:rsidR="00937546" w:rsidRPr="00E91A88" w:rsidRDefault="00937546" w:rsidP="00937546">
      <w:pPr>
        <w:spacing w:line="360" w:lineRule="auto"/>
        <w:jc w:val="both"/>
        <w:rPr>
          <w:rFonts w:ascii="Times New Roman" w:hAnsi="Times New Roman" w:cs="Times New Roman"/>
          <w:sz w:val="24"/>
          <w:szCs w:val="24"/>
        </w:rPr>
      </w:pPr>
    </w:p>
    <w:p w14:paraId="1DC56E3A" w14:textId="77777777" w:rsidR="00937546" w:rsidRDefault="00937546" w:rsidP="00937546">
      <w:pPr>
        <w:spacing w:line="360" w:lineRule="auto"/>
        <w:ind w:left="2160" w:firstLine="720"/>
        <w:jc w:val="both"/>
        <w:rPr>
          <w:rFonts w:ascii="Times New Roman" w:hAnsi="Times New Roman" w:cs="Times New Roman"/>
          <w:sz w:val="24"/>
          <w:szCs w:val="24"/>
        </w:rPr>
      </w:pPr>
    </w:p>
    <w:p w14:paraId="3A22706D" w14:textId="77777777" w:rsidR="00937546" w:rsidRPr="00E91A88" w:rsidRDefault="00937546" w:rsidP="00937546">
      <w:pPr>
        <w:spacing w:line="360" w:lineRule="auto"/>
        <w:ind w:left="2160" w:firstLine="720"/>
        <w:jc w:val="both"/>
        <w:rPr>
          <w:rFonts w:ascii="Times New Roman" w:hAnsi="Times New Roman" w:cs="Times New Roman"/>
          <w:sz w:val="24"/>
          <w:szCs w:val="24"/>
        </w:rPr>
      </w:pPr>
      <w:r w:rsidRPr="00E91A88">
        <w:rPr>
          <w:rFonts w:ascii="Times New Roman" w:hAnsi="Times New Roman" w:cs="Times New Roman"/>
          <w:sz w:val="24"/>
          <w:szCs w:val="24"/>
        </w:rPr>
        <w:t>Table 4. Insurance indicators according to Development Group</w:t>
      </w:r>
    </w:p>
    <w:tbl>
      <w:tblPr>
        <w:tblStyle w:val="GridTable6Colorful-Accent5"/>
        <w:tblW w:w="14452" w:type="dxa"/>
        <w:tblLook w:val="04A0" w:firstRow="1" w:lastRow="0" w:firstColumn="1" w:lastColumn="0" w:noHBand="0" w:noVBand="1"/>
      </w:tblPr>
      <w:tblGrid>
        <w:gridCol w:w="6130"/>
        <w:gridCol w:w="1291"/>
        <w:gridCol w:w="1444"/>
        <w:gridCol w:w="1444"/>
        <w:gridCol w:w="1381"/>
        <w:gridCol w:w="1381"/>
        <w:gridCol w:w="1381"/>
      </w:tblGrid>
      <w:tr w:rsidR="00937546" w:rsidRPr="00973B92" w14:paraId="5660E5DB" w14:textId="77777777" w:rsidTr="00447817">
        <w:trPr>
          <w:cnfStyle w:val="100000000000" w:firstRow="1" w:lastRow="0" w:firstColumn="0" w:lastColumn="0" w:oddVBand="0" w:evenVBand="0" w:oddHBand="0"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6130" w:type="dxa"/>
            <w:noWrap/>
          </w:tcPr>
          <w:p w14:paraId="563FD8C4" w14:textId="77777777" w:rsidR="00937546" w:rsidRPr="00973B92" w:rsidRDefault="00937546" w:rsidP="00447817">
            <w:pPr>
              <w:rPr>
                <w:rFonts w:ascii="Calibri" w:eastAsia="Times New Roman" w:hAnsi="Calibri" w:cs="Calibri"/>
                <w:color w:val="000000"/>
                <w:lang w:eastAsia="en-IN" w:bidi="ta-IN"/>
              </w:rPr>
            </w:pPr>
          </w:p>
        </w:tc>
        <w:tc>
          <w:tcPr>
            <w:tcW w:w="1291" w:type="dxa"/>
            <w:noWrap/>
          </w:tcPr>
          <w:p w14:paraId="6A6BC8DE" w14:textId="77777777" w:rsidR="00937546" w:rsidRPr="00973B92" w:rsidRDefault="00937546" w:rsidP="0044781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a-IN"/>
              </w:rPr>
            </w:pPr>
            <w:r>
              <w:rPr>
                <w:rFonts w:ascii="Calibri" w:eastAsia="Times New Roman" w:hAnsi="Calibri" w:cs="Calibri"/>
                <w:color w:val="000000"/>
                <w:lang w:eastAsia="en-IN" w:bidi="ta-IN"/>
              </w:rPr>
              <w:t>HDD</w:t>
            </w:r>
          </w:p>
        </w:tc>
        <w:tc>
          <w:tcPr>
            <w:tcW w:w="1444" w:type="dxa"/>
            <w:noWrap/>
          </w:tcPr>
          <w:p w14:paraId="4405DB8B" w14:textId="77777777" w:rsidR="00937546" w:rsidRPr="00973B92" w:rsidRDefault="00937546" w:rsidP="0044781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a-IN"/>
              </w:rPr>
            </w:pPr>
            <w:r>
              <w:rPr>
                <w:rFonts w:ascii="Calibri" w:eastAsia="Times New Roman" w:hAnsi="Calibri" w:cs="Calibri"/>
                <w:color w:val="000000"/>
                <w:lang w:eastAsia="en-IN" w:bidi="ta-IN"/>
              </w:rPr>
              <w:t>MDD</w:t>
            </w:r>
          </w:p>
        </w:tc>
        <w:tc>
          <w:tcPr>
            <w:tcW w:w="1444" w:type="dxa"/>
            <w:noWrap/>
          </w:tcPr>
          <w:p w14:paraId="2FC436BE" w14:textId="77777777" w:rsidR="00937546" w:rsidRPr="00973B92" w:rsidRDefault="00937546" w:rsidP="0044781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a-IN"/>
              </w:rPr>
            </w:pPr>
            <w:r>
              <w:rPr>
                <w:rFonts w:ascii="Calibri" w:eastAsia="Times New Roman" w:hAnsi="Calibri" w:cs="Calibri"/>
                <w:color w:val="000000"/>
                <w:lang w:eastAsia="en-IN" w:bidi="ta-IN"/>
              </w:rPr>
              <w:t>LDD</w:t>
            </w:r>
          </w:p>
        </w:tc>
        <w:tc>
          <w:tcPr>
            <w:tcW w:w="1381" w:type="dxa"/>
          </w:tcPr>
          <w:p w14:paraId="1574E94C" w14:textId="77777777" w:rsidR="00937546" w:rsidRDefault="00937546" w:rsidP="0044781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a-IN"/>
              </w:rPr>
            </w:pPr>
            <w:r>
              <w:rPr>
                <w:rFonts w:ascii="Calibri" w:eastAsia="Times New Roman" w:hAnsi="Calibri" w:cs="Calibri"/>
                <w:color w:val="000000"/>
                <w:lang w:eastAsia="en-IN" w:bidi="ta-IN"/>
              </w:rPr>
              <w:t xml:space="preserve">P value </w:t>
            </w:r>
          </w:p>
          <w:p w14:paraId="4126CD05" w14:textId="77777777" w:rsidR="00937546" w:rsidRDefault="00937546" w:rsidP="00447817">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a-IN"/>
              </w:rPr>
            </w:pPr>
            <w:r>
              <w:rPr>
                <w:rFonts w:ascii="Calibri" w:eastAsia="Times New Roman" w:hAnsi="Calibri" w:cs="Calibri"/>
                <w:color w:val="000000"/>
                <w:lang w:eastAsia="en-IN" w:bidi="ta-IN"/>
              </w:rPr>
              <w:t>(ANOVA test)</w:t>
            </w:r>
          </w:p>
        </w:tc>
        <w:tc>
          <w:tcPr>
            <w:tcW w:w="1381" w:type="dxa"/>
            <w:noWrap/>
          </w:tcPr>
          <w:p w14:paraId="08940C71" w14:textId="77777777" w:rsidR="00937546" w:rsidRPr="00973B92" w:rsidRDefault="00937546" w:rsidP="0044781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a-IN"/>
              </w:rPr>
            </w:pPr>
            <w:r>
              <w:rPr>
                <w:rFonts w:ascii="Calibri" w:eastAsia="Times New Roman" w:hAnsi="Calibri" w:cs="Calibri"/>
                <w:color w:val="000000"/>
                <w:lang w:eastAsia="en-IN" w:bidi="ta-IN"/>
              </w:rPr>
              <w:t>Ratio between MDD and HDD</w:t>
            </w:r>
          </w:p>
        </w:tc>
        <w:tc>
          <w:tcPr>
            <w:tcW w:w="1381" w:type="dxa"/>
            <w:noWrap/>
          </w:tcPr>
          <w:p w14:paraId="32ADF370" w14:textId="77777777" w:rsidR="00937546" w:rsidRPr="00973B92" w:rsidRDefault="00937546" w:rsidP="00447817">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IN" w:bidi="ta-IN"/>
              </w:rPr>
            </w:pPr>
            <w:r>
              <w:rPr>
                <w:rFonts w:ascii="Calibri" w:eastAsia="Times New Roman" w:hAnsi="Calibri" w:cs="Calibri"/>
                <w:color w:val="000000"/>
                <w:lang w:eastAsia="en-IN" w:bidi="ta-IN"/>
              </w:rPr>
              <w:t>Ratio between LDD and HDD</w:t>
            </w:r>
          </w:p>
        </w:tc>
      </w:tr>
      <w:tr w:rsidR="00937546" w:rsidRPr="00973B92" w14:paraId="485C3962" w14:textId="77777777" w:rsidTr="00447817">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6130" w:type="dxa"/>
            <w:noWrap/>
          </w:tcPr>
          <w:p w14:paraId="5E5ED80D" w14:textId="77777777" w:rsidR="00937546" w:rsidRPr="00973B92" w:rsidRDefault="00937546" w:rsidP="00447817">
            <w:pPr>
              <w:rPr>
                <w:rFonts w:ascii="Calibri" w:eastAsia="Times New Roman" w:hAnsi="Calibri" w:cs="Calibri"/>
                <w:color w:val="000000"/>
                <w:lang w:eastAsia="en-IN" w:bidi="ta-IN"/>
              </w:rPr>
            </w:pPr>
            <w:r>
              <w:rPr>
                <w:rFonts w:ascii="Calibri" w:eastAsia="Times New Roman" w:hAnsi="Calibri" w:cs="Calibri"/>
                <w:color w:val="000000"/>
                <w:lang w:eastAsia="en-IN" w:bidi="ta-IN"/>
              </w:rPr>
              <w:t>Enro</w:t>
            </w:r>
            <w:r w:rsidRPr="00973B92">
              <w:rPr>
                <w:rFonts w:ascii="Calibri" w:eastAsia="Times New Roman" w:hAnsi="Calibri" w:cs="Calibri"/>
                <w:color w:val="000000"/>
                <w:lang w:eastAsia="en-IN" w:bidi="ta-IN"/>
              </w:rPr>
              <w:t>lment</w:t>
            </w:r>
            <w:r>
              <w:rPr>
                <w:rFonts w:ascii="Calibri" w:eastAsia="Times New Roman" w:hAnsi="Calibri" w:cs="Calibri"/>
                <w:color w:val="000000"/>
                <w:lang w:eastAsia="en-IN" w:bidi="ta-IN"/>
              </w:rPr>
              <w:t xml:space="preserve"> in %</w:t>
            </w:r>
          </w:p>
        </w:tc>
        <w:tc>
          <w:tcPr>
            <w:tcW w:w="1291" w:type="dxa"/>
            <w:noWrap/>
          </w:tcPr>
          <w:p w14:paraId="77934E39"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50.59439</w:t>
            </w:r>
          </w:p>
        </w:tc>
        <w:tc>
          <w:tcPr>
            <w:tcW w:w="1444" w:type="dxa"/>
            <w:noWrap/>
          </w:tcPr>
          <w:p w14:paraId="692CE94D"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59.0373</w:t>
            </w:r>
          </w:p>
        </w:tc>
        <w:tc>
          <w:tcPr>
            <w:tcW w:w="1444" w:type="dxa"/>
            <w:noWrap/>
          </w:tcPr>
          <w:p w14:paraId="7AFF0DE7"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61.45986</w:t>
            </w:r>
          </w:p>
        </w:tc>
        <w:tc>
          <w:tcPr>
            <w:tcW w:w="1381" w:type="dxa"/>
          </w:tcPr>
          <w:p w14:paraId="25C55C71"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&lt;0.001*</w:t>
            </w:r>
          </w:p>
        </w:tc>
        <w:tc>
          <w:tcPr>
            <w:tcW w:w="1381" w:type="dxa"/>
            <w:noWrap/>
          </w:tcPr>
          <w:p w14:paraId="1F7828E7"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1.166874</w:t>
            </w:r>
          </w:p>
        </w:tc>
        <w:tc>
          <w:tcPr>
            <w:tcW w:w="1381" w:type="dxa"/>
            <w:noWrap/>
          </w:tcPr>
          <w:p w14:paraId="5FC5F531"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1.214756</w:t>
            </w:r>
          </w:p>
        </w:tc>
      </w:tr>
      <w:tr w:rsidR="00937546" w:rsidRPr="00973B92" w14:paraId="4FAF761B" w14:textId="77777777" w:rsidTr="00447817">
        <w:trPr>
          <w:trHeight w:val="158"/>
        </w:trPr>
        <w:tc>
          <w:tcPr>
            <w:cnfStyle w:val="001000000000" w:firstRow="0" w:lastRow="0" w:firstColumn="1" w:lastColumn="0" w:oddVBand="0" w:evenVBand="0" w:oddHBand="0" w:evenHBand="0" w:firstRowFirstColumn="0" w:firstRowLastColumn="0" w:lastRowFirstColumn="0" w:lastRowLastColumn="0"/>
            <w:tcW w:w="6130" w:type="dxa"/>
            <w:noWrap/>
            <w:hideMark/>
          </w:tcPr>
          <w:p w14:paraId="1512439D" w14:textId="6163C931" w:rsidR="00937546" w:rsidRPr="00973B92" w:rsidRDefault="00421918" w:rsidP="00447817">
            <w:pPr>
              <w:rPr>
                <w:rFonts w:ascii="Calibri" w:eastAsia="Times New Roman" w:hAnsi="Calibri" w:cs="Calibri"/>
                <w:color w:val="000000"/>
                <w:lang w:eastAsia="en-IN" w:bidi="ta-IN"/>
              </w:rPr>
            </w:pPr>
            <w:r>
              <w:rPr>
                <w:rFonts w:ascii="Calibri" w:eastAsia="Times New Roman" w:hAnsi="Calibri" w:cs="Calibri"/>
                <w:color w:val="000000"/>
                <w:lang w:eastAsia="en-IN" w:bidi="ta-IN"/>
              </w:rPr>
              <w:t>Empaneled</w:t>
            </w:r>
            <w:r w:rsidR="00937546" w:rsidRPr="00973B92">
              <w:rPr>
                <w:rFonts w:ascii="Calibri" w:eastAsia="Times New Roman" w:hAnsi="Calibri" w:cs="Calibri"/>
                <w:color w:val="000000"/>
                <w:lang w:eastAsia="en-IN" w:bidi="ta-IN"/>
              </w:rPr>
              <w:t xml:space="preserve"> hospitals  per 1 lakh enrolled</w:t>
            </w:r>
          </w:p>
        </w:tc>
        <w:tc>
          <w:tcPr>
            <w:tcW w:w="1291" w:type="dxa"/>
            <w:noWrap/>
          </w:tcPr>
          <w:p w14:paraId="78B89DCC"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8.00005</w:t>
            </w:r>
          </w:p>
        </w:tc>
        <w:tc>
          <w:tcPr>
            <w:tcW w:w="1444" w:type="dxa"/>
            <w:noWrap/>
          </w:tcPr>
          <w:p w14:paraId="5D8A8B0D"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6.355645</w:t>
            </w:r>
          </w:p>
        </w:tc>
        <w:tc>
          <w:tcPr>
            <w:tcW w:w="1444" w:type="dxa"/>
            <w:noWrap/>
          </w:tcPr>
          <w:p w14:paraId="270559F3"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4.632156</w:t>
            </w:r>
          </w:p>
        </w:tc>
        <w:tc>
          <w:tcPr>
            <w:tcW w:w="1381" w:type="dxa"/>
          </w:tcPr>
          <w:p w14:paraId="13588C28"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0.012*</w:t>
            </w:r>
          </w:p>
        </w:tc>
        <w:tc>
          <w:tcPr>
            <w:tcW w:w="1381" w:type="dxa"/>
            <w:noWrap/>
            <w:hideMark/>
          </w:tcPr>
          <w:p w14:paraId="47059BF2"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0.794451</w:t>
            </w:r>
          </w:p>
        </w:tc>
        <w:tc>
          <w:tcPr>
            <w:tcW w:w="1381" w:type="dxa"/>
            <w:noWrap/>
            <w:hideMark/>
          </w:tcPr>
          <w:p w14:paraId="3D3C5C58"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0.579016</w:t>
            </w:r>
          </w:p>
        </w:tc>
      </w:tr>
      <w:tr w:rsidR="00937546" w:rsidRPr="00973B92" w14:paraId="5AC1EE94" w14:textId="77777777" w:rsidTr="00447817">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6130" w:type="dxa"/>
            <w:noWrap/>
            <w:hideMark/>
          </w:tcPr>
          <w:p w14:paraId="1952D75B" w14:textId="0BFD520E" w:rsidR="00937546" w:rsidRPr="00973B92" w:rsidRDefault="00421918" w:rsidP="00447817">
            <w:pPr>
              <w:rPr>
                <w:rFonts w:ascii="Calibri" w:eastAsia="Times New Roman" w:hAnsi="Calibri" w:cs="Calibri"/>
                <w:color w:val="000000"/>
                <w:lang w:eastAsia="en-IN" w:bidi="ta-IN"/>
              </w:rPr>
            </w:pPr>
            <w:r>
              <w:rPr>
                <w:rFonts w:ascii="Calibri" w:eastAsia="Times New Roman" w:hAnsi="Calibri" w:cs="Calibri"/>
                <w:color w:val="000000"/>
                <w:lang w:eastAsia="en-IN" w:bidi="ta-IN"/>
              </w:rPr>
              <w:t>Empaneled</w:t>
            </w:r>
            <w:r w:rsidR="00937546" w:rsidRPr="00973B92">
              <w:rPr>
                <w:rFonts w:ascii="Calibri" w:eastAsia="Times New Roman" w:hAnsi="Calibri" w:cs="Calibri"/>
                <w:color w:val="000000"/>
                <w:lang w:eastAsia="en-IN" w:bidi="ta-IN"/>
              </w:rPr>
              <w:t xml:space="preserve"> public hospitals per 1 lakh enrolled</w:t>
            </w:r>
          </w:p>
        </w:tc>
        <w:tc>
          <w:tcPr>
            <w:tcW w:w="1291" w:type="dxa"/>
            <w:noWrap/>
          </w:tcPr>
          <w:p w14:paraId="1A1C86F7"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2.08554</w:t>
            </w:r>
          </w:p>
        </w:tc>
        <w:tc>
          <w:tcPr>
            <w:tcW w:w="1444" w:type="dxa"/>
            <w:noWrap/>
          </w:tcPr>
          <w:p w14:paraId="53728174"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1.563911</w:t>
            </w:r>
          </w:p>
        </w:tc>
        <w:tc>
          <w:tcPr>
            <w:tcW w:w="1444" w:type="dxa"/>
            <w:noWrap/>
          </w:tcPr>
          <w:p w14:paraId="6ADD232B"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1.564321</w:t>
            </w:r>
          </w:p>
        </w:tc>
        <w:tc>
          <w:tcPr>
            <w:tcW w:w="1381" w:type="dxa"/>
          </w:tcPr>
          <w:p w14:paraId="409B1544" w14:textId="77777777" w:rsidR="00937546" w:rsidRDefault="00937546" w:rsidP="0044781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0.312</w:t>
            </w:r>
          </w:p>
        </w:tc>
        <w:tc>
          <w:tcPr>
            <w:tcW w:w="1381" w:type="dxa"/>
            <w:noWrap/>
            <w:hideMark/>
          </w:tcPr>
          <w:p w14:paraId="188BBA3B"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0.749883</w:t>
            </w:r>
          </w:p>
        </w:tc>
        <w:tc>
          <w:tcPr>
            <w:tcW w:w="1381" w:type="dxa"/>
            <w:noWrap/>
            <w:hideMark/>
          </w:tcPr>
          <w:p w14:paraId="43742BD2"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0.75008</w:t>
            </w:r>
          </w:p>
        </w:tc>
      </w:tr>
      <w:tr w:rsidR="00937546" w:rsidRPr="00973B92" w14:paraId="3FE60D41" w14:textId="77777777" w:rsidTr="00447817">
        <w:trPr>
          <w:trHeight w:val="158"/>
        </w:trPr>
        <w:tc>
          <w:tcPr>
            <w:cnfStyle w:val="001000000000" w:firstRow="0" w:lastRow="0" w:firstColumn="1" w:lastColumn="0" w:oddVBand="0" w:evenVBand="0" w:oddHBand="0" w:evenHBand="0" w:firstRowFirstColumn="0" w:firstRowLastColumn="0" w:lastRowFirstColumn="0" w:lastRowLastColumn="0"/>
            <w:tcW w:w="6130" w:type="dxa"/>
            <w:noWrap/>
            <w:hideMark/>
          </w:tcPr>
          <w:p w14:paraId="5CEA950E" w14:textId="3D8217C6" w:rsidR="00937546" w:rsidRPr="00973B92" w:rsidRDefault="00421918" w:rsidP="00447817">
            <w:pPr>
              <w:rPr>
                <w:rFonts w:ascii="Calibri" w:eastAsia="Times New Roman" w:hAnsi="Calibri" w:cs="Calibri"/>
                <w:color w:val="000000"/>
                <w:lang w:eastAsia="en-IN" w:bidi="ta-IN"/>
              </w:rPr>
            </w:pPr>
            <w:r>
              <w:rPr>
                <w:rFonts w:ascii="Calibri" w:eastAsia="Times New Roman" w:hAnsi="Calibri" w:cs="Calibri"/>
                <w:color w:val="000000"/>
                <w:lang w:eastAsia="en-IN" w:bidi="ta-IN"/>
              </w:rPr>
              <w:t>Empaneled</w:t>
            </w:r>
            <w:r w:rsidR="00937546" w:rsidRPr="00973B92">
              <w:rPr>
                <w:rFonts w:ascii="Calibri" w:eastAsia="Times New Roman" w:hAnsi="Calibri" w:cs="Calibri"/>
                <w:color w:val="000000"/>
                <w:lang w:eastAsia="en-IN" w:bidi="ta-IN"/>
              </w:rPr>
              <w:t xml:space="preserve"> private hospitals per 1 lakh enrolled</w:t>
            </w:r>
          </w:p>
        </w:tc>
        <w:tc>
          <w:tcPr>
            <w:tcW w:w="1291" w:type="dxa"/>
            <w:noWrap/>
            <w:hideMark/>
          </w:tcPr>
          <w:p w14:paraId="2E652C81"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5.91451</w:t>
            </w:r>
          </w:p>
        </w:tc>
        <w:tc>
          <w:tcPr>
            <w:tcW w:w="1444" w:type="dxa"/>
            <w:noWrap/>
            <w:hideMark/>
          </w:tcPr>
          <w:p w14:paraId="7A691259"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4.791734</w:t>
            </w:r>
          </w:p>
        </w:tc>
        <w:tc>
          <w:tcPr>
            <w:tcW w:w="1444" w:type="dxa"/>
            <w:noWrap/>
            <w:hideMark/>
          </w:tcPr>
          <w:p w14:paraId="2BF1D718"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3.067835</w:t>
            </w:r>
          </w:p>
        </w:tc>
        <w:tc>
          <w:tcPr>
            <w:tcW w:w="1381" w:type="dxa"/>
          </w:tcPr>
          <w:p w14:paraId="77D589CF"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0.047*</w:t>
            </w:r>
          </w:p>
        </w:tc>
        <w:tc>
          <w:tcPr>
            <w:tcW w:w="1381" w:type="dxa"/>
            <w:noWrap/>
            <w:hideMark/>
          </w:tcPr>
          <w:p w14:paraId="5614BF16"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0.810166</w:t>
            </w:r>
          </w:p>
        </w:tc>
        <w:tc>
          <w:tcPr>
            <w:tcW w:w="1381" w:type="dxa"/>
            <w:noWrap/>
            <w:hideMark/>
          </w:tcPr>
          <w:p w14:paraId="74F3969D"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0.518696</w:t>
            </w:r>
          </w:p>
        </w:tc>
      </w:tr>
      <w:tr w:rsidR="00937546" w:rsidRPr="00973B92" w14:paraId="3D1473D1" w14:textId="77777777" w:rsidTr="00447817">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6130" w:type="dxa"/>
            <w:noWrap/>
            <w:hideMark/>
          </w:tcPr>
          <w:p w14:paraId="77975924" w14:textId="77777777" w:rsidR="00937546" w:rsidRPr="00973B92" w:rsidRDefault="00937546" w:rsidP="00447817">
            <w:pPr>
              <w:rPr>
                <w:rFonts w:ascii="Calibri" w:eastAsia="Times New Roman" w:hAnsi="Calibri" w:cs="Calibri"/>
                <w:color w:val="000000"/>
                <w:lang w:eastAsia="en-IN" w:bidi="ta-IN"/>
              </w:rPr>
            </w:pPr>
            <w:r w:rsidRPr="00973B92">
              <w:rPr>
                <w:rFonts w:ascii="Calibri" w:eastAsia="Times New Roman" w:hAnsi="Calibri" w:cs="Calibri"/>
                <w:color w:val="000000"/>
                <w:lang w:eastAsia="en-IN" w:bidi="ta-IN"/>
              </w:rPr>
              <w:t xml:space="preserve">Claims per 1 lakh enrolled </w:t>
            </w:r>
          </w:p>
        </w:tc>
        <w:tc>
          <w:tcPr>
            <w:tcW w:w="1291" w:type="dxa"/>
            <w:noWrap/>
          </w:tcPr>
          <w:p w14:paraId="0443B4D1"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4107.219</w:t>
            </w:r>
          </w:p>
        </w:tc>
        <w:tc>
          <w:tcPr>
            <w:tcW w:w="1444" w:type="dxa"/>
            <w:noWrap/>
          </w:tcPr>
          <w:p w14:paraId="347C576B"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3540.373</w:t>
            </w:r>
          </w:p>
        </w:tc>
        <w:tc>
          <w:tcPr>
            <w:tcW w:w="1444" w:type="dxa"/>
            <w:noWrap/>
          </w:tcPr>
          <w:p w14:paraId="21328521"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3204.879</w:t>
            </w:r>
          </w:p>
        </w:tc>
        <w:tc>
          <w:tcPr>
            <w:tcW w:w="1381" w:type="dxa"/>
          </w:tcPr>
          <w:p w14:paraId="2A2A13FD"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0.025*</w:t>
            </w:r>
          </w:p>
        </w:tc>
        <w:tc>
          <w:tcPr>
            <w:tcW w:w="1381" w:type="dxa"/>
            <w:noWrap/>
            <w:hideMark/>
          </w:tcPr>
          <w:p w14:paraId="2B4D91F3"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0.861988</w:t>
            </w:r>
          </w:p>
        </w:tc>
        <w:tc>
          <w:tcPr>
            <w:tcW w:w="1381" w:type="dxa"/>
            <w:noWrap/>
            <w:hideMark/>
          </w:tcPr>
          <w:p w14:paraId="59E4E43A"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0.780304</w:t>
            </w:r>
          </w:p>
        </w:tc>
      </w:tr>
      <w:tr w:rsidR="00937546" w:rsidRPr="00973B92" w14:paraId="4B2E7E8E" w14:textId="77777777" w:rsidTr="00447817">
        <w:trPr>
          <w:trHeight w:val="158"/>
        </w:trPr>
        <w:tc>
          <w:tcPr>
            <w:cnfStyle w:val="001000000000" w:firstRow="0" w:lastRow="0" w:firstColumn="1" w:lastColumn="0" w:oddVBand="0" w:evenVBand="0" w:oddHBand="0" w:evenHBand="0" w:firstRowFirstColumn="0" w:firstRowLastColumn="0" w:lastRowFirstColumn="0" w:lastRowLastColumn="0"/>
            <w:tcW w:w="6130" w:type="dxa"/>
            <w:noWrap/>
            <w:hideMark/>
          </w:tcPr>
          <w:p w14:paraId="54ABDE3C" w14:textId="77777777" w:rsidR="00937546" w:rsidRPr="00973B92" w:rsidRDefault="00937546" w:rsidP="00447817">
            <w:pPr>
              <w:rPr>
                <w:rFonts w:ascii="Calibri" w:eastAsia="Times New Roman" w:hAnsi="Calibri" w:cs="Calibri"/>
                <w:color w:val="000000"/>
                <w:lang w:eastAsia="en-IN" w:bidi="ta-IN"/>
              </w:rPr>
            </w:pPr>
            <w:r w:rsidRPr="00973B92">
              <w:rPr>
                <w:rFonts w:ascii="Calibri" w:eastAsia="Times New Roman" w:hAnsi="Calibri" w:cs="Calibri"/>
                <w:color w:val="000000"/>
                <w:lang w:eastAsia="en-IN" w:bidi="ta-IN"/>
              </w:rPr>
              <w:t>Claims made in public hospitals per 1 lakh enrolled</w:t>
            </w:r>
          </w:p>
        </w:tc>
        <w:tc>
          <w:tcPr>
            <w:tcW w:w="1291" w:type="dxa"/>
            <w:noWrap/>
          </w:tcPr>
          <w:p w14:paraId="60797E4F"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2138.031</w:t>
            </w:r>
          </w:p>
        </w:tc>
        <w:tc>
          <w:tcPr>
            <w:tcW w:w="1444" w:type="dxa"/>
            <w:noWrap/>
          </w:tcPr>
          <w:p w14:paraId="2FEF86B9"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1528.179</w:t>
            </w:r>
          </w:p>
        </w:tc>
        <w:tc>
          <w:tcPr>
            <w:tcW w:w="1444" w:type="dxa"/>
            <w:noWrap/>
          </w:tcPr>
          <w:p w14:paraId="131041E0"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1471.545</w:t>
            </w:r>
          </w:p>
        </w:tc>
        <w:tc>
          <w:tcPr>
            <w:tcW w:w="1381" w:type="dxa"/>
          </w:tcPr>
          <w:p w14:paraId="71BBD99B"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0.038*</w:t>
            </w:r>
          </w:p>
        </w:tc>
        <w:tc>
          <w:tcPr>
            <w:tcW w:w="1381" w:type="dxa"/>
            <w:noWrap/>
            <w:hideMark/>
          </w:tcPr>
          <w:p w14:paraId="4E980818"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0.71476</w:t>
            </w:r>
          </w:p>
        </w:tc>
        <w:tc>
          <w:tcPr>
            <w:tcW w:w="1381" w:type="dxa"/>
            <w:noWrap/>
            <w:hideMark/>
          </w:tcPr>
          <w:p w14:paraId="397B5311"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0.688271</w:t>
            </w:r>
          </w:p>
        </w:tc>
      </w:tr>
      <w:tr w:rsidR="00937546" w:rsidRPr="00973B92" w14:paraId="21A79509" w14:textId="77777777" w:rsidTr="00447817">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6130" w:type="dxa"/>
            <w:noWrap/>
            <w:hideMark/>
          </w:tcPr>
          <w:p w14:paraId="51B9DD16" w14:textId="77777777" w:rsidR="00937546" w:rsidRPr="00973B92" w:rsidRDefault="00937546" w:rsidP="00447817">
            <w:pPr>
              <w:rPr>
                <w:rFonts w:ascii="Calibri" w:eastAsia="Times New Roman" w:hAnsi="Calibri" w:cs="Calibri"/>
                <w:color w:val="000000"/>
                <w:lang w:eastAsia="en-IN" w:bidi="ta-IN"/>
              </w:rPr>
            </w:pPr>
            <w:r w:rsidRPr="00973B92">
              <w:rPr>
                <w:rFonts w:ascii="Calibri" w:eastAsia="Times New Roman" w:hAnsi="Calibri" w:cs="Calibri"/>
                <w:color w:val="000000"/>
                <w:lang w:eastAsia="en-IN" w:bidi="ta-IN"/>
              </w:rPr>
              <w:t>Claims made in private hospitals per 1 lakh enrolled</w:t>
            </w:r>
          </w:p>
        </w:tc>
        <w:tc>
          <w:tcPr>
            <w:tcW w:w="1291" w:type="dxa"/>
            <w:noWrap/>
          </w:tcPr>
          <w:p w14:paraId="6263641D"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1969.188</w:t>
            </w:r>
          </w:p>
        </w:tc>
        <w:tc>
          <w:tcPr>
            <w:tcW w:w="1444" w:type="dxa"/>
            <w:noWrap/>
          </w:tcPr>
          <w:p w14:paraId="1A04A58C"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2012.194</w:t>
            </w:r>
          </w:p>
        </w:tc>
        <w:tc>
          <w:tcPr>
            <w:tcW w:w="1444" w:type="dxa"/>
            <w:noWrap/>
          </w:tcPr>
          <w:p w14:paraId="3F4FACBF"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1733.334</w:t>
            </w:r>
          </w:p>
        </w:tc>
        <w:tc>
          <w:tcPr>
            <w:tcW w:w="1381" w:type="dxa"/>
          </w:tcPr>
          <w:p w14:paraId="6EA300C3" w14:textId="77777777" w:rsidR="00937546" w:rsidRDefault="00937546" w:rsidP="00447817">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          0.327</w:t>
            </w:r>
          </w:p>
        </w:tc>
        <w:tc>
          <w:tcPr>
            <w:tcW w:w="1381" w:type="dxa"/>
            <w:noWrap/>
            <w:hideMark/>
          </w:tcPr>
          <w:p w14:paraId="7E612FD3"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1.021839</w:t>
            </w:r>
          </w:p>
        </w:tc>
        <w:tc>
          <w:tcPr>
            <w:tcW w:w="1381" w:type="dxa"/>
            <w:noWrap/>
            <w:hideMark/>
          </w:tcPr>
          <w:p w14:paraId="71749C93"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0.880228</w:t>
            </w:r>
          </w:p>
        </w:tc>
      </w:tr>
      <w:tr w:rsidR="00937546" w:rsidRPr="00973B92" w14:paraId="44F1F050" w14:textId="77777777" w:rsidTr="00447817">
        <w:trPr>
          <w:trHeight w:val="158"/>
        </w:trPr>
        <w:tc>
          <w:tcPr>
            <w:cnfStyle w:val="001000000000" w:firstRow="0" w:lastRow="0" w:firstColumn="1" w:lastColumn="0" w:oddVBand="0" w:evenVBand="0" w:oddHBand="0" w:evenHBand="0" w:firstRowFirstColumn="0" w:firstRowLastColumn="0" w:lastRowFirstColumn="0" w:lastRowLastColumn="0"/>
            <w:tcW w:w="6130" w:type="dxa"/>
            <w:noWrap/>
          </w:tcPr>
          <w:p w14:paraId="350D47D2" w14:textId="77777777" w:rsidR="00937546" w:rsidRPr="00973B92" w:rsidRDefault="00937546" w:rsidP="00447817">
            <w:pPr>
              <w:rPr>
                <w:rFonts w:ascii="Calibri" w:eastAsia="Times New Roman" w:hAnsi="Calibri" w:cs="Calibri"/>
                <w:color w:val="000000"/>
                <w:lang w:eastAsia="en-IN" w:bidi="ta-IN"/>
              </w:rPr>
            </w:pPr>
            <w:r w:rsidRPr="00973B92">
              <w:rPr>
                <w:rFonts w:ascii="Calibri" w:eastAsia="Times New Roman" w:hAnsi="Calibri" w:cs="Calibri"/>
                <w:color w:val="000000"/>
                <w:lang w:eastAsia="en-IN" w:bidi="ta-IN"/>
              </w:rPr>
              <w:t>Claims made by  hospitals per 1 lakh enrolled</w:t>
            </w:r>
          </w:p>
        </w:tc>
        <w:tc>
          <w:tcPr>
            <w:tcW w:w="1291" w:type="dxa"/>
            <w:noWrap/>
          </w:tcPr>
          <w:p w14:paraId="59891D0D"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4918.083</w:t>
            </w:r>
          </w:p>
        </w:tc>
        <w:tc>
          <w:tcPr>
            <w:tcW w:w="1444" w:type="dxa"/>
            <w:noWrap/>
          </w:tcPr>
          <w:p w14:paraId="7C2C6CC9"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2888.132</w:t>
            </w:r>
          </w:p>
        </w:tc>
        <w:tc>
          <w:tcPr>
            <w:tcW w:w="1444" w:type="dxa"/>
            <w:noWrap/>
          </w:tcPr>
          <w:p w14:paraId="4F565EE5"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1889.394</w:t>
            </w:r>
          </w:p>
        </w:tc>
        <w:tc>
          <w:tcPr>
            <w:tcW w:w="1381" w:type="dxa"/>
          </w:tcPr>
          <w:p w14:paraId="3F83450B"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0.080</w:t>
            </w:r>
          </w:p>
        </w:tc>
        <w:tc>
          <w:tcPr>
            <w:tcW w:w="1381" w:type="dxa"/>
            <w:noWrap/>
          </w:tcPr>
          <w:p w14:paraId="29FC8646"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0.587248</w:t>
            </w:r>
          </w:p>
        </w:tc>
        <w:tc>
          <w:tcPr>
            <w:tcW w:w="1381" w:type="dxa"/>
            <w:noWrap/>
          </w:tcPr>
          <w:p w14:paraId="57B7E5A6"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0.384173</w:t>
            </w:r>
          </w:p>
        </w:tc>
      </w:tr>
      <w:tr w:rsidR="00937546" w:rsidRPr="00973B92" w14:paraId="3B1EA61D" w14:textId="77777777" w:rsidTr="00447817">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6130" w:type="dxa"/>
            <w:noWrap/>
            <w:hideMark/>
          </w:tcPr>
          <w:p w14:paraId="109D1331" w14:textId="77777777" w:rsidR="00937546" w:rsidRPr="00973B92" w:rsidRDefault="00937546" w:rsidP="00447817">
            <w:pPr>
              <w:rPr>
                <w:rFonts w:ascii="Calibri" w:eastAsia="Times New Roman" w:hAnsi="Calibri" w:cs="Calibri"/>
                <w:color w:val="000000"/>
                <w:lang w:eastAsia="en-IN" w:bidi="ta-IN"/>
              </w:rPr>
            </w:pPr>
            <w:r w:rsidRPr="00973B92">
              <w:rPr>
                <w:rFonts w:ascii="Calibri" w:eastAsia="Times New Roman" w:hAnsi="Calibri" w:cs="Calibri"/>
                <w:color w:val="000000"/>
                <w:lang w:eastAsia="en-IN" w:bidi="ta-IN"/>
              </w:rPr>
              <w:t>Claims made by public hospitals per 1 lakh enrolled</w:t>
            </w:r>
          </w:p>
        </w:tc>
        <w:tc>
          <w:tcPr>
            <w:tcW w:w="1291" w:type="dxa"/>
            <w:noWrap/>
          </w:tcPr>
          <w:p w14:paraId="74F60861"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2626.632</w:t>
            </w:r>
          </w:p>
        </w:tc>
        <w:tc>
          <w:tcPr>
            <w:tcW w:w="1444" w:type="dxa"/>
            <w:noWrap/>
          </w:tcPr>
          <w:p w14:paraId="1DAC5951"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1327.898</w:t>
            </w:r>
          </w:p>
        </w:tc>
        <w:tc>
          <w:tcPr>
            <w:tcW w:w="1444" w:type="dxa"/>
            <w:noWrap/>
          </w:tcPr>
          <w:p w14:paraId="77EB3770"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927.5057</w:t>
            </w:r>
          </w:p>
        </w:tc>
        <w:tc>
          <w:tcPr>
            <w:tcW w:w="1381" w:type="dxa"/>
          </w:tcPr>
          <w:p w14:paraId="15BABAAD" w14:textId="77777777" w:rsidR="00937546" w:rsidRDefault="00937546" w:rsidP="00447817">
            <w:pPr>
              <w:tabs>
                <w:tab w:val="center" w:pos="582"/>
                <w:tab w:val="right" w:pos="1165"/>
              </w:tabs>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b/>
            </w:r>
            <w:r>
              <w:rPr>
                <w:rFonts w:ascii="Calibri" w:hAnsi="Calibri" w:cs="Calibri"/>
                <w:color w:val="000000"/>
              </w:rPr>
              <w:tab/>
              <w:t>0.167</w:t>
            </w:r>
          </w:p>
        </w:tc>
        <w:tc>
          <w:tcPr>
            <w:tcW w:w="1381" w:type="dxa"/>
            <w:noWrap/>
            <w:hideMark/>
          </w:tcPr>
          <w:p w14:paraId="37984368"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0.505552</w:t>
            </w:r>
          </w:p>
        </w:tc>
        <w:tc>
          <w:tcPr>
            <w:tcW w:w="1381" w:type="dxa"/>
            <w:noWrap/>
            <w:hideMark/>
          </w:tcPr>
          <w:p w14:paraId="675ECE56" w14:textId="77777777" w:rsidR="00937546" w:rsidRDefault="00937546" w:rsidP="00447817">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0.353116</w:t>
            </w:r>
          </w:p>
        </w:tc>
      </w:tr>
      <w:tr w:rsidR="00937546" w:rsidRPr="00973B92" w14:paraId="41D7FD48" w14:textId="77777777" w:rsidTr="00447817">
        <w:trPr>
          <w:trHeight w:val="158"/>
        </w:trPr>
        <w:tc>
          <w:tcPr>
            <w:cnfStyle w:val="001000000000" w:firstRow="0" w:lastRow="0" w:firstColumn="1" w:lastColumn="0" w:oddVBand="0" w:evenVBand="0" w:oddHBand="0" w:evenHBand="0" w:firstRowFirstColumn="0" w:firstRowLastColumn="0" w:lastRowFirstColumn="0" w:lastRowLastColumn="0"/>
            <w:tcW w:w="6130" w:type="dxa"/>
            <w:noWrap/>
            <w:hideMark/>
          </w:tcPr>
          <w:p w14:paraId="21D77D74" w14:textId="77777777" w:rsidR="00937546" w:rsidRPr="00973B92" w:rsidRDefault="00937546" w:rsidP="00447817">
            <w:pPr>
              <w:rPr>
                <w:rFonts w:ascii="Calibri" w:eastAsia="Times New Roman" w:hAnsi="Calibri" w:cs="Calibri"/>
                <w:color w:val="000000"/>
                <w:lang w:eastAsia="en-IN" w:bidi="ta-IN"/>
              </w:rPr>
            </w:pPr>
            <w:r w:rsidRPr="00973B92">
              <w:rPr>
                <w:rFonts w:ascii="Calibri" w:eastAsia="Times New Roman" w:hAnsi="Calibri" w:cs="Calibri"/>
                <w:color w:val="000000"/>
                <w:lang w:eastAsia="en-IN" w:bidi="ta-IN"/>
              </w:rPr>
              <w:t>Claims made by private hospitals per 1 lakh enrolled</w:t>
            </w:r>
          </w:p>
        </w:tc>
        <w:tc>
          <w:tcPr>
            <w:tcW w:w="1291" w:type="dxa"/>
            <w:noWrap/>
          </w:tcPr>
          <w:p w14:paraId="62F49997"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2291.451</w:t>
            </w:r>
          </w:p>
        </w:tc>
        <w:tc>
          <w:tcPr>
            <w:tcW w:w="1444" w:type="dxa"/>
            <w:noWrap/>
          </w:tcPr>
          <w:p w14:paraId="5CB51683"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1560.234</w:t>
            </w:r>
          </w:p>
        </w:tc>
        <w:tc>
          <w:tcPr>
            <w:tcW w:w="1444" w:type="dxa"/>
            <w:noWrap/>
          </w:tcPr>
          <w:p w14:paraId="2A2D8592"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961.8878</w:t>
            </w:r>
          </w:p>
        </w:tc>
        <w:tc>
          <w:tcPr>
            <w:tcW w:w="1381" w:type="dxa"/>
          </w:tcPr>
          <w:p w14:paraId="2F69EDAF"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0.136</w:t>
            </w:r>
          </w:p>
        </w:tc>
        <w:tc>
          <w:tcPr>
            <w:tcW w:w="1381" w:type="dxa"/>
            <w:noWrap/>
            <w:hideMark/>
          </w:tcPr>
          <w:p w14:paraId="0DD01C88"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0.680893</w:t>
            </w:r>
          </w:p>
        </w:tc>
        <w:tc>
          <w:tcPr>
            <w:tcW w:w="1381" w:type="dxa"/>
            <w:noWrap/>
            <w:hideMark/>
          </w:tcPr>
          <w:p w14:paraId="03E34B9A" w14:textId="77777777" w:rsidR="00937546" w:rsidRDefault="00937546" w:rsidP="00447817">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0.419772</w:t>
            </w:r>
          </w:p>
        </w:tc>
      </w:tr>
    </w:tbl>
    <w:p w14:paraId="161C7EB0" w14:textId="77777777" w:rsidR="00937546" w:rsidRPr="00E91A88" w:rsidRDefault="00937546" w:rsidP="00937546">
      <w:pPr>
        <w:spacing w:line="360" w:lineRule="auto"/>
        <w:jc w:val="both"/>
        <w:rPr>
          <w:rFonts w:ascii="Times New Roman" w:hAnsi="Times New Roman" w:cs="Times New Roman"/>
          <w:sz w:val="24"/>
          <w:szCs w:val="24"/>
        </w:rPr>
      </w:pPr>
    </w:p>
    <w:p w14:paraId="5E34DD02" w14:textId="77777777" w:rsidR="00937546" w:rsidRDefault="00937546" w:rsidP="00937546">
      <w:pPr>
        <w:spacing w:line="360" w:lineRule="auto"/>
        <w:jc w:val="both"/>
        <w:rPr>
          <w:rFonts w:ascii="Times New Roman" w:hAnsi="Times New Roman" w:cs="Times New Roman"/>
          <w:sz w:val="24"/>
          <w:szCs w:val="24"/>
        </w:rPr>
      </w:pPr>
    </w:p>
    <w:tbl>
      <w:tblPr>
        <w:tblpPr w:leftFromText="180" w:rightFromText="180" w:vertAnchor="text" w:horzAnchor="margin" w:tblpXSpec="center" w:tblpY="297"/>
        <w:tblW w:w="102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7"/>
        <w:gridCol w:w="2045"/>
        <w:gridCol w:w="1355"/>
        <w:gridCol w:w="1932"/>
        <w:gridCol w:w="1822"/>
      </w:tblGrid>
      <w:tr w:rsidR="00937546" w:rsidRPr="003F1BB1" w14:paraId="272B9FA6" w14:textId="77777777" w:rsidTr="00447817">
        <w:trPr>
          <w:trHeight w:val="216"/>
        </w:trPr>
        <w:tc>
          <w:tcPr>
            <w:tcW w:w="5172" w:type="dxa"/>
            <w:gridSpan w:val="2"/>
            <w:shd w:val="clear" w:color="auto" w:fill="auto"/>
            <w:vAlign w:val="bottom"/>
            <w:hideMark/>
          </w:tcPr>
          <w:p w14:paraId="2D0F82F9"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 </w:t>
            </w:r>
          </w:p>
        </w:tc>
        <w:tc>
          <w:tcPr>
            <w:tcW w:w="1355" w:type="dxa"/>
            <w:shd w:val="clear" w:color="auto" w:fill="auto"/>
            <w:vAlign w:val="bottom"/>
            <w:hideMark/>
          </w:tcPr>
          <w:p w14:paraId="47205DDA" w14:textId="77777777" w:rsidR="00937546" w:rsidRPr="003F1BB1" w:rsidRDefault="00937546" w:rsidP="00447817">
            <w:pPr>
              <w:spacing w:after="0" w:line="240" w:lineRule="auto"/>
              <w:jc w:val="center"/>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claims</w:t>
            </w:r>
          </w:p>
        </w:tc>
        <w:tc>
          <w:tcPr>
            <w:tcW w:w="1932" w:type="dxa"/>
            <w:shd w:val="clear" w:color="auto" w:fill="auto"/>
            <w:vAlign w:val="bottom"/>
            <w:hideMark/>
          </w:tcPr>
          <w:p w14:paraId="3FBD5467" w14:textId="77777777" w:rsidR="00937546" w:rsidRPr="003F1BB1" w:rsidRDefault="00937546" w:rsidP="00447817">
            <w:pPr>
              <w:spacing w:after="0" w:line="240" w:lineRule="auto"/>
              <w:jc w:val="center"/>
              <w:rPr>
                <w:rFonts w:ascii="Arial" w:eastAsia="Times New Roman" w:hAnsi="Arial" w:cs="Arial"/>
                <w:color w:val="000000"/>
                <w:sz w:val="18"/>
                <w:szCs w:val="18"/>
                <w:lang w:eastAsia="en-IN" w:bidi="ta-IN"/>
              </w:rPr>
            </w:pPr>
            <w:r>
              <w:rPr>
                <w:rFonts w:ascii="Arial" w:eastAsia="Times New Roman" w:hAnsi="Arial" w:cs="Arial"/>
                <w:color w:val="000000"/>
                <w:sz w:val="18"/>
                <w:szCs w:val="18"/>
                <w:lang w:eastAsia="en-IN" w:bidi="ta-IN"/>
              </w:rPr>
              <w:t>Claims made in Public hospitals</w:t>
            </w:r>
          </w:p>
        </w:tc>
        <w:tc>
          <w:tcPr>
            <w:tcW w:w="1822" w:type="dxa"/>
            <w:shd w:val="clear" w:color="auto" w:fill="auto"/>
            <w:vAlign w:val="bottom"/>
            <w:hideMark/>
          </w:tcPr>
          <w:p w14:paraId="5D5BD5F2" w14:textId="77777777" w:rsidR="00937546" w:rsidRPr="003F1BB1" w:rsidRDefault="00937546" w:rsidP="00447817">
            <w:pPr>
              <w:spacing w:after="0" w:line="240" w:lineRule="auto"/>
              <w:jc w:val="center"/>
              <w:rPr>
                <w:rFonts w:ascii="Arial" w:eastAsia="Times New Roman" w:hAnsi="Arial" w:cs="Arial"/>
                <w:color w:val="000000"/>
                <w:sz w:val="18"/>
                <w:szCs w:val="18"/>
                <w:lang w:eastAsia="en-IN" w:bidi="ta-IN"/>
              </w:rPr>
            </w:pPr>
            <w:r>
              <w:rPr>
                <w:rFonts w:ascii="Arial" w:eastAsia="Times New Roman" w:hAnsi="Arial" w:cs="Arial"/>
                <w:color w:val="000000"/>
                <w:sz w:val="18"/>
                <w:szCs w:val="18"/>
                <w:lang w:eastAsia="en-IN" w:bidi="ta-IN"/>
              </w:rPr>
              <w:t>Claims made in Private hospitals</w:t>
            </w:r>
          </w:p>
        </w:tc>
      </w:tr>
      <w:tr w:rsidR="00937546" w:rsidRPr="003F1BB1" w14:paraId="0CE9BCE7" w14:textId="77777777" w:rsidTr="00447817">
        <w:trPr>
          <w:trHeight w:val="487"/>
        </w:trPr>
        <w:tc>
          <w:tcPr>
            <w:tcW w:w="3127" w:type="dxa"/>
            <w:vMerge w:val="restart"/>
            <w:shd w:val="clear" w:color="auto" w:fill="auto"/>
            <w:hideMark/>
          </w:tcPr>
          <w:p w14:paraId="4F986B03"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Pr>
                <w:rFonts w:ascii="Arial" w:eastAsia="Times New Roman" w:hAnsi="Arial" w:cs="Arial"/>
                <w:color w:val="000000"/>
                <w:sz w:val="18"/>
                <w:szCs w:val="18"/>
                <w:lang w:eastAsia="en-IN" w:bidi="ta-IN"/>
              </w:rPr>
              <w:t>No of hospitals available per one lakh families enrolled</w:t>
            </w:r>
          </w:p>
        </w:tc>
        <w:tc>
          <w:tcPr>
            <w:tcW w:w="2045" w:type="dxa"/>
            <w:shd w:val="clear" w:color="auto" w:fill="auto"/>
            <w:hideMark/>
          </w:tcPr>
          <w:p w14:paraId="254E2569"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Pearson Correlation</w:t>
            </w:r>
          </w:p>
        </w:tc>
        <w:tc>
          <w:tcPr>
            <w:tcW w:w="1355" w:type="dxa"/>
            <w:shd w:val="clear" w:color="auto" w:fill="auto"/>
            <w:noWrap/>
            <w:vAlign w:val="center"/>
            <w:hideMark/>
          </w:tcPr>
          <w:p w14:paraId="41FE0662"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.343</w:t>
            </w:r>
          </w:p>
        </w:tc>
        <w:tc>
          <w:tcPr>
            <w:tcW w:w="1932" w:type="dxa"/>
            <w:shd w:val="clear" w:color="auto" w:fill="auto"/>
            <w:noWrap/>
            <w:vAlign w:val="center"/>
            <w:hideMark/>
          </w:tcPr>
          <w:p w14:paraId="4947C441"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.034</w:t>
            </w:r>
          </w:p>
        </w:tc>
        <w:tc>
          <w:tcPr>
            <w:tcW w:w="1822" w:type="dxa"/>
            <w:shd w:val="clear" w:color="auto" w:fill="auto"/>
            <w:noWrap/>
            <w:vAlign w:val="center"/>
            <w:hideMark/>
          </w:tcPr>
          <w:p w14:paraId="6140C59B"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.536</w:t>
            </w:r>
            <w:r w:rsidRPr="003F1BB1">
              <w:rPr>
                <w:rFonts w:ascii="Arial" w:eastAsia="Times New Roman" w:hAnsi="Arial" w:cs="Arial"/>
                <w:color w:val="000000"/>
                <w:sz w:val="18"/>
                <w:szCs w:val="18"/>
                <w:vertAlign w:val="superscript"/>
                <w:lang w:eastAsia="en-IN" w:bidi="ta-IN"/>
              </w:rPr>
              <w:t>**</w:t>
            </w:r>
          </w:p>
        </w:tc>
      </w:tr>
      <w:tr w:rsidR="00937546" w:rsidRPr="003F1BB1" w14:paraId="37220437" w14:textId="77777777" w:rsidTr="00447817">
        <w:trPr>
          <w:trHeight w:val="320"/>
        </w:trPr>
        <w:tc>
          <w:tcPr>
            <w:tcW w:w="3127" w:type="dxa"/>
            <w:vMerge/>
            <w:vAlign w:val="center"/>
            <w:hideMark/>
          </w:tcPr>
          <w:p w14:paraId="7E00AB7A"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p>
        </w:tc>
        <w:tc>
          <w:tcPr>
            <w:tcW w:w="2045" w:type="dxa"/>
            <w:shd w:val="clear" w:color="auto" w:fill="auto"/>
            <w:hideMark/>
          </w:tcPr>
          <w:p w14:paraId="7ABF650C"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Sig. (2-tailed)</w:t>
            </w:r>
          </w:p>
        </w:tc>
        <w:tc>
          <w:tcPr>
            <w:tcW w:w="1355" w:type="dxa"/>
            <w:shd w:val="clear" w:color="auto" w:fill="auto"/>
            <w:noWrap/>
            <w:vAlign w:val="center"/>
            <w:hideMark/>
          </w:tcPr>
          <w:p w14:paraId="1B9475C6"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.055</w:t>
            </w:r>
          </w:p>
        </w:tc>
        <w:tc>
          <w:tcPr>
            <w:tcW w:w="1932" w:type="dxa"/>
            <w:shd w:val="clear" w:color="auto" w:fill="auto"/>
            <w:noWrap/>
            <w:vAlign w:val="center"/>
            <w:hideMark/>
          </w:tcPr>
          <w:p w14:paraId="2976DC83"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.854</w:t>
            </w:r>
          </w:p>
        </w:tc>
        <w:tc>
          <w:tcPr>
            <w:tcW w:w="1822" w:type="dxa"/>
            <w:shd w:val="clear" w:color="auto" w:fill="auto"/>
            <w:noWrap/>
            <w:vAlign w:val="center"/>
            <w:hideMark/>
          </w:tcPr>
          <w:p w14:paraId="4FF64E2D"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.002</w:t>
            </w:r>
          </w:p>
        </w:tc>
      </w:tr>
      <w:tr w:rsidR="00937546" w:rsidRPr="003F1BB1" w14:paraId="54FBCC20" w14:textId="77777777" w:rsidTr="00447817">
        <w:trPr>
          <w:trHeight w:val="480"/>
        </w:trPr>
        <w:tc>
          <w:tcPr>
            <w:tcW w:w="3127" w:type="dxa"/>
            <w:vMerge w:val="restart"/>
            <w:shd w:val="clear" w:color="auto" w:fill="auto"/>
            <w:hideMark/>
          </w:tcPr>
          <w:p w14:paraId="2F089317"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Pr>
                <w:rFonts w:ascii="Arial" w:eastAsia="Times New Roman" w:hAnsi="Arial" w:cs="Arial"/>
                <w:color w:val="000000"/>
                <w:sz w:val="18"/>
                <w:szCs w:val="18"/>
                <w:lang w:eastAsia="en-IN" w:bidi="ta-IN"/>
              </w:rPr>
              <w:t>Availability of public hospitals per 1 lakh families enrolled</w:t>
            </w:r>
          </w:p>
        </w:tc>
        <w:tc>
          <w:tcPr>
            <w:tcW w:w="2045" w:type="dxa"/>
            <w:shd w:val="clear" w:color="auto" w:fill="auto"/>
            <w:hideMark/>
          </w:tcPr>
          <w:p w14:paraId="76FF9C6A"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Pearson Correlation</w:t>
            </w:r>
          </w:p>
        </w:tc>
        <w:tc>
          <w:tcPr>
            <w:tcW w:w="1355" w:type="dxa"/>
            <w:shd w:val="clear" w:color="auto" w:fill="auto"/>
            <w:noWrap/>
            <w:vAlign w:val="center"/>
            <w:hideMark/>
          </w:tcPr>
          <w:p w14:paraId="47207E27"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.148</w:t>
            </w:r>
          </w:p>
        </w:tc>
        <w:tc>
          <w:tcPr>
            <w:tcW w:w="1932" w:type="dxa"/>
            <w:shd w:val="clear" w:color="auto" w:fill="auto"/>
            <w:noWrap/>
            <w:vAlign w:val="center"/>
            <w:hideMark/>
          </w:tcPr>
          <w:p w14:paraId="44946A85"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.337</w:t>
            </w:r>
          </w:p>
        </w:tc>
        <w:tc>
          <w:tcPr>
            <w:tcW w:w="1822" w:type="dxa"/>
            <w:shd w:val="clear" w:color="auto" w:fill="auto"/>
            <w:noWrap/>
            <w:vAlign w:val="center"/>
            <w:hideMark/>
          </w:tcPr>
          <w:p w14:paraId="0CC74DAE"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-.236</w:t>
            </w:r>
          </w:p>
        </w:tc>
      </w:tr>
      <w:tr w:rsidR="00937546" w:rsidRPr="003F1BB1" w14:paraId="2A0C5A13" w14:textId="77777777" w:rsidTr="00447817">
        <w:trPr>
          <w:trHeight w:val="320"/>
        </w:trPr>
        <w:tc>
          <w:tcPr>
            <w:tcW w:w="3127" w:type="dxa"/>
            <w:vMerge/>
            <w:vAlign w:val="center"/>
            <w:hideMark/>
          </w:tcPr>
          <w:p w14:paraId="5AD2BF24"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p>
        </w:tc>
        <w:tc>
          <w:tcPr>
            <w:tcW w:w="2045" w:type="dxa"/>
            <w:shd w:val="clear" w:color="auto" w:fill="auto"/>
            <w:hideMark/>
          </w:tcPr>
          <w:p w14:paraId="61FBA7E9"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Sig. (2-tailed)</w:t>
            </w:r>
          </w:p>
        </w:tc>
        <w:tc>
          <w:tcPr>
            <w:tcW w:w="1355" w:type="dxa"/>
            <w:shd w:val="clear" w:color="auto" w:fill="auto"/>
            <w:noWrap/>
            <w:vAlign w:val="center"/>
            <w:hideMark/>
          </w:tcPr>
          <w:p w14:paraId="0E657BB3"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.418</w:t>
            </w:r>
          </w:p>
        </w:tc>
        <w:tc>
          <w:tcPr>
            <w:tcW w:w="1932" w:type="dxa"/>
            <w:shd w:val="clear" w:color="auto" w:fill="auto"/>
            <w:noWrap/>
            <w:vAlign w:val="center"/>
            <w:hideMark/>
          </w:tcPr>
          <w:p w14:paraId="664744A3"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.060</w:t>
            </w:r>
          </w:p>
        </w:tc>
        <w:tc>
          <w:tcPr>
            <w:tcW w:w="1822" w:type="dxa"/>
            <w:shd w:val="clear" w:color="auto" w:fill="auto"/>
            <w:noWrap/>
            <w:vAlign w:val="center"/>
            <w:hideMark/>
          </w:tcPr>
          <w:p w14:paraId="57210D69"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.193</w:t>
            </w:r>
          </w:p>
        </w:tc>
      </w:tr>
      <w:tr w:rsidR="00937546" w:rsidRPr="003F1BB1" w14:paraId="481E95B7" w14:textId="77777777" w:rsidTr="00447817">
        <w:trPr>
          <w:trHeight w:val="480"/>
        </w:trPr>
        <w:tc>
          <w:tcPr>
            <w:tcW w:w="3127" w:type="dxa"/>
            <w:vMerge w:val="restart"/>
            <w:shd w:val="clear" w:color="auto" w:fill="auto"/>
            <w:hideMark/>
          </w:tcPr>
          <w:p w14:paraId="36E85814"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Pr>
                <w:rFonts w:ascii="Arial" w:eastAsia="Times New Roman" w:hAnsi="Arial" w:cs="Arial"/>
                <w:color w:val="000000"/>
                <w:sz w:val="18"/>
                <w:szCs w:val="18"/>
                <w:lang w:eastAsia="en-IN" w:bidi="ta-IN"/>
              </w:rPr>
              <w:t>Availability of private hospitals per 1 lakh families enrolled</w:t>
            </w:r>
          </w:p>
        </w:tc>
        <w:tc>
          <w:tcPr>
            <w:tcW w:w="2045" w:type="dxa"/>
            <w:shd w:val="clear" w:color="auto" w:fill="auto"/>
            <w:hideMark/>
          </w:tcPr>
          <w:p w14:paraId="0A87D48E"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Pearson Correlation</w:t>
            </w:r>
          </w:p>
        </w:tc>
        <w:tc>
          <w:tcPr>
            <w:tcW w:w="1355" w:type="dxa"/>
            <w:shd w:val="clear" w:color="auto" w:fill="auto"/>
            <w:noWrap/>
            <w:vAlign w:val="center"/>
            <w:hideMark/>
          </w:tcPr>
          <w:p w14:paraId="17F20489"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.294</w:t>
            </w:r>
          </w:p>
        </w:tc>
        <w:tc>
          <w:tcPr>
            <w:tcW w:w="1932" w:type="dxa"/>
            <w:shd w:val="clear" w:color="auto" w:fill="auto"/>
            <w:noWrap/>
            <w:vAlign w:val="center"/>
            <w:hideMark/>
          </w:tcPr>
          <w:p w14:paraId="3AA4B10B"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-.076</w:t>
            </w:r>
          </w:p>
        </w:tc>
        <w:tc>
          <w:tcPr>
            <w:tcW w:w="1822" w:type="dxa"/>
            <w:shd w:val="clear" w:color="auto" w:fill="auto"/>
            <w:noWrap/>
            <w:vAlign w:val="center"/>
            <w:hideMark/>
          </w:tcPr>
          <w:p w14:paraId="5B28D274"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.612</w:t>
            </w:r>
            <w:r w:rsidRPr="003F1BB1">
              <w:rPr>
                <w:rFonts w:ascii="Arial" w:eastAsia="Times New Roman" w:hAnsi="Arial" w:cs="Arial"/>
                <w:color w:val="000000"/>
                <w:sz w:val="18"/>
                <w:szCs w:val="18"/>
                <w:vertAlign w:val="superscript"/>
                <w:lang w:eastAsia="en-IN" w:bidi="ta-IN"/>
              </w:rPr>
              <w:t>**</w:t>
            </w:r>
          </w:p>
        </w:tc>
      </w:tr>
      <w:tr w:rsidR="00937546" w:rsidRPr="003F1BB1" w14:paraId="1A198E24" w14:textId="77777777" w:rsidTr="00447817">
        <w:trPr>
          <w:trHeight w:val="320"/>
        </w:trPr>
        <w:tc>
          <w:tcPr>
            <w:tcW w:w="3127" w:type="dxa"/>
            <w:vMerge/>
            <w:vAlign w:val="center"/>
            <w:hideMark/>
          </w:tcPr>
          <w:p w14:paraId="586264B2"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p>
        </w:tc>
        <w:tc>
          <w:tcPr>
            <w:tcW w:w="2045" w:type="dxa"/>
            <w:shd w:val="clear" w:color="auto" w:fill="auto"/>
            <w:hideMark/>
          </w:tcPr>
          <w:p w14:paraId="51BDEAFD"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Sig. (2-tailed)</w:t>
            </w:r>
          </w:p>
        </w:tc>
        <w:tc>
          <w:tcPr>
            <w:tcW w:w="1355" w:type="dxa"/>
            <w:shd w:val="clear" w:color="auto" w:fill="auto"/>
            <w:noWrap/>
            <w:vAlign w:val="center"/>
            <w:hideMark/>
          </w:tcPr>
          <w:p w14:paraId="7DECBC14"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.102</w:t>
            </w:r>
          </w:p>
        </w:tc>
        <w:tc>
          <w:tcPr>
            <w:tcW w:w="1932" w:type="dxa"/>
            <w:shd w:val="clear" w:color="auto" w:fill="auto"/>
            <w:noWrap/>
            <w:vAlign w:val="center"/>
            <w:hideMark/>
          </w:tcPr>
          <w:p w14:paraId="7DF8591A"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.681</w:t>
            </w:r>
          </w:p>
        </w:tc>
        <w:tc>
          <w:tcPr>
            <w:tcW w:w="1822" w:type="dxa"/>
            <w:shd w:val="clear" w:color="auto" w:fill="auto"/>
            <w:noWrap/>
            <w:vAlign w:val="center"/>
            <w:hideMark/>
          </w:tcPr>
          <w:p w14:paraId="3B7F34CE" w14:textId="77777777" w:rsidR="00937546" w:rsidRPr="003F1BB1" w:rsidRDefault="00937546" w:rsidP="00447817">
            <w:pPr>
              <w:spacing w:after="0" w:line="240" w:lineRule="auto"/>
              <w:jc w:val="right"/>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.000</w:t>
            </w:r>
          </w:p>
        </w:tc>
      </w:tr>
      <w:tr w:rsidR="00937546" w:rsidRPr="003F1BB1" w14:paraId="71530AEA" w14:textId="77777777" w:rsidTr="00447817">
        <w:trPr>
          <w:trHeight w:val="202"/>
        </w:trPr>
        <w:tc>
          <w:tcPr>
            <w:tcW w:w="10281" w:type="dxa"/>
            <w:gridSpan w:val="5"/>
            <w:shd w:val="clear" w:color="auto" w:fill="auto"/>
            <w:hideMark/>
          </w:tcPr>
          <w:p w14:paraId="616EC39B" w14:textId="77777777" w:rsidR="00937546" w:rsidRPr="003F1BB1" w:rsidRDefault="00937546" w:rsidP="00447817">
            <w:pPr>
              <w:spacing w:after="0" w:line="240" w:lineRule="auto"/>
              <w:rPr>
                <w:rFonts w:ascii="Arial" w:eastAsia="Times New Roman" w:hAnsi="Arial" w:cs="Arial"/>
                <w:color w:val="000000"/>
                <w:sz w:val="18"/>
                <w:szCs w:val="18"/>
                <w:lang w:eastAsia="en-IN" w:bidi="ta-IN"/>
              </w:rPr>
            </w:pPr>
            <w:r w:rsidRPr="003F1BB1">
              <w:rPr>
                <w:rFonts w:ascii="Arial" w:eastAsia="Times New Roman" w:hAnsi="Arial" w:cs="Arial"/>
                <w:color w:val="000000"/>
                <w:sz w:val="18"/>
                <w:szCs w:val="18"/>
                <w:lang w:eastAsia="en-IN" w:bidi="ta-IN"/>
              </w:rPr>
              <w:t>**. Correlation is significant at the 0.01 level (2-tailed).</w:t>
            </w:r>
          </w:p>
        </w:tc>
      </w:tr>
    </w:tbl>
    <w:p w14:paraId="19D6ABA5" w14:textId="77777777" w:rsidR="00937546" w:rsidRDefault="00937546" w:rsidP="00937546">
      <w:pPr>
        <w:spacing w:line="360" w:lineRule="auto"/>
        <w:ind w:left="2880" w:firstLine="720"/>
        <w:jc w:val="both"/>
        <w:rPr>
          <w:rFonts w:ascii="Times New Roman" w:hAnsi="Times New Roman" w:cs="Times New Roman"/>
          <w:sz w:val="24"/>
          <w:szCs w:val="24"/>
        </w:rPr>
      </w:pPr>
      <w:r>
        <w:rPr>
          <w:rFonts w:ascii="Times New Roman" w:hAnsi="Times New Roman" w:cs="Times New Roman"/>
          <w:sz w:val="24"/>
          <w:szCs w:val="24"/>
        </w:rPr>
        <w:t>Table 5.Correlation between hospitals availability and claims made.</w:t>
      </w:r>
    </w:p>
    <w:p w14:paraId="5B839D80" w14:textId="77777777" w:rsidR="00937546" w:rsidRDefault="00937546" w:rsidP="00937546">
      <w:pPr>
        <w:spacing w:line="360" w:lineRule="auto"/>
        <w:jc w:val="both"/>
        <w:rPr>
          <w:rFonts w:ascii="Times New Roman" w:hAnsi="Times New Roman" w:cs="Times New Roman"/>
          <w:sz w:val="24"/>
          <w:szCs w:val="24"/>
        </w:rPr>
      </w:pPr>
    </w:p>
    <w:p w14:paraId="633E190E" w14:textId="77777777" w:rsidR="00937546" w:rsidRDefault="00937546" w:rsidP="00937546">
      <w:pPr>
        <w:spacing w:line="360" w:lineRule="auto"/>
        <w:jc w:val="both"/>
        <w:rPr>
          <w:rFonts w:ascii="Times New Roman" w:hAnsi="Times New Roman" w:cs="Times New Roman"/>
          <w:sz w:val="24"/>
          <w:szCs w:val="24"/>
        </w:rPr>
      </w:pPr>
    </w:p>
    <w:p w14:paraId="60541AF5" w14:textId="77777777" w:rsidR="00937546" w:rsidRDefault="00937546" w:rsidP="00937546">
      <w:pPr>
        <w:spacing w:line="360" w:lineRule="auto"/>
        <w:jc w:val="both"/>
        <w:rPr>
          <w:rFonts w:ascii="Times New Roman" w:hAnsi="Times New Roman" w:cs="Times New Roman"/>
          <w:sz w:val="24"/>
          <w:szCs w:val="24"/>
        </w:rPr>
      </w:pPr>
    </w:p>
    <w:p w14:paraId="159AFFEC" w14:textId="77777777" w:rsidR="00937546" w:rsidRPr="004F5770" w:rsidRDefault="00937546" w:rsidP="00937546">
      <w:pPr>
        <w:autoSpaceDE w:val="0"/>
        <w:autoSpaceDN w:val="0"/>
        <w:adjustRightInd w:val="0"/>
        <w:spacing w:after="0" w:line="240" w:lineRule="auto"/>
        <w:rPr>
          <w:rFonts w:ascii="Times New Roman" w:hAnsi="Times New Roman" w:cs="Times New Roman"/>
          <w:sz w:val="24"/>
          <w:szCs w:val="24"/>
          <w:lang w:bidi="ta-IN"/>
        </w:rPr>
      </w:pPr>
    </w:p>
    <w:p w14:paraId="7658CF2E" w14:textId="77777777" w:rsidR="00937546" w:rsidRPr="004F5770" w:rsidRDefault="00937546" w:rsidP="00937546">
      <w:pPr>
        <w:autoSpaceDE w:val="0"/>
        <w:autoSpaceDN w:val="0"/>
        <w:adjustRightInd w:val="0"/>
        <w:spacing w:after="0" w:line="400" w:lineRule="atLeast"/>
        <w:rPr>
          <w:rFonts w:ascii="Times New Roman" w:hAnsi="Times New Roman" w:cs="Times New Roman"/>
          <w:sz w:val="24"/>
          <w:szCs w:val="24"/>
          <w:lang w:bidi="ta-IN"/>
        </w:rPr>
      </w:pPr>
    </w:p>
    <w:p w14:paraId="48111EBB" w14:textId="77777777" w:rsidR="00937546" w:rsidRDefault="00937546" w:rsidP="00937546">
      <w:pPr>
        <w:spacing w:line="360" w:lineRule="auto"/>
        <w:jc w:val="both"/>
        <w:rPr>
          <w:rFonts w:ascii="Times New Roman" w:hAnsi="Times New Roman" w:cs="Times New Roman"/>
          <w:sz w:val="24"/>
          <w:szCs w:val="24"/>
        </w:rPr>
      </w:pPr>
    </w:p>
    <w:p w14:paraId="53D4D20F" w14:textId="77777777" w:rsidR="00937546" w:rsidRDefault="00937546" w:rsidP="00937546">
      <w:pPr>
        <w:spacing w:line="360" w:lineRule="auto"/>
        <w:jc w:val="both"/>
        <w:rPr>
          <w:rFonts w:ascii="Times New Roman" w:hAnsi="Times New Roman" w:cs="Times New Roman"/>
          <w:sz w:val="24"/>
          <w:szCs w:val="24"/>
        </w:rPr>
      </w:pPr>
    </w:p>
    <w:p w14:paraId="1987BE63" w14:textId="77777777" w:rsidR="007C6293" w:rsidRDefault="007C6293" w:rsidP="00E91A88">
      <w:pPr>
        <w:spacing w:line="360" w:lineRule="auto"/>
        <w:jc w:val="both"/>
        <w:rPr>
          <w:rFonts w:ascii="Times New Roman" w:hAnsi="Times New Roman" w:cs="Times New Roman"/>
          <w:sz w:val="24"/>
          <w:szCs w:val="24"/>
        </w:rPr>
        <w:sectPr w:rsidR="007C6293" w:rsidSect="007C6293">
          <w:pgSz w:w="19100" w:h="15840" w:orient="landscape"/>
          <w:pgMar w:top="1803" w:right="1440" w:bottom="1797" w:left="3260" w:header="720" w:footer="720" w:gutter="0"/>
          <w:cols w:space="720"/>
          <w:noEndnote/>
          <w:docGrid w:linePitch="299"/>
        </w:sectPr>
      </w:pPr>
    </w:p>
    <w:p w14:paraId="21D3F077" w14:textId="77777777" w:rsidR="00937546" w:rsidRDefault="00937546" w:rsidP="00937546">
      <w:pPr>
        <w:spacing w:line="360" w:lineRule="auto"/>
        <w:jc w:val="both"/>
        <w:rPr>
          <w:rFonts w:ascii="Times New Roman" w:hAnsi="Times New Roman" w:cs="Times New Roman"/>
          <w:sz w:val="24"/>
          <w:szCs w:val="24"/>
        </w:rPr>
      </w:pPr>
      <w:r>
        <w:rPr>
          <w:noProof/>
          <w:lang w:eastAsia="en-IN"/>
        </w:rPr>
        <w:lastRenderedPageBreak/>
        <w:drawing>
          <wp:inline distT="0" distB="0" distL="0" distR="0" wp14:anchorId="169045E9" wp14:editId="37D6C91F">
            <wp:extent cx="8966200" cy="3797300"/>
            <wp:effectExtent l="0" t="0" r="635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BCC4B2" w14:textId="77777777" w:rsidR="00937546" w:rsidRDefault="00937546" w:rsidP="00937546">
      <w:pPr>
        <w:spacing w:line="360" w:lineRule="auto"/>
        <w:jc w:val="both"/>
        <w:rPr>
          <w:rFonts w:ascii="Times New Roman" w:hAnsi="Times New Roman" w:cs="Times New Roman"/>
          <w:sz w:val="24"/>
          <w:szCs w:val="24"/>
        </w:rPr>
      </w:pPr>
    </w:p>
    <w:tbl>
      <w:tblPr>
        <w:tblStyle w:val="TableGrid"/>
        <w:tblW w:w="14390" w:type="dxa"/>
        <w:tblLook w:val="04A0" w:firstRow="1" w:lastRow="0" w:firstColumn="1" w:lastColumn="0" w:noHBand="0" w:noVBand="1"/>
      </w:tblPr>
      <w:tblGrid>
        <w:gridCol w:w="1838"/>
        <w:gridCol w:w="2958"/>
        <w:gridCol w:w="1720"/>
        <w:gridCol w:w="3076"/>
        <w:gridCol w:w="1743"/>
        <w:gridCol w:w="3055"/>
      </w:tblGrid>
      <w:tr w:rsidR="00937546" w14:paraId="49B742F3" w14:textId="77777777" w:rsidTr="00447817">
        <w:tc>
          <w:tcPr>
            <w:tcW w:w="1838" w:type="dxa"/>
            <w:shd w:val="clear" w:color="auto" w:fill="FF6161"/>
          </w:tcPr>
          <w:p w14:paraId="16D2B4BD" w14:textId="77777777" w:rsidR="00937546" w:rsidRDefault="00937546" w:rsidP="00447817">
            <w:pPr>
              <w:spacing w:line="360" w:lineRule="auto"/>
              <w:jc w:val="both"/>
              <w:rPr>
                <w:rFonts w:ascii="Times New Roman" w:hAnsi="Times New Roman" w:cs="Times New Roman"/>
                <w:sz w:val="24"/>
                <w:szCs w:val="24"/>
              </w:rPr>
            </w:pPr>
          </w:p>
        </w:tc>
        <w:tc>
          <w:tcPr>
            <w:tcW w:w="2958" w:type="dxa"/>
          </w:tcPr>
          <w:p w14:paraId="2C6C627F" w14:textId="77777777" w:rsidR="00937546" w:rsidRDefault="00937546" w:rsidP="00447817">
            <w:pPr>
              <w:spacing w:line="360" w:lineRule="auto"/>
              <w:jc w:val="both"/>
              <w:rPr>
                <w:rFonts w:ascii="Times New Roman" w:hAnsi="Times New Roman" w:cs="Times New Roman"/>
                <w:sz w:val="24"/>
                <w:szCs w:val="24"/>
              </w:rPr>
            </w:pPr>
            <w:r>
              <w:rPr>
                <w:rFonts w:ascii="Times New Roman" w:hAnsi="Times New Roman" w:cs="Times New Roman"/>
                <w:sz w:val="24"/>
                <w:szCs w:val="24"/>
              </w:rPr>
              <w:t>Low developed districts</w:t>
            </w:r>
          </w:p>
        </w:tc>
        <w:tc>
          <w:tcPr>
            <w:tcW w:w="1720" w:type="dxa"/>
            <w:shd w:val="clear" w:color="auto" w:fill="FFF2CC" w:themeFill="accent4" w:themeFillTint="33"/>
          </w:tcPr>
          <w:p w14:paraId="550B5F94" w14:textId="77777777" w:rsidR="00937546" w:rsidRDefault="00937546" w:rsidP="00447817">
            <w:pPr>
              <w:spacing w:line="360" w:lineRule="auto"/>
              <w:jc w:val="both"/>
              <w:rPr>
                <w:rFonts w:ascii="Times New Roman" w:hAnsi="Times New Roman" w:cs="Times New Roman"/>
                <w:sz w:val="24"/>
                <w:szCs w:val="24"/>
              </w:rPr>
            </w:pPr>
          </w:p>
        </w:tc>
        <w:tc>
          <w:tcPr>
            <w:tcW w:w="3076" w:type="dxa"/>
          </w:tcPr>
          <w:p w14:paraId="305E8882" w14:textId="77777777" w:rsidR="00937546" w:rsidRDefault="00937546" w:rsidP="00447817">
            <w:pPr>
              <w:spacing w:line="360" w:lineRule="auto"/>
              <w:jc w:val="both"/>
              <w:rPr>
                <w:rFonts w:ascii="Times New Roman" w:hAnsi="Times New Roman" w:cs="Times New Roman"/>
                <w:sz w:val="24"/>
                <w:szCs w:val="24"/>
              </w:rPr>
            </w:pPr>
            <w:r>
              <w:rPr>
                <w:rFonts w:ascii="Times New Roman" w:hAnsi="Times New Roman" w:cs="Times New Roman"/>
                <w:sz w:val="24"/>
                <w:szCs w:val="24"/>
              </w:rPr>
              <w:t>Medium developed districts</w:t>
            </w:r>
          </w:p>
        </w:tc>
        <w:tc>
          <w:tcPr>
            <w:tcW w:w="1743" w:type="dxa"/>
            <w:shd w:val="clear" w:color="auto" w:fill="E2EFD9" w:themeFill="accent6" w:themeFillTint="33"/>
          </w:tcPr>
          <w:p w14:paraId="35A7B19A" w14:textId="77777777" w:rsidR="00937546" w:rsidRDefault="00937546" w:rsidP="00447817">
            <w:pPr>
              <w:spacing w:line="360" w:lineRule="auto"/>
              <w:jc w:val="both"/>
              <w:rPr>
                <w:rFonts w:ascii="Times New Roman" w:hAnsi="Times New Roman" w:cs="Times New Roman"/>
                <w:sz w:val="24"/>
                <w:szCs w:val="24"/>
              </w:rPr>
            </w:pPr>
          </w:p>
        </w:tc>
        <w:tc>
          <w:tcPr>
            <w:tcW w:w="3055" w:type="dxa"/>
          </w:tcPr>
          <w:p w14:paraId="7D553AA2" w14:textId="77777777" w:rsidR="00937546" w:rsidRDefault="00937546" w:rsidP="00447817">
            <w:pPr>
              <w:spacing w:line="360" w:lineRule="auto"/>
              <w:jc w:val="both"/>
              <w:rPr>
                <w:rFonts w:ascii="Times New Roman" w:hAnsi="Times New Roman" w:cs="Times New Roman"/>
                <w:sz w:val="24"/>
                <w:szCs w:val="24"/>
              </w:rPr>
            </w:pPr>
            <w:r>
              <w:rPr>
                <w:rFonts w:ascii="Times New Roman" w:hAnsi="Times New Roman" w:cs="Times New Roman"/>
                <w:sz w:val="24"/>
                <w:szCs w:val="24"/>
              </w:rPr>
              <w:t>High  developed districts</w:t>
            </w:r>
          </w:p>
        </w:tc>
      </w:tr>
    </w:tbl>
    <w:p w14:paraId="079F9E35" w14:textId="77777777" w:rsidR="007C6293" w:rsidRPr="00E91A88" w:rsidRDefault="007C6293" w:rsidP="00E91A88">
      <w:pPr>
        <w:spacing w:line="360" w:lineRule="auto"/>
        <w:jc w:val="both"/>
        <w:rPr>
          <w:rFonts w:ascii="Times New Roman" w:hAnsi="Times New Roman" w:cs="Times New Roman"/>
          <w:sz w:val="24"/>
          <w:szCs w:val="24"/>
        </w:rPr>
      </w:pPr>
    </w:p>
    <w:sectPr w:rsidR="007C6293" w:rsidRPr="00E91A88" w:rsidSect="007C6293">
      <w:pgSz w:w="19100" w:h="15840" w:orient="landscape"/>
      <w:pgMar w:top="1803" w:right="1440" w:bottom="1797" w:left="3260"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D2C9D" w14:textId="77777777" w:rsidR="000864AA" w:rsidRDefault="000864AA" w:rsidP="005D3435">
      <w:pPr>
        <w:spacing w:after="0" w:line="240" w:lineRule="auto"/>
      </w:pPr>
      <w:r>
        <w:separator/>
      </w:r>
    </w:p>
  </w:endnote>
  <w:endnote w:type="continuationSeparator" w:id="0">
    <w:p w14:paraId="3D9CD956" w14:textId="77777777" w:rsidR="000864AA" w:rsidRDefault="000864AA" w:rsidP="005D3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5F9846" w14:textId="77777777" w:rsidR="000864AA" w:rsidRDefault="000864AA" w:rsidP="005D3435">
      <w:pPr>
        <w:spacing w:after="0" w:line="240" w:lineRule="auto"/>
      </w:pPr>
      <w:r>
        <w:separator/>
      </w:r>
    </w:p>
  </w:footnote>
  <w:footnote w:type="continuationSeparator" w:id="0">
    <w:p w14:paraId="3C24B0E4" w14:textId="77777777" w:rsidR="000864AA" w:rsidRDefault="000864AA" w:rsidP="005D34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226803"/>
    <w:multiLevelType w:val="hybridMultilevel"/>
    <w:tmpl w:val="F4CCB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14979C2"/>
    <w:multiLevelType w:val="hybridMultilevel"/>
    <w:tmpl w:val="CE0C1C80"/>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3E106C1"/>
    <w:multiLevelType w:val="hybridMultilevel"/>
    <w:tmpl w:val="2AE61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B6019F9"/>
    <w:multiLevelType w:val="hybridMultilevel"/>
    <w:tmpl w:val="E14E148C"/>
    <w:lvl w:ilvl="0" w:tplc="752ECAD4">
      <w:start w:val="2"/>
      <w:numFmt w:val="bullet"/>
      <w:lvlText w:val=""/>
      <w:lvlJc w:val="left"/>
      <w:pPr>
        <w:ind w:left="1080" w:hanging="360"/>
      </w:pPr>
      <w:rPr>
        <w:rFonts w:ascii="Symbol" w:eastAsia="Times New Roman" w:hAnsi="Symbol"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7957"/>
    <w:rsid w:val="00005266"/>
    <w:rsid w:val="00027E5B"/>
    <w:rsid w:val="00055351"/>
    <w:rsid w:val="00057881"/>
    <w:rsid w:val="00064430"/>
    <w:rsid w:val="0006599E"/>
    <w:rsid w:val="000659A0"/>
    <w:rsid w:val="00067957"/>
    <w:rsid w:val="000864AA"/>
    <w:rsid w:val="00086C4C"/>
    <w:rsid w:val="000C0A2B"/>
    <w:rsid w:val="000D450E"/>
    <w:rsid w:val="000D7226"/>
    <w:rsid w:val="00101968"/>
    <w:rsid w:val="001572FD"/>
    <w:rsid w:val="0017268D"/>
    <w:rsid w:val="00173EB9"/>
    <w:rsid w:val="00176304"/>
    <w:rsid w:val="00182357"/>
    <w:rsid w:val="001843E5"/>
    <w:rsid w:val="00186CD8"/>
    <w:rsid w:val="001B0E48"/>
    <w:rsid w:val="001C5D2D"/>
    <w:rsid w:val="001D3812"/>
    <w:rsid w:val="0021041D"/>
    <w:rsid w:val="00213BBE"/>
    <w:rsid w:val="0022016D"/>
    <w:rsid w:val="002400CC"/>
    <w:rsid w:val="002417CE"/>
    <w:rsid w:val="00244F4D"/>
    <w:rsid w:val="002831EA"/>
    <w:rsid w:val="002B1DD8"/>
    <w:rsid w:val="002F11C2"/>
    <w:rsid w:val="002F3125"/>
    <w:rsid w:val="0031188B"/>
    <w:rsid w:val="00311EE1"/>
    <w:rsid w:val="00323B28"/>
    <w:rsid w:val="003258EB"/>
    <w:rsid w:val="00362BA1"/>
    <w:rsid w:val="00362E61"/>
    <w:rsid w:val="00366C43"/>
    <w:rsid w:val="003777E8"/>
    <w:rsid w:val="003842D9"/>
    <w:rsid w:val="00393FC0"/>
    <w:rsid w:val="00397C66"/>
    <w:rsid w:val="003A5A29"/>
    <w:rsid w:val="003B23F1"/>
    <w:rsid w:val="003C37BB"/>
    <w:rsid w:val="003D47F2"/>
    <w:rsid w:val="003E3FE6"/>
    <w:rsid w:val="003F1BB1"/>
    <w:rsid w:val="003F4FDF"/>
    <w:rsid w:val="00406BA1"/>
    <w:rsid w:val="00420F97"/>
    <w:rsid w:val="00421918"/>
    <w:rsid w:val="004338C2"/>
    <w:rsid w:val="00441EA4"/>
    <w:rsid w:val="00466326"/>
    <w:rsid w:val="00466367"/>
    <w:rsid w:val="00471D4C"/>
    <w:rsid w:val="00477CC4"/>
    <w:rsid w:val="0048039B"/>
    <w:rsid w:val="00492C5D"/>
    <w:rsid w:val="004B11F4"/>
    <w:rsid w:val="004C1E3B"/>
    <w:rsid w:val="004C5BF6"/>
    <w:rsid w:val="004C774F"/>
    <w:rsid w:val="004F5770"/>
    <w:rsid w:val="005134CA"/>
    <w:rsid w:val="00514923"/>
    <w:rsid w:val="00526914"/>
    <w:rsid w:val="005276D9"/>
    <w:rsid w:val="00556445"/>
    <w:rsid w:val="00560745"/>
    <w:rsid w:val="005662ED"/>
    <w:rsid w:val="00574282"/>
    <w:rsid w:val="00584F98"/>
    <w:rsid w:val="005924AF"/>
    <w:rsid w:val="005A3A6E"/>
    <w:rsid w:val="005B38A4"/>
    <w:rsid w:val="005C2787"/>
    <w:rsid w:val="005D3435"/>
    <w:rsid w:val="005E7BEB"/>
    <w:rsid w:val="00614DA8"/>
    <w:rsid w:val="0063787E"/>
    <w:rsid w:val="0064274A"/>
    <w:rsid w:val="00650833"/>
    <w:rsid w:val="0065596F"/>
    <w:rsid w:val="006619AA"/>
    <w:rsid w:val="00683130"/>
    <w:rsid w:val="006964F7"/>
    <w:rsid w:val="006B5C88"/>
    <w:rsid w:val="006C2E7C"/>
    <w:rsid w:val="006D04CD"/>
    <w:rsid w:val="006E09F3"/>
    <w:rsid w:val="006E17F9"/>
    <w:rsid w:val="006E5ED5"/>
    <w:rsid w:val="00732891"/>
    <w:rsid w:val="00751317"/>
    <w:rsid w:val="00752C15"/>
    <w:rsid w:val="0079413D"/>
    <w:rsid w:val="007A1398"/>
    <w:rsid w:val="007A5F55"/>
    <w:rsid w:val="007C217B"/>
    <w:rsid w:val="007C6293"/>
    <w:rsid w:val="007C637A"/>
    <w:rsid w:val="00806C1C"/>
    <w:rsid w:val="00811735"/>
    <w:rsid w:val="00813458"/>
    <w:rsid w:val="00814503"/>
    <w:rsid w:val="00815AA9"/>
    <w:rsid w:val="008170CF"/>
    <w:rsid w:val="00820F1D"/>
    <w:rsid w:val="008940EA"/>
    <w:rsid w:val="00895830"/>
    <w:rsid w:val="008B5959"/>
    <w:rsid w:val="008D2A88"/>
    <w:rsid w:val="008E7A4D"/>
    <w:rsid w:val="008F2536"/>
    <w:rsid w:val="008F4FE0"/>
    <w:rsid w:val="00900055"/>
    <w:rsid w:val="0092687E"/>
    <w:rsid w:val="00933219"/>
    <w:rsid w:val="0093448E"/>
    <w:rsid w:val="00937546"/>
    <w:rsid w:val="00954392"/>
    <w:rsid w:val="00954C68"/>
    <w:rsid w:val="00971258"/>
    <w:rsid w:val="00971A4F"/>
    <w:rsid w:val="0097278A"/>
    <w:rsid w:val="00973B92"/>
    <w:rsid w:val="009827E7"/>
    <w:rsid w:val="00995DC8"/>
    <w:rsid w:val="00997903"/>
    <w:rsid w:val="009D26EC"/>
    <w:rsid w:val="00A35161"/>
    <w:rsid w:val="00A52BD2"/>
    <w:rsid w:val="00A55861"/>
    <w:rsid w:val="00A7105E"/>
    <w:rsid w:val="00A715DB"/>
    <w:rsid w:val="00A96923"/>
    <w:rsid w:val="00AB0F8A"/>
    <w:rsid w:val="00AC2F0E"/>
    <w:rsid w:val="00AE1036"/>
    <w:rsid w:val="00B01C0F"/>
    <w:rsid w:val="00B27E4C"/>
    <w:rsid w:val="00B324C5"/>
    <w:rsid w:val="00B619CF"/>
    <w:rsid w:val="00B70D6E"/>
    <w:rsid w:val="00B7581E"/>
    <w:rsid w:val="00B9089C"/>
    <w:rsid w:val="00B97705"/>
    <w:rsid w:val="00BA1869"/>
    <w:rsid w:val="00BC1C65"/>
    <w:rsid w:val="00BC6582"/>
    <w:rsid w:val="00BC6E35"/>
    <w:rsid w:val="00C24FA1"/>
    <w:rsid w:val="00C3051A"/>
    <w:rsid w:val="00C31323"/>
    <w:rsid w:val="00C37CDB"/>
    <w:rsid w:val="00C405E6"/>
    <w:rsid w:val="00C713FB"/>
    <w:rsid w:val="00C741FE"/>
    <w:rsid w:val="00C83CEE"/>
    <w:rsid w:val="00CA439F"/>
    <w:rsid w:val="00CB1C2D"/>
    <w:rsid w:val="00CD4783"/>
    <w:rsid w:val="00CF3A56"/>
    <w:rsid w:val="00CF48AC"/>
    <w:rsid w:val="00D064BD"/>
    <w:rsid w:val="00D4142B"/>
    <w:rsid w:val="00D46E77"/>
    <w:rsid w:val="00D56F77"/>
    <w:rsid w:val="00D7183E"/>
    <w:rsid w:val="00DA1F07"/>
    <w:rsid w:val="00DE46DE"/>
    <w:rsid w:val="00DF5F11"/>
    <w:rsid w:val="00E51D79"/>
    <w:rsid w:val="00E569BD"/>
    <w:rsid w:val="00E6656E"/>
    <w:rsid w:val="00E87F98"/>
    <w:rsid w:val="00E91A88"/>
    <w:rsid w:val="00EB39A0"/>
    <w:rsid w:val="00EB5D55"/>
    <w:rsid w:val="00EC3209"/>
    <w:rsid w:val="00EC6297"/>
    <w:rsid w:val="00ED011A"/>
    <w:rsid w:val="00EF5877"/>
    <w:rsid w:val="00F01906"/>
    <w:rsid w:val="00F041A3"/>
    <w:rsid w:val="00F14BE3"/>
    <w:rsid w:val="00F14C20"/>
    <w:rsid w:val="00F17775"/>
    <w:rsid w:val="00F76872"/>
    <w:rsid w:val="00FA7D9B"/>
    <w:rsid w:val="00FB1199"/>
    <w:rsid w:val="00FD769D"/>
    <w:rsid w:val="00FF676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270CA5"/>
  <w15:chartTrackingRefBased/>
  <w15:docId w15:val="{99C36589-D47B-4262-860E-4B7289146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3">
    <w:name w:val="Plain Table 3"/>
    <w:basedOn w:val="TableNormal"/>
    <w:uiPriority w:val="43"/>
    <w:rsid w:val="001843E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1843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List-Accent11">
    <w:name w:val="Colorful List - Accent 11"/>
    <w:basedOn w:val="Normal"/>
    <w:qFormat/>
    <w:rsid w:val="00492C5D"/>
    <w:pPr>
      <w:spacing w:after="200" w:line="276" w:lineRule="auto"/>
      <w:ind w:left="720"/>
      <w:contextualSpacing/>
    </w:pPr>
    <w:rPr>
      <w:rFonts w:ascii="Calibri" w:eastAsia="Times New Roman" w:hAnsi="Calibri" w:cs="Times New Roman"/>
      <w:lang w:val="en-US"/>
    </w:rPr>
  </w:style>
  <w:style w:type="table" w:styleId="PlainTable2">
    <w:name w:val="Plain Table 2"/>
    <w:basedOn w:val="TableNormal"/>
    <w:uiPriority w:val="42"/>
    <w:rsid w:val="00055351"/>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8940EA"/>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5">
    <w:name w:val="Grid Table 5 Dark Accent 5"/>
    <w:basedOn w:val="TableNormal"/>
    <w:uiPriority w:val="50"/>
    <w:rsid w:val="008940E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8940EA"/>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2-Accent1">
    <w:name w:val="Grid Table 2 Accent 1"/>
    <w:basedOn w:val="TableNormal"/>
    <w:uiPriority w:val="47"/>
    <w:rsid w:val="008940EA"/>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5">
    <w:name w:val="Grid Table 6 Colorful Accent 5"/>
    <w:basedOn w:val="TableNormal"/>
    <w:uiPriority w:val="51"/>
    <w:rsid w:val="008940EA"/>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5D3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435"/>
  </w:style>
  <w:style w:type="paragraph" w:styleId="Footer">
    <w:name w:val="footer"/>
    <w:basedOn w:val="Normal"/>
    <w:link w:val="FooterChar"/>
    <w:uiPriority w:val="99"/>
    <w:unhideWhenUsed/>
    <w:rsid w:val="005D3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435"/>
  </w:style>
  <w:style w:type="character" w:customStyle="1" w:styleId="apple-converted-space">
    <w:name w:val="apple-converted-space"/>
    <w:basedOn w:val="DefaultParagraphFont"/>
    <w:rsid w:val="00393FC0"/>
  </w:style>
  <w:style w:type="character" w:styleId="Emphasis">
    <w:name w:val="Emphasis"/>
    <w:basedOn w:val="DefaultParagraphFont"/>
    <w:uiPriority w:val="20"/>
    <w:qFormat/>
    <w:rsid w:val="00466367"/>
    <w:rPr>
      <w:i/>
      <w:iCs/>
    </w:rPr>
  </w:style>
  <w:style w:type="character" w:styleId="CommentReference">
    <w:name w:val="annotation reference"/>
    <w:basedOn w:val="DefaultParagraphFont"/>
    <w:uiPriority w:val="99"/>
    <w:semiHidden/>
    <w:unhideWhenUsed/>
    <w:rsid w:val="001D3812"/>
    <w:rPr>
      <w:sz w:val="16"/>
      <w:szCs w:val="16"/>
    </w:rPr>
  </w:style>
  <w:style w:type="paragraph" w:styleId="CommentText">
    <w:name w:val="annotation text"/>
    <w:basedOn w:val="Normal"/>
    <w:link w:val="CommentTextChar"/>
    <w:uiPriority w:val="99"/>
    <w:semiHidden/>
    <w:unhideWhenUsed/>
    <w:rsid w:val="001D3812"/>
    <w:pPr>
      <w:spacing w:line="240" w:lineRule="auto"/>
    </w:pPr>
    <w:rPr>
      <w:sz w:val="20"/>
      <w:szCs w:val="20"/>
    </w:rPr>
  </w:style>
  <w:style w:type="character" w:customStyle="1" w:styleId="CommentTextChar">
    <w:name w:val="Comment Text Char"/>
    <w:basedOn w:val="DefaultParagraphFont"/>
    <w:link w:val="CommentText"/>
    <w:uiPriority w:val="99"/>
    <w:semiHidden/>
    <w:rsid w:val="001D3812"/>
    <w:rPr>
      <w:sz w:val="20"/>
      <w:szCs w:val="20"/>
    </w:rPr>
  </w:style>
  <w:style w:type="paragraph" w:styleId="CommentSubject">
    <w:name w:val="annotation subject"/>
    <w:basedOn w:val="CommentText"/>
    <w:next w:val="CommentText"/>
    <w:link w:val="CommentSubjectChar"/>
    <w:uiPriority w:val="99"/>
    <w:semiHidden/>
    <w:unhideWhenUsed/>
    <w:rsid w:val="001D3812"/>
    <w:rPr>
      <w:b/>
      <w:bCs/>
    </w:rPr>
  </w:style>
  <w:style w:type="character" w:customStyle="1" w:styleId="CommentSubjectChar">
    <w:name w:val="Comment Subject Char"/>
    <w:basedOn w:val="CommentTextChar"/>
    <w:link w:val="CommentSubject"/>
    <w:uiPriority w:val="99"/>
    <w:semiHidden/>
    <w:rsid w:val="001D3812"/>
    <w:rPr>
      <w:b/>
      <w:bCs/>
      <w:sz w:val="20"/>
      <w:szCs w:val="20"/>
    </w:rPr>
  </w:style>
  <w:style w:type="paragraph" w:styleId="BalloonText">
    <w:name w:val="Balloon Text"/>
    <w:basedOn w:val="Normal"/>
    <w:link w:val="BalloonTextChar"/>
    <w:uiPriority w:val="99"/>
    <w:semiHidden/>
    <w:unhideWhenUsed/>
    <w:rsid w:val="001D38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812"/>
    <w:rPr>
      <w:rFonts w:ascii="Segoe UI" w:hAnsi="Segoe UI" w:cs="Segoe UI"/>
      <w:sz w:val="18"/>
      <w:szCs w:val="18"/>
    </w:rPr>
  </w:style>
  <w:style w:type="paragraph" w:styleId="ListParagraph">
    <w:name w:val="List Paragraph"/>
    <w:basedOn w:val="Normal"/>
    <w:uiPriority w:val="34"/>
    <w:qFormat/>
    <w:rsid w:val="00937546"/>
    <w:pPr>
      <w:spacing w:after="5" w:line="479" w:lineRule="auto"/>
      <w:ind w:left="720" w:hanging="10"/>
      <w:contextualSpacing/>
      <w:jc w:val="both"/>
    </w:pPr>
    <w:rPr>
      <w:rFonts w:ascii="Times New Roman" w:eastAsia="Times New Roman" w:hAnsi="Times New Roman" w:cs="Times New Roman"/>
      <w:color w:val="000000"/>
      <w:sz w:val="26"/>
      <w:lang w:eastAsia="en-IN"/>
    </w:rPr>
  </w:style>
  <w:style w:type="character" w:styleId="Hyperlink">
    <w:name w:val="Hyperlink"/>
    <w:basedOn w:val="DefaultParagraphFont"/>
    <w:uiPriority w:val="99"/>
    <w:unhideWhenUsed/>
    <w:rsid w:val="009375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63423">
      <w:bodyDiv w:val="1"/>
      <w:marLeft w:val="0"/>
      <w:marRight w:val="0"/>
      <w:marTop w:val="0"/>
      <w:marBottom w:val="0"/>
      <w:divBdr>
        <w:top w:val="none" w:sz="0" w:space="0" w:color="auto"/>
        <w:left w:val="none" w:sz="0" w:space="0" w:color="auto"/>
        <w:bottom w:val="none" w:sz="0" w:space="0" w:color="auto"/>
        <w:right w:val="none" w:sz="0" w:space="0" w:color="auto"/>
      </w:divBdr>
    </w:div>
    <w:div w:id="60367483">
      <w:bodyDiv w:val="1"/>
      <w:marLeft w:val="0"/>
      <w:marRight w:val="0"/>
      <w:marTop w:val="0"/>
      <w:marBottom w:val="0"/>
      <w:divBdr>
        <w:top w:val="none" w:sz="0" w:space="0" w:color="auto"/>
        <w:left w:val="none" w:sz="0" w:space="0" w:color="auto"/>
        <w:bottom w:val="none" w:sz="0" w:space="0" w:color="auto"/>
        <w:right w:val="none" w:sz="0" w:space="0" w:color="auto"/>
      </w:divBdr>
    </w:div>
    <w:div w:id="75638333">
      <w:bodyDiv w:val="1"/>
      <w:marLeft w:val="0"/>
      <w:marRight w:val="0"/>
      <w:marTop w:val="0"/>
      <w:marBottom w:val="0"/>
      <w:divBdr>
        <w:top w:val="none" w:sz="0" w:space="0" w:color="auto"/>
        <w:left w:val="none" w:sz="0" w:space="0" w:color="auto"/>
        <w:bottom w:val="none" w:sz="0" w:space="0" w:color="auto"/>
        <w:right w:val="none" w:sz="0" w:space="0" w:color="auto"/>
      </w:divBdr>
    </w:div>
    <w:div w:id="115098465">
      <w:bodyDiv w:val="1"/>
      <w:marLeft w:val="0"/>
      <w:marRight w:val="0"/>
      <w:marTop w:val="0"/>
      <w:marBottom w:val="0"/>
      <w:divBdr>
        <w:top w:val="none" w:sz="0" w:space="0" w:color="auto"/>
        <w:left w:val="none" w:sz="0" w:space="0" w:color="auto"/>
        <w:bottom w:val="none" w:sz="0" w:space="0" w:color="auto"/>
        <w:right w:val="none" w:sz="0" w:space="0" w:color="auto"/>
      </w:divBdr>
    </w:div>
    <w:div w:id="149371645">
      <w:bodyDiv w:val="1"/>
      <w:marLeft w:val="0"/>
      <w:marRight w:val="0"/>
      <w:marTop w:val="0"/>
      <w:marBottom w:val="0"/>
      <w:divBdr>
        <w:top w:val="none" w:sz="0" w:space="0" w:color="auto"/>
        <w:left w:val="none" w:sz="0" w:space="0" w:color="auto"/>
        <w:bottom w:val="none" w:sz="0" w:space="0" w:color="auto"/>
        <w:right w:val="none" w:sz="0" w:space="0" w:color="auto"/>
      </w:divBdr>
    </w:div>
    <w:div w:id="222570082">
      <w:bodyDiv w:val="1"/>
      <w:marLeft w:val="0"/>
      <w:marRight w:val="0"/>
      <w:marTop w:val="0"/>
      <w:marBottom w:val="0"/>
      <w:divBdr>
        <w:top w:val="none" w:sz="0" w:space="0" w:color="auto"/>
        <w:left w:val="none" w:sz="0" w:space="0" w:color="auto"/>
        <w:bottom w:val="none" w:sz="0" w:space="0" w:color="auto"/>
        <w:right w:val="none" w:sz="0" w:space="0" w:color="auto"/>
      </w:divBdr>
    </w:div>
    <w:div w:id="714281904">
      <w:bodyDiv w:val="1"/>
      <w:marLeft w:val="0"/>
      <w:marRight w:val="0"/>
      <w:marTop w:val="0"/>
      <w:marBottom w:val="0"/>
      <w:divBdr>
        <w:top w:val="none" w:sz="0" w:space="0" w:color="auto"/>
        <w:left w:val="none" w:sz="0" w:space="0" w:color="auto"/>
        <w:bottom w:val="none" w:sz="0" w:space="0" w:color="auto"/>
        <w:right w:val="none" w:sz="0" w:space="0" w:color="auto"/>
      </w:divBdr>
    </w:div>
    <w:div w:id="770055099">
      <w:bodyDiv w:val="1"/>
      <w:marLeft w:val="0"/>
      <w:marRight w:val="0"/>
      <w:marTop w:val="0"/>
      <w:marBottom w:val="0"/>
      <w:divBdr>
        <w:top w:val="none" w:sz="0" w:space="0" w:color="auto"/>
        <w:left w:val="none" w:sz="0" w:space="0" w:color="auto"/>
        <w:bottom w:val="none" w:sz="0" w:space="0" w:color="auto"/>
        <w:right w:val="none" w:sz="0" w:space="0" w:color="auto"/>
      </w:divBdr>
    </w:div>
    <w:div w:id="919632724">
      <w:bodyDiv w:val="1"/>
      <w:marLeft w:val="0"/>
      <w:marRight w:val="0"/>
      <w:marTop w:val="0"/>
      <w:marBottom w:val="0"/>
      <w:divBdr>
        <w:top w:val="none" w:sz="0" w:space="0" w:color="auto"/>
        <w:left w:val="none" w:sz="0" w:space="0" w:color="auto"/>
        <w:bottom w:val="none" w:sz="0" w:space="0" w:color="auto"/>
        <w:right w:val="none" w:sz="0" w:space="0" w:color="auto"/>
      </w:divBdr>
    </w:div>
    <w:div w:id="950086289">
      <w:bodyDiv w:val="1"/>
      <w:marLeft w:val="0"/>
      <w:marRight w:val="0"/>
      <w:marTop w:val="0"/>
      <w:marBottom w:val="0"/>
      <w:divBdr>
        <w:top w:val="none" w:sz="0" w:space="0" w:color="auto"/>
        <w:left w:val="none" w:sz="0" w:space="0" w:color="auto"/>
        <w:bottom w:val="none" w:sz="0" w:space="0" w:color="auto"/>
        <w:right w:val="none" w:sz="0" w:space="0" w:color="auto"/>
      </w:divBdr>
    </w:div>
    <w:div w:id="1109086624">
      <w:bodyDiv w:val="1"/>
      <w:marLeft w:val="0"/>
      <w:marRight w:val="0"/>
      <w:marTop w:val="0"/>
      <w:marBottom w:val="0"/>
      <w:divBdr>
        <w:top w:val="none" w:sz="0" w:space="0" w:color="auto"/>
        <w:left w:val="none" w:sz="0" w:space="0" w:color="auto"/>
        <w:bottom w:val="none" w:sz="0" w:space="0" w:color="auto"/>
        <w:right w:val="none" w:sz="0" w:space="0" w:color="auto"/>
      </w:divBdr>
    </w:div>
    <w:div w:id="1160272220">
      <w:bodyDiv w:val="1"/>
      <w:marLeft w:val="0"/>
      <w:marRight w:val="0"/>
      <w:marTop w:val="0"/>
      <w:marBottom w:val="0"/>
      <w:divBdr>
        <w:top w:val="none" w:sz="0" w:space="0" w:color="auto"/>
        <w:left w:val="none" w:sz="0" w:space="0" w:color="auto"/>
        <w:bottom w:val="none" w:sz="0" w:space="0" w:color="auto"/>
        <w:right w:val="none" w:sz="0" w:space="0" w:color="auto"/>
      </w:divBdr>
    </w:div>
    <w:div w:id="1182475487">
      <w:bodyDiv w:val="1"/>
      <w:marLeft w:val="0"/>
      <w:marRight w:val="0"/>
      <w:marTop w:val="0"/>
      <w:marBottom w:val="0"/>
      <w:divBdr>
        <w:top w:val="none" w:sz="0" w:space="0" w:color="auto"/>
        <w:left w:val="none" w:sz="0" w:space="0" w:color="auto"/>
        <w:bottom w:val="none" w:sz="0" w:space="0" w:color="auto"/>
        <w:right w:val="none" w:sz="0" w:space="0" w:color="auto"/>
      </w:divBdr>
    </w:div>
    <w:div w:id="1191260047">
      <w:bodyDiv w:val="1"/>
      <w:marLeft w:val="0"/>
      <w:marRight w:val="0"/>
      <w:marTop w:val="0"/>
      <w:marBottom w:val="0"/>
      <w:divBdr>
        <w:top w:val="none" w:sz="0" w:space="0" w:color="auto"/>
        <w:left w:val="none" w:sz="0" w:space="0" w:color="auto"/>
        <w:bottom w:val="none" w:sz="0" w:space="0" w:color="auto"/>
        <w:right w:val="none" w:sz="0" w:space="0" w:color="auto"/>
      </w:divBdr>
    </w:div>
    <w:div w:id="1238513250">
      <w:bodyDiv w:val="1"/>
      <w:marLeft w:val="0"/>
      <w:marRight w:val="0"/>
      <w:marTop w:val="0"/>
      <w:marBottom w:val="0"/>
      <w:divBdr>
        <w:top w:val="none" w:sz="0" w:space="0" w:color="auto"/>
        <w:left w:val="none" w:sz="0" w:space="0" w:color="auto"/>
        <w:bottom w:val="none" w:sz="0" w:space="0" w:color="auto"/>
        <w:right w:val="none" w:sz="0" w:space="0" w:color="auto"/>
      </w:divBdr>
    </w:div>
    <w:div w:id="1282491124">
      <w:bodyDiv w:val="1"/>
      <w:marLeft w:val="0"/>
      <w:marRight w:val="0"/>
      <w:marTop w:val="0"/>
      <w:marBottom w:val="0"/>
      <w:divBdr>
        <w:top w:val="none" w:sz="0" w:space="0" w:color="auto"/>
        <w:left w:val="none" w:sz="0" w:space="0" w:color="auto"/>
        <w:bottom w:val="none" w:sz="0" w:space="0" w:color="auto"/>
        <w:right w:val="none" w:sz="0" w:space="0" w:color="auto"/>
      </w:divBdr>
    </w:div>
    <w:div w:id="1414594811">
      <w:bodyDiv w:val="1"/>
      <w:marLeft w:val="0"/>
      <w:marRight w:val="0"/>
      <w:marTop w:val="0"/>
      <w:marBottom w:val="0"/>
      <w:divBdr>
        <w:top w:val="none" w:sz="0" w:space="0" w:color="auto"/>
        <w:left w:val="none" w:sz="0" w:space="0" w:color="auto"/>
        <w:bottom w:val="none" w:sz="0" w:space="0" w:color="auto"/>
        <w:right w:val="none" w:sz="0" w:space="0" w:color="auto"/>
      </w:divBdr>
    </w:div>
    <w:div w:id="1421482577">
      <w:bodyDiv w:val="1"/>
      <w:marLeft w:val="0"/>
      <w:marRight w:val="0"/>
      <w:marTop w:val="0"/>
      <w:marBottom w:val="0"/>
      <w:divBdr>
        <w:top w:val="none" w:sz="0" w:space="0" w:color="auto"/>
        <w:left w:val="none" w:sz="0" w:space="0" w:color="auto"/>
        <w:bottom w:val="none" w:sz="0" w:space="0" w:color="auto"/>
        <w:right w:val="none" w:sz="0" w:space="0" w:color="auto"/>
      </w:divBdr>
    </w:div>
    <w:div w:id="1434664703">
      <w:bodyDiv w:val="1"/>
      <w:marLeft w:val="0"/>
      <w:marRight w:val="0"/>
      <w:marTop w:val="0"/>
      <w:marBottom w:val="0"/>
      <w:divBdr>
        <w:top w:val="none" w:sz="0" w:space="0" w:color="auto"/>
        <w:left w:val="none" w:sz="0" w:space="0" w:color="auto"/>
        <w:bottom w:val="none" w:sz="0" w:space="0" w:color="auto"/>
        <w:right w:val="none" w:sz="0" w:space="0" w:color="auto"/>
      </w:divBdr>
    </w:div>
    <w:div w:id="1482429910">
      <w:bodyDiv w:val="1"/>
      <w:marLeft w:val="0"/>
      <w:marRight w:val="0"/>
      <w:marTop w:val="0"/>
      <w:marBottom w:val="0"/>
      <w:divBdr>
        <w:top w:val="none" w:sz="0" w:space="0" w:color="auto"/>
        <w:left w:val="none" w:sz="0" w:space="0" w:color="auto"/>
        <w:bottom w:val="none" w:sz="0" w:space="0" w:color="auto"/>
        <w:right w:val="none" w:sz="0" w:space="0" w:color="auto"/>
      </w:divBdr>
    </w:div>
    <w:div w:id="1523084544">
      <w:bodyDiv w:val="1"/>
      <w:marLeft w:val="0"/>
      <w:marRight w:val="0"/>
      <w:marTop w:val="0"/>
      <w:marBottom w:val="0"/>
      <w:divBdr>
        <w:top w:val="none" w:sz="0" w:space="0" w:color="auto"/>
        <w:left w:val="none" w:sz="0" w:space="0" w:color="auto"/>
        <w:bottom w:val="none" w:sz="0" w:space="0" w:color="auto"/>
        <w:right w:val="none" w:sz="0" w:space="0" w:color="auto"/>
      </w:divBdr>
    </w:div>
    <w:div w:id="1731341274">
      <w:bodyDiv w:val="1"/>
      <w:marLeft w:val="0"/>
      <w:marRight w:val="0"/>
      <w:marTop w:val="0"/>
      <w:marBottom w:val="0"/>
      <w:divBdr>
        <w:top w:val="none" w:sz="0" w:space="0" w:color="auto"/>
        <w:left w:val="none" w:sz="0" w:space="0" w:color="auto"/>
        <w:bottom w:val="none" w:sz="0" w:space="0" w:color="auto"/>
        <w:right w:val="none" w:sz="0" w:space="0" w:color="auto"/>
      </w:divBdr>
    </w:div>
    <w:div w:id="1751076281">
      <w:bodyDiv w:val="1"/>
      <w:marLeft w:val="0"/>
      <w:marRight w:val="0"/>
      <w:marTop w:val="0"/>
      <w:marBottom w:val="0"/>
      <w:divBdr>
        <w:top w:val="none" w:sz="0" w:space="0" w:color="auto"/>
        <w:left w:val="none" w:sz="0" w:space="0" w:color="auto"/>
        <w:bottom w:val="none" w:sz="0" w:space="0" w:color="auto"/>
        <w:right w:val="none" w:sz="0" w:space="0" w:color="auto"/>
      </w:divBdr>
    </w:div>
    <w:div w:id="1768844174">
      <w:bodyDiv w:val="1"/>
      <w:marLeft w:val="0"/>
      <w:marRight w:val="0"/>
      <w:marTop w:val="0"/>
      <w:marBottom w:val="0"/>
      <w:divBdr>
        <w:top w:val="none" w:sz="0" w:space="0" w:color="auto"/>
        <w:left w:val="none" w:sz="0" w:space="0" w:color="auto"/>
        <w:bottom w:val="none" w:sz="0" w:space="0" w:color="auto"/>
        <w:right w:val="none" w:sz="0" w:space="0" w:color="auto"/>
      </w:divBdr>
    </w:div>
    <w:div w:id="1773092410">
      <w:bodyDiv w:val="1"/>
      <w:marLeft w:val="0"/>
      <w:marRight w:val="0"/>
      <w:marTop w:val="0"/>
      <w:marBottom w:val="0"/>
      <w:divBdr>
        <w:top w:val="none" w:sz="0" w:space="0" w:color="auto"/>
        <w:left w:val="none" w:sz="0" w:space="0" w:color="auto"/>
        <w:bottom w:val="none" w:sz="0" w:space="0" w:color="auto"/>
        <w:right w:val="none" w:sz="0" w:space="0" w:color="auto"/>
      </w:divBdr>
    </w:div>
    <w:div w:id="1994672813">
      <w:bodyDiv w:val="1"/>
      <w:marLeft w:val="0"/>
      <w:marRight w:val="0"/>
      <w:marTop w:val="0"/>
      <w:marBottom w:val="0"/>
      <w:divBdr>
        <w:top w:val="none" w:sz="0" w:space="0" w:color="auto"/>
        <w:left w:val="none" w:sz="0" w:space="0" w:color="auto"/>
        <w:bottom w:val="none" w:sz="0" w:space="0" w:color="auto"/>
        <w:right w:val="none" w:sz="0" w:space="0" w:color="auto"/>
      </w:divBdr>
    </w:div>
    <w:div w:id="2003270976">
      <w:bodyDiv w:val="1"/>
      <w:marLeft w:val="0"/>
      <w:marRight w:val="0"/>
      <w:marTop w:val="0"/>
      <w:marBottom w:val="0"/>
      <w:divBdr>
        <w:top w:val="none" w:sz="0" w:space="0" w:color="auto"/>
        <w:left w:val="none" w:sz="0" w:space="0" w:color="auto"/>
        <w:bottom w:val="none" w:sz="0" w:space="0" w:color="auto"/>
        <w:right w:val="none" w:sz="0" w:space="0" w:color="auto"/>
      </w:divBdr>
    </w:div>
    <w:div w:id="2012221166">
      <w:bodyDiv w:val="1"/>
      <w:marLeft w:val="0"/>
      <w:marRight w:val="0"/>
      <w:marTop w:val="0"/>
      <w:marBottom w:val="0"/>
      <w:divBdr>
        <w:top w:val="none" w:sz="0" w:space="0" w:color="auto"/>
        <w:left w:val="none" w:sz="0" w:space="0" w:color="auto"/>
        <w:bottom w:val="none" w:sz="0" w:space="0" w:color="auto"/>
        <w:right w:val="none" w:sz="0" w:space="0" w:color="auto"/>
      </w:divBdr>
    </w:div>
    <w:div w:id="204697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dharshinisubramaniam9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geography%20CMCHIS\final%20sheet%20(Autosave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Proportion of beneficiaries</a:t>
            </a:r>
            <a:r>
              <a:rPr lang="en-US" baseline="0"/>
              <a:t> moving </a:t>
            </a:r>
            <a:r>
              <a:rPr lang="en-US"/>
              <a:t>outside the</a:t>
            </a:r>
            <a:r>
              <a:rPr lang="en-US" baseline="0"/>
              <a:t> origin district for CMCHIS services</a:t>
            </a:r>
            <a:r>
              <a:rPr lang="en-US"/>
              <a:t> </a:t>
            </a:r>
          </a:p>
        </c:rich>
      </c:tx>
      <c:layout>
        <c:manualLayout>
          <c:xMode val="edge"/>
          <c:yMode val="edge"/>
          <c:x val="0.20808110088738424"/>
          <c:y val="0.96275727333493344"/>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barChart>
        <c:barDir val="col"/>
        <c:grouping val="clustered"/>
        <c:varyColors val="0"/>
        <c:ser>
          <c:idx val="0"/>
          <c:order val="0"/>
          <c:tx>
            <c:strRef>
              <c:f>'main sheet'!$BB$1</c:f>
              <c:strCache>
                <c:ptCount val="1"/>
                <c:pt idx="0">
                  <c:v>MOVING OUTSIDE</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dPt>
            <c:idx val="0"/>
            <c:invertIfNegative val="0"/>
            <c:bubble3D val="0"/>
            <c:spPr>
              <a:solidFill>
                <a:schemeClr val="accent6">
                  <a:lumMod val="40000"/>
                  <a:lumOff val="60000"/>
                </a:schemeClr>
              </a:solidFill>
              <a:ln>
                <a:noFill/>
              </a:ln>
              <a:effectLst/>
            </c:spPr>
            <c:extLst xmlns:c16r2="http://schemas.microsoft.com/office/drawing/2015/06/chart">
              <c:ext xmlns:c16="http://schemas.microsoft.com/office/drawing/2014/chart" uri="{C3380CC4-5D6E-409C-BE32-E72D297353CC}">
                <c16:uniqueId val="{00000001-516C-41FC-B2D7-818B8E33D3DD}"/>
              </c:ext>
            </c:extLst>
          </c:dPt>
          <c:dPt>
            <c:idx val="1"/>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03-516C-41FC-B2D7-818B8E33D3DD}"/>
              </c:ext>
            </c:extLst>
          </c:dPt>
          <c:dPt>
            <c:idx val="2"/>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05-516C-41FC-B2D7-818B8E33D3DD}"/>
              </c:ext>
            </c:extLst>
          </c:dPt>
          <c:dPt>
            <c:idx val="3"/>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07-516C-41FC-B2D7-818B8E33D3DD}"/>
              </c:ext>
            </c:extLst>
          </c:dPt>
          <c:dPt>
            <c:idx val="4"/>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09-516C-41FC-B2D7-818B8E33D3DD}"/>
              </c:ext>
            </c:extLst>
          </c:dPt>
          <c:dPt>
            <c:idx val="5"/>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0B-516C-41FC-B2D7-818B8E33D3DD}"/>
              </c:ext>
            </c:extLst>
          </c:dPt>
          <c:dPt>
            <c:idx val="6"/>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0D-516C-41FC-B2D7-818B8E33D3DD}"/>
              </c:ext>
            </c:extLst>
          </c:dPt>
          <c:dPt>
            <c:idx val="7"/>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0F-516C-41FC-B2D7-818B8E33D3DD}"/>
              </c:ext>
            </c:extLst>
          </c:dPt>
          <c:dPt>
            <c:idx val="8"/>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11-516C-41FC-B2D7-818B8E33D3DD}"/>
              </c:ext>
            </c:extLst>
          </c:dPt>
          <c:dPt>
            <c:idx val="9"/>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13-516C-41FC-B2D7-818B8E33D3DD}"/>
              </c:ext>
            </c:extLst>
          </c:dPt>
          <c:dPt>
            <c:idx val="10"/>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15-516C-41FC-B2D7-818B8E33D3DD}"/>
              </c:ext>
            </c:extLst>
          </c:dPt>
          <c:dPt>
            <c:idx val="11"/>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17-516C-41FC-B2D7-818B8E33D3DD}"/>
              </c:ext>
            </c:extLst>
          </c:dPt>
          <c:dPt>
            <c:idx val="12"/>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19-516C-41FC-B2D7-818B8E33D3DD}"/>
              </c:ext>
            </c:extLst>
          </c:dPt>
          <c:dPt>
            <c:idx val="13"/>
            <c:invertIfNegative val="0"/>
            <c:bubble3D val="0"/>
            <c:spPr>
              <a:solidFill>
                <a:schemeClr val="accent6">
                  <a:lumMod val="40000"/>
                  <a:lumOff val="60000"/>
                </a:schemeClr>
              </a:solidFill>
              <a:ln>
                <a:noFill/>
              </a:ln>
              <a:effectLst/>
            </c:spPr>
            <c:extLst xmlns:c16r2="http://schemas.microsoft.com/office/drawing/2015/06/chart">
              <c:ext xmlns:c16="http://schemas.microsoft.com/office/drawing/2014/chart" uri="{C3380CC4-5D6E-409C-BE32-E72D297353CC}">
                <c16:uniqueId val="{0000001B-516C-41FC-B2D7-818B8E33D3DD}"/>
              </c:ext>
            </c:extLst>
          </c:dPt>
          <c:dPt>
            <c:idx val="14"/>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1D-516C-41FC-B2D7-818B8E33D3DD}"/>
              </c:ext>
            </c:extLst>
          </c:dPt>
          <c:dPt>
            <c:idx val="15"/>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1F-516C-41FC-B2D7-818B8E33D3DD}"/>
              </c:ext>
            </c:extLst>
          </c:dPt>
          <c:dPt>
            <c:idx val="16"/>
            <c:invertIfNegative val="0"/>
            <c:bubble3D val="0"/>
            <c:spPr>
              <a:solidFill>
                <a:schemeClr val="accent6">
                  <a:lumMod val="40000"/>
                  <a:lumOff val="60000"/>
                </a:schemeClr>
              </a:solidFill>
              <a:ln>
                <a:noFill/>
              </a:ln>
              <a:effectLst/>
            </c:spPr>
            <c:extLst xmlns:c16r2="http://schemas.microsoft.com/office/drawing/2015/06/chart">
              <c:ext xmlns:c16="http://schemas.microsoft.com/office/drawing/2014/chart" uri="{C3380CC4-5D6E-409C-BE32-E72D297353CC}">
                <c16:uniqueId val="{00000021-516C-41FC-B2D7-818B8E33D3DD}"/>
              </c:ext>
            </c:extLst>
          </c:dPt>
          <c:dPt>
            <c:idx val="17"/>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23-516C-41FC-B2D7-818B8E33D3DD}"/>
              </c:ext>
            </c:extLst>
          </c:dPt>
          <c:dPt>
            <c:idx val="18"/>
            <c:invertIfNegative val="0"/>
            <c:bubble3D val="0"/>
            <c:spPr>
              <a:solidFill>
                <a:schemeClr val="accent6">
                  <a:lumMod val="40000"/>
                  <a:lumOff val="60000"/>
                </a:schemeClr>
              </a:solidFill>
              <a:ln>
                <a:noFill/>
              </a:ln>
              <a:effectLst/>
            </c:spPr>
            <c:extLst xmlns:c16r2="http://schemas.microsoft.com/office/drawing/2015/06/chart">
              <c:ext xmlns:c16="http://schemas.microsoft.com/office/drawing/2014/chart" uri="{C3380CC4-5D6E-409C-BE32-E72D297353CC}">
                <c16:uniqueId val="{00000025-516C-41FC-B2D7-818B8E33D3DD}"/>
              </c:ext>
            </c:extLst>
          </c:dPt>
          <c:dPt>
            <c:idx val="19"/>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27-516C-41FC-B2D7-818B8E33D3DD}"/>
              </c:ext>
            </c:extLst>
          </c:dPt>
          <c:dPt>
            <c:idx val="20"/>
            <c:invertIfNegative val="0"/>
            <c:bubble3D val="0"/>
            <c:spPr>
              <a:solidFill>
                <a:schemeClr val="accent6">
                  <a:lumMod val="40000"/>
                  <a:lumOff val="60000"/>
                </a:schemeClr>
              </a:solidFill>
              <a:ln>
                <a:noFill/>
              </a:ln>
              <a:effectLst/>
            </c:spPr>
            <c:extLst xmlns:c16r2="http://schemas.microsoft.com/office/drawing/2015/06/chart">
              <c:ext xmlns:c16="http://schemas.microsoft.com/office/drawing/2014/chart" uri="{C3380CC4-5D6E-409C-BE32-E72D297353CC}">
                <c16:uniqueId val="{00000029-516C-41FC-B2D7-818B8E33D3DD}"/>
              </c:ext>
            </c:extLst>
          </c:dPt>
          <c:dPt>
            <c:idx val="21"/>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2B-516C-41FC-B2D7-818B8E33D3DD}"/>
              </c:ext>
            </c:extLst>
          </c:dPt>
          <c:dPt>
            <c:idx val="22"/>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2D-516C-41FC-B2D7-818B8E33D3DD}"/>
              </c:ext>
            </c:extLst>
          </c:dPt>
          <c:dPt>
            <c:idx val="23"/>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2F-516C-41FC-B2D7-818B8E33D3DD}"/>
              </c:ext>
            </c:extLst>
          </c:dPt>
          <c:dPt>
            <c:idx val="24"/>
            <c:invertIfNegative val="0"/>
            <c:bubble3D val="0"/>
            <c:spPr>
              <a:solidFill>
                <a:srgbClr val="FF6161"/>
              </a:solidFill>
              <a:ln>
                <a:noFill/>
              </a:ln>
              <a:effectLst/>
            </c:spPr>
            <c:extLst xmlns:c16r2="http://schemas.microsoft.com/office/drawing/2015/06/chart">
              <c:ext xmlns:c16="http://schemas.microsoft.com/office/drawing/2014/chart" uri="{C3380CC4-5D6E-409C-BE32-E72D297353CC}">
                <c16:uniqueId val="{00000031-516C-41FC-B2D7-818B8E33D3DD}"/>
              </c:ext>
            </c:extLst>
          </c:dPt>
          <c:dPt>
            <c:idx val="25"/>
            <c:invertIfNegative val="0"/>
            <c:bubble3D val="0"/>
            <c:spPr>
              <a:solidFill>
                <a:schemeClr val="accent6">
                  <a:lumMod val="40000"/>
                  <a:lumOff val="60000"/>
                </a:schemeClr>
              </a:solidFill>
              <a:ln>
                <a:noFill/>
              </a:ln>
              <a:effectLst/>
            </c:spPr>
            <c:extLst xmlns:c16r2="http://schemas.microsoft.com/office/drawing/2015/06/chart">
              <c:ext xmlns:c16="http://schemas.microsoft.com/office/drawing/2014/chart" uri="{C3380CC4-5D6E-409C-BE32-E72D297353CC}">
                <c16:uniqueId val="{00000033-516C-41FC-B2D7-818B8E33D3DD}"/>
              </c:ext>
            </c:extLst>
          </c:dPt>
          <c:dPt>
            <c:idx val="26"/>
            <c:invertIfNegative val="0"/>
            <c:bubble3D val="0"/>
            <c:spPr>
              <a:solidFill>
                <a:schemeClr val="accent6">
                  <a:lumMod val="40000"/>
                  <a:lumOff val="60000"/>
                </a:schemeClr>
              </a:solidFill>
              <a:ln>
                <a:noFill/>
              </a:ln>
              <a:effectLst/>
            </c:spPr>
            <c:extLst xmlns:c16r2="http://schemas.microsoft.com/office/drawing/2015/06/chart">
              <c:ext xmlns:c16="http://schemas.microsoft.com/office/drawing/2014/chart" uri="{C3380CC4-5D6E-409C-BE32-E72D297353CC}">
                <c16:uniqueId val="{00000035-516C-41FC-B2D7-818B8E33D3DD}"/>
              </c:ext>
            </c:extLst>
          </c:dPt>
          <c:dPt>
            <c:idx val="27"/>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37-516C-41FC-B2D7-818B8E33D3DD}"/>
              </c:ext>
            </c:extLst>
          </c:dPt>
          <c:dPt>
            <c:idx val="28"/>
            <c:invertIfNegative val="0"/>
            <c:bubble3D val="0"/>
            <c:spPr>
              <a:solidFill>
                <a:schemeClr val="accent6">
                  <a:lumMod val="40000"/>
                  <a:lumOff val="60000"/>
                </a:schemeClr>
              </a:solidFill>
              <a:ln>
                <a:noFill/>
              </a:ln>
              <a:effectLst/>
            </c:spPr>
            <c:extLst xmlns:c16r2="http://schemas.microsoft.com/office/drawing/2015/06/chart">
              <c:ext xmlns:c16="http://schemas.microsoft.com/office/drawing/2014/chart" uri="{C3380CC4-5D6E-409C-BE32-E72D297353CC}">
                <c16:uniqueId val="{00000039-516C-41FC-B2D7-818B8E33D3DD}"/>
              </c:ext>
            </c:extLst>
          </c:dPt>
          <c:dPt>
            <c:idx val="29"/>
            <c:invertIfNegative val="0"/>
            <c:bubble3D val="0"/>
            <c:spPr>
              <a:solidFill>
                <a:schemeClr val="accent6">
                  <a:lumMod val="40000"/>
                  <a:lumOff val="60000"/>
                </a:schemeClr>
              </a:solidFill>
              <a:ln>
                <a:noFill/>
              </a:ln>
              <a:effectLst/>
            </c:spPr>
            <c:extLst xmlns:c16r2="http://schemas.microsoft.com/office/drawing/2015/06/chart">
              <c:ext xmlns:c16="http://schemas.microsoft.com/office/drawing/2014/chart" uri="{C3380CC4-5D6E-409C-BE32-E72D297353CC}">
                <c16:uniqueId val="{0000003B-516C-41FC-B2D7-818B8E33D3DD}"/>
              </c:ext>
            </c:extLst>
          </c:dPt>
          <c:dPt>
            <c:idx val="30"/>
            <c:invertIfNegative val="0"/>
            <c:bubble3D val="0"/>
            <c:spPr>
              <a:solidFill>
                <a:schemeClr val="accent4">
                  <a:lumMod val="40000"/>
                  <a:lumOff val="60000"/>
                </a:schemeClr>
              </a:solidFill>
              <a:ln>
                <a:noFill/>
              </a:ln>
              <a:effectLst/>
            </c:spPr>
            <c:extLst xmlns:c16r2="http://schemas.microsoft.com/office/drawing/2015/06/chart">
              <c:ext xmlns:c16="http://schemas.microsoft.com/office/drawing/2014/chart" uri="{C3380CC4-5D6E-409C-BE32-E72D297353CC}">
                <c16:uniqueId val="{0000003D-516C-41FC-B2D7-818B8E33D3DD}"/>
              </c:ext>
            </c:extLst>
          </c:dPt>
          <c:dPt>
            <c:idx val="31"/>
            <c:invertIfNegative val="0"/>
            <c:bubble3D val="0"/>
            <c:spPr>
              <a:solidFill>
                <a:schemeClr val="accent6">
                  <a:lumMod val="40000"/>
                  <a:lumOff val="60000"/>
                </a:schemeClr>
              </a:solidFill>
              <a:ln>
                <a:noFill/>
              </a:ln>
              <a:effectLst/>
            </c:spPr>
            <c:extLst xmlns:c16r2="http://schemas.microsoft.com/office/drawing/2015/06/chart">
              <c:ext xmlns:c16="http://schemas.microsoft.com/office/drawing/2014/chart" uri="{C3380CC4-5D6E-409C-BE32-E72D297353CC}">
                <c16:uniqueId val="{0000003F-516C-41FC-B2D7-818B8E33D3D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2"/>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2">
                          <a:lumMod val="35000"/>
                          <a:lumOff val="65000"/>
                        </a:schemeClr>
                      </a:solidFill>
                    </a:ln>
                    <a:effectLst/>
                  </c:spPr>
                </c15:leaderLines>
              </c:ext>
            </c:extLst>
          </c:dLbls>
          <c:cat>
            <c:strRef>
              <c:f>'main sheet'!$A$2:$A$33</c:f>
              <c:strCache>
                <c:ptCount val="32"/>
                <c:pt idx="0">
                  <c:v>TIRUVALLUR</c:v>
                </c:pt>
                <c:pt idx="1">
                  <c:v>TIRUPUR</c:v>
                </c:pt>
                <c:pt idx="2">
                  <c:v>NILGIRIS</c:v>
                </c:pt>
                <c:pt idx="3">
                  <c:v>PUDUKOTTAI</c:v>
                </c:pt>
                <c:pt idx="4">
                  <c:v>NAGAPATTINAM</c:v>
                </c:pt>
                <c:pt idx="5">
                  <c:v>CUDDALORE</c:v>
                </c:pt>
                <c:pt idx="6">
                  <c:v>ARIYALUR</c:v>
                </c:pt>
                <c:pt idx="7">
                  <c:v>TIRUVANNAMALAI</c:v>
                </c:pt>
                <c:pt idx="8">
                  <c:v>NAMAKKAL</c:v>
                </c:pt>
                <c:pt idx="9">
                  <c:v>VILLUPURAM</c:v>
                </c:pt>
                <c:pt idx="10">
                  <c:v>RAMANATHAPURAM</c:v>
                </c:pt>
                <c:pt idx="11">
                  <c:v>DINDIGUL</c:v>
                </c:pt>
                <c:pt idx="12">
                  <c:v>KARUR</c:v>
                </c:pt>
                <c:pt idx="13">
                  <c:v>VIRUDHUNAGAR</c:v>
                </c:pt>
                <c:pt idx="14">
                  <c:v>SIVAGANGAI</c:v>
                </c:pt>
                <c:pt idx="15">
                  <c:v>TIRUVARUR</c:v>
                </c:pt>
                <c:pt idx="16">
                  <c:v>KRISHNAGIRI</c:v>
                </c:pt>
                <c:pt idx="17">
                  <c:v>VELLORE</c:v>
                </c:pt>
                <c:pt idx="18">
                  <c:v>TUTICORIN</c:v>
                </c:pt>
                <c:pt idx="19">
                  <c:v>DHARMAPURI</c:v>
                </c:pt>
                <c:pt idx="20">
                  <c:v>KANCHEEPURAM</c:v>
                </c:pt>
                <c:pt idx="21">
                  <c:v>PERAMBALUR</c:v>
                </c:pt>
                <c:pt idx="22">
                  <c:v>THENI</c:v>
                </c:pt>
                <c:pt idx="23">
                  <c:v>THANJAVUR</c:v>
                </c:pt>
                <c:pt idx="24">
                  <c:v>ERODE</c:v>
                </c:pt>
                <c:pt idx="25">
                  <c:v>TIRUNELVELI</c:v>
                </c:pt>
                <c:pt idx="26">
                  <c:v>TIRUCHIRAPALLI </c:v>
                </c:pt>
                <c:pt idx="27">
                  <c:v>SALEM</c:v>
                </c:pt>
                <c:pt idx="28">
                  <c:v>CHENNAI</c:v>
                </c:pt>
                <c:pt idx="29">
                  <c:v>KANYAKUMARI</c:v>
                </c:pt>
                <c:pt idx="30">
                  <c:v>MADURAI</c:v>
                </c:pt>
                <c:pt idx="31">
                  <c:v>COIMBATORE</c:v>
                </c:pt>
              </c:strCache>
            </c:strRef>
          </c:cat>
          <c:val>
            <c:numRef>
              <c:f>'main sheet'!$BB$2:$BB$33</c:f>
              <c:numCache>
                <c:formatCode>0.0</c:formatCode>
                <c:ptCount val="32"/>
                <c:pt idx="0">
                  <c:v>79.569510969191654</c:v>
                </c:pt>
                <c:pt idx="1">
                  <c:v>73.07494536572824</c:v>
                </c:pt>
                <c:pt idx="2">
                  <c:v>71.38297872340425</c:v>
                </c:pt>
                <c:pt idx="3">
                  <c:v>70.011127596439167</c:v>
                </c:pt>
                <c:pt idx="4">
                  <c:v>67.655847501287994</c:v>
                </c:pt>
                <c:pt idx="5">
                  <c:v>67.63551561344633</c:v>
                </c:pt>
                <c:pt idx="6">
                  <c:v>67.370159662323374</c:v>
                </c:pt>
                <c:pt idx="7">
                  <c:v>66.597620309263448</c:v>
                </c:pt>
                <c:pt idx="8">
                  <c:v>64.480792316926767</c:v>
                </c:pt>
                <c:pt idx="9">
                  <c:v>64.287456021179509</c:v>
                </c:pt>
                <c:pt idx="10">
                  <c:v>63.502128816015947</c:v>
                </c:pt>
                <c:pt idx="11">
                  <c:v>59.695398574206095</c:v>
                </c:pt>
                <c:pt idx="12">
                  <c:v>55.766364005962863</c:v>
                </c:pt>
                <c:pt idx="13">
                  <c:v>54.318196498934178</c:v>
                </c:pt>
                <c:pt idx="14">
                  <c:v>52.981707817242231</c:v>
                </c:pt>
                <c:pt idx="15">
                  <c:v>51.43454524334998</c:v>
                </c:pt>
                <c:pt idx="16">
                  <c:v>51.342843089030985</c:v>
                </c:pt>
                <c:pt idx="17">
                  <c:v>49.837258950757715</c:v>
                </c:pt>
                <c:pt idx="18">
                  <c:v>48.975166142007694</c:v>
                </c:pt>
                <c:pt idx="19">
                  <c:v>48.270664098484218</c:v>
                </c:pt>
                <c:pt idx="20">
                  <c:v>46.060229742316054</c:v>
                </c:pt>
                <c:pt idx="21">
                  <c:v>43.093922651933703</c:v>
                </c:pt>
                <c:pt idx="22">
                  <c:v>41.237410071942449</c:v>
                </c:pt>
                <c:pt idx="23">
                  <c:v>36.813913043478266</c:v>
                </c:pt>
                <c:pt idx="24">
                  <c:v>34.801444043321297</c:v>
                </c:pt>
                <c:pt idx="25">
                  <c:v>30.957192724600404</c:v>
                </c:pt>
                <c:pt idx="26">
                  <c:v>28.204386320236097</c:v>
                </c:pt>
                <c:pt idx="27">
                  <c:v>24.58812226452693</c:v>
                </c:pt>
                <c:pt idx="28">
                  <c:v>13.411053289531054</c:v>
                </c:pt>
                <c:pt idx="29">
                  <c:v>9.2693044033184435</c:v>
                </c:pt>
                <c:pt idx="30">
                  <c:v>8.7905895611748974</c:v>
                </c:pt>
                <c:pt idx="31">
                  <c:v>8.0452484275196241</c:v>
                </c:pt>
              </c:numCache>
            </c:numRef>
          </c:val>
          <c:extLst xmlns:c16r2="http://schemas.microsoft.com/office/drawing/2015/06/chart">
            <c:ext xmlns:c16="http://schemas.microsoft.com/office/drawing/2014/chart" uri="{C3380CC4-5D6E-409C-BE32-E72D297353CC}">
              <c16:uniqueId val="{00000040-516C-41FC-B2D7-818B8E33D3DD}"/>
            </c:ext>
          </c:extLst>
        </c:ser>
        <c:dLbls>
          <c:showLegendKey val="0"/>
          <c:showVal val="0"/>
          <c:showCatName val="0"/>
          <c:showSerName val="0"/>
          <c:showPercent val="0"/>
          <c:showBubbleSize val="0"/>
        </c:dLbls>
        <c:gapWidth val="100"/>
        <c:overlap val="-24"/>
        <c:axId val="331403488"/>
        <c:axId val="331400352"/>
      </c:barChart>
      <c:catAx>
        <c:axId val="33140348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1400352"/>
        <c:crosses val="autoZero"/>
        <c:auto val="1"/>
        <c:lblAlgn val="ctr"/>
        <c:lblOffset val="100"/>
        <c:noMultiLvlLbl val="0"/>
      </c:catAx>
      <c:valAx>
        <c:axId val="331400352"/>
        <c:scaling>
          <c:orientation val="minMax"/>
        </c:scaling>
        <c:delete val="0"/>
        <c:axPos val="l"/>
        <c:majorGridlines>
          <c:spPr>
            <a:ln w="9525" cap="flat" cmpd="sng" algn="ctr">
              <a:solidFill>
                <a:schemeClr val="tx2">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r>
                  <a:rPr lang="en-IN"/>
                  <a:t>Percentage of</a:t>
                </a:r>
                <a:r>
                  <a:rPr lang="en-IN" baseline="0"/>
                  <a:t> Claims </a:t>
                </a:r>
                <a:endParaRPr lang="en-IN"/>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tx2"/>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crossAx val="331403488"/>
        <c:crosses val="autoZero"/>
        <c:crossBetween val="between"/>
      </c:valAx>
      <c:spPr>
        <a:noFill/>
        <a:ln w="25400">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A5AE2-EB1F-4BE9-AAFF-2D42AAF3B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13851</Words>
  <Characters>78953</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Reviewer</cp:lastModifiedBy>
  <cp:revision>2</cp:revision>
  <dcterms:created xsi:type="dcterms:W3CDTF">2019-11-18T07:12:00Z</dcterms:created>
  <dcterms:modified xsi:type="dcterms:W3CDTF">2019-11-18T07:12:00Z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http://www.zotero.org/styles/vancouver</vt:lpwstr>
  </property>
  <property fmtid="{D5CDD505-2E9C-101B-9397-08002B2CF9AE}" pid="19" name="Mendeley Recent Style Name 8_1">
    <vt:lpwstr>Vancouver</vt:lpwstr>
  </property>
  <property fmtid="{D5CDD505-2E9C-101B-9397-08002B2CF9AE}" pid="20" name="Mendeley Recent Style Id 9_1">
    <vt:lpwstr>http://www.zotero.org/styles/vancouver-superscript</vt:lpwstr>
  </property>
  <property fmtid="{D5CDD505-2E9C-101B-9397-08002B2CF9AE}" pid="21" name="Mendeley Recent Style Name 9_1">
    <vt:lpwstr>Vancouver (superscript)</vt:lpwstr>
  </property>
  <property fmtid="{D5CDD505-2E9C-101B-9397-08002B2CF9AE}" pid="22" name="Mendeley Document_1">
    <vt:lpwstr>True</vt:lpwstr>
  </property>
  <property fmtid="{D5CDD505-2E9C-101B-9397-08002B2CF9AE}" pid="23" name="Mendeley Unique User Id_1">
    <vt:lpwstr>9a860fd4-4bc8-34f6-b74c-9d4c841d38df</vt:lpwstr>
  </property>
  <property fmtid="{D5CDD505-2E9C-101B-9397-08002B2CF9AE}" pid="24" name="Mendeley Citation Style_1">
    <vt:lpwstr>http://www.zotero.org/styles/vancouver-superscript</vt:lpwstr>
  </property>
</Properties>
</file>