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888E4" w14:textId="36AAC1A2" w:rsidR="00F226AF" w:rsidRPr="00671D6D" w:rsidRDefault="00F226AF" w:rsidP="00F226A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671D6D">
        <w:rPr>
          <w:rFonts w:eastAsia="Times New Roman" w:cstheme="minorHAnsi"/>
          <w:color w:val="222222"/>
          <w:sz w:val="24"/>
          <w:szCs w:val="24"/>
          <w:u w:val="single"/>
        </w:rPr>
        <w:t>Response to Zubair Umer Mohamed’s comment on the article on “brain death” and “circulatory death” in IJME</w:t>
      </w:r>
    </w:p>
    <w:p w14:paraId="0BFFC65E" w14:textId="5CE55D4A" w:rsidR="00F226AF" w:rsidRPr="00671D6D" w:rsidRDefault="00692F31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eastAsia="Times New Roman" w:cstheme="minorHAnsi"/>
          <w:color w:val="222222"/>
          <w:sz w:val="24"/>
          <w:szCs w:val="24"/>
        </w:rPr>
        <w:t>Sunil Shroff, Sumana Navin</w:t>
      </w:r>
    </w:p>
    <w:p w14:paraId="6638D020" w14:textId="40BAE0E7" w:rsidR="00692F31" w:rsidRPr="00671D6D" w:rsidRDefault="00692F31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eastAsia="Times New Roman" w:cstheme="minorHAnsi"/>
          <w:color w:val="222222"/>
          <w:sz w:val="24"/>
          <w:szCs w:val="24"/>
        </w:rPr>
        <w:t>MOHAN Foundation, Chennai</w:t>
      </w:r>
    </w:p>
    <w:p w14:paraId="5C52D98E" w14:textId="30986B9A" w:rsidR="00692F31" w:rsidRPr="00671D6D" w:rsidRDefault="00BA30EC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hyperlink r:id="rId5" w:history="1">
        <w:r w:rsidR="00692F31" w:rsidRPr="00671D6D">
          <w:rPr>
            <w:rStyle w:val="Hyperlink"/>
            <w:rFonts w:eastAsia="Times New Roman" w:cstheme="minorHAnsi"/>
            <w:sz w:val="24"/>
            <w:szCs w:val="24"/>
          </w:rPr>
          <w:t>sumana@mohanfoundation.org</w:t>
        </w:r>
      </w:hyperlink>
    </w:p>
    <w:p w14:paraId="462BC69F" w14:textId="77777777" w:rsidR="00692F31" w:rsidRPr="00671D6D" w:rsidRDefault="00692F31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4077AEF6" w14:textId="784274E1" w:rsidR="00383448" w:rsidRPr="00671D6D" w:rsidRDefault="00101A36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eastAsia="Times New Roman" w:cstheme="minorHAnsi"/>
          <w:color w:val="222222"/>
          <w:sz w:val="24"/>
          <w:szCs w:val="24"/>
        </w:rPr>
        <w:t>Dr. Zubair</w:t>
      </w:r>
      <w:r w:rsidR="00FD34F8" w:rsidRPr="00671D6D">
        <w:rPr>
          <w:rFonts w:eastAsia="Times New Roman" w:cstheme="minorHAnsi"/>
          <w:color w:val="222222"/>
          <w:sz w:val="24"/>
          <w:szCs w:val="24"/>
        </w:rPr>
        <w:t xml:space="preserve"> Umer Mohamed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’s comment lucidly articulates the 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 xml:space="preserve">practical </w:t>
      </w:r>
      <w:r w:rsidR="00F4073C" w:rsidRPr="00671D6D">
        <w:rPr>
          <w:rFonts w:eastAsia="Times New Roman" w:cstheme="minorHAnsi"/>
          <w:color w:val="222222"/>
          <w:sz w:val="24"/>
          <w:szCs w:val="24"/>
        </w:rPr>
        <w:t>issues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F4073C" w:rsidRPr="00671D6D">
        <w:rPr>
          <w:rFonts w:eastAsia="Times New Roman" w:cstheme="minorHAnsi"/>
          <w:color w:val="222222"/>
          <w:sz w:val="24"/>
          <w:szCs w:val="24"/>
        </w:rPr>
        <w:t>especially in Kerala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>, arising from the linking of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 brain stem death 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>certification t</w:t>
      </w:r>
      <w:r w:rsidRPr="00671D6D">
        <w:rPr>
          <w:rFonts w:eastAsia="Times New Roman" w:cstheme="minorHAnsi"/>
          <w:color w:val="222222"/>
          <w:sz w:val="24"/>
          <w:szCs w:val="24"/>
        </w:rPr>
        <w:t>o organ donation. Our article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 advocates the delinking of brain stem death from organ donation for precisely th</w:t>
      </w:r>
      <w:r w:rsidR="00E8529B" w:rsidRPr="00671D6D">
        <w:rPr>
          <w:rFonts w:eastAsia="Times New Roman" w:cstheme="minorHAnsi"/>
          <w:color w:val="222222"/>
          <w:sz w:val="24"/>
          <w:szCs w:val="24"/>
        </w:rPr>
        <w:t xml:space="preserve">ese </w:t>
      </w:r>
      <w:r w:rsidR="00B7763E" w:rsidRPr="00671D6D">
        <w:rPr>
          <w:rFonts w:eastAsia="Times New Roman" w:cstheme="minorHAnsi"/>
          <w:color w:val="222222"/>
          <w:sz w:val="24"/>
          <w:szCs w:val="24"/>
        </w:rPr>
        <w:t>reasons</w:t>
      </w:r>
      <w:r w:rsidR="00E8529B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671D6D">
        <w:rPr>
          <w:rFonts w:eastAsia="Times New Roman" w:cstheme="minorHAnsi"/>
          <w:color w:val="222222"/>
          <w:sz w:val="24"/>
          <w:szCs w:val="24"/>
        </w:rPr>
        <w:t>and stresses the need for a uniform definition of death.</w:t>
      </w:r>
      <w:r w:rsidR="00D6308B" w:rsidRPr="00671D6D">
        <w:rPr>
          <w:rFonts w:eastAsia="Times New Roman" w:cstheme="minorHAnsi"/>
          <w:color w:val="222222"/>
          <w:sz w:val="24"/>
          <w:szCs w:val="24"/>
          <w:vertAlign w:val="superscript"/>
        </w:rPr>
        <w:t>1</w:t>
      </w:r>
      <w:r w:rsidR="00E010B0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 xml:space="preserve">We agree with 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Dr. </w:t>
      </w:r>
      <w:r w:rsidR="00E010B0" w:rsidRPr="00671D6D">
        <w:rPr>
          <w:rFonts w:eastAsia="Times New Roman" w:cstheme="minorHAnsi"/>
          <w:color w:val="222222"/>
          <w:sz w:val="24"/>
          <w:szCs w:val="24"/>
        </w:rPr>
        <w:t>Mohamed</w:t>
      </w:r>
      <w:r w:rsidR="00F231F1" w:rsidRPr="00671D6D">
        <w:rPr>
          <w:rFonts w:eastAsia="Times New Roman" w:cstheme="minorHAnsi"/>
          <w:color w:val="222222"/>
          <w:sz w:val="24"/>
          <w:szCs w:val="24"/>
        </w:rPr>
        <w:t xml:space="preserve"> that ICU doctors should not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 presuppose that </w:t>
      </w:r>
      <w:r w:rsidR="00FD34F8" w:rsidRPr="00671D6D">
        <w:rPr>
          <w:rFonts w:eastAsia="Times New Roman" w:cstheme="minorHAnsi"/>
          <w:color w:val="222222"/>
          <w:sz w:val="24"/>
          <w:szCs w:val="24"/>
        </w:rPr>
        <w:t>brain stem death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 testing needs to be done only once</w:t>
      </w:r>
      <w:r w:rsidR="00BF4F70" w:rsidRPr="00671D6D">
        <w:rPr>
          <w:rFonts w:eastAsia="Times New Roman" w:cstheme="minorHAnsi"/>
          <w:color w:val="222222"/>
          <w:sz w:val="24"/>
          <w:szCs w:val="24"/>
        </w:rPr>
        <w:t>,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 if organ donation is not going to </w:t>
      </w:r>
      <w:r w:rsidR="00BF4F70" w:rsidRPr="00671D6D">
        <w:rPr>
          <w:rFonts w:eastAsia="Times New Roman" w:cstheme="minorHAnsi"/>
          <w:color w:val="222222"/>
          <w:sz w:val="24"/>
          <w:szCs w:val="24"/>
        </w:rPr>
        <w:t>take place</w:t>
      </w:r>
      <w:r w:rsidRPr="00671D6D">
        <w:rPr>
          <w:rFonts w:eastAsia="Times New Roman" w:cstheme="minorHAnsi"/>
          <w:color w:val="222222"/>
          <w:sz w:val="24"/>
          <w:szCs w:val="24"/>
        </w:rPr>
        <w:t>.</w:t>
      </w:r>
      <w:r w:rsidR="00B7763E" w:rsidRPr="00671D6D">
        <w:rPr>
          <w:rFonts w:eastAsia="Times New Roman" w:cstheme="minorHAnsi"/>
          <w:color w:val="222222"/>
          <w:sz w:val="24"/>
          <w:szCs w:val="24"/>
          <w:vertAlign w:val="superscript"/>
        </w:rPr>
        <w:t>2</w:t>
      </w:r>
      <w:r w:rsidR="00383448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67B4D" w:rsidRPr="00671D6D">
        <w:rPr>
          <w:rFonts w:eastAsia="Times New Roman" w:cstheme="minorHAnsi"/>
          <w:color w:val="222222"/>
          <w:sz w:val="24"/>
          <w:szCs w:val="24"/>
        </w:rPr>
        <w:t xml:space="preserve"> However</w:t>
      </w:r>
      <w:r w:rsidR="0009239E" w:rsidRPr="00671D6D">
        <w:rPr>
          <w:rFonts w:eastAsia="Times New Roman" w:cstheme="minorHAnsi"/>
          <w:color w:val="222222"/>
          <w:sz w:val="24"/>
          <w:szCs w:val="24"/>
        </w:rPr>
        <w:t>,</w:t>
      </w:r>
      <w:r w:rsidR="00B67B4D" w:rsidRPr="00671D6D">
        <w:rPr>
          <w:rFonts w:eastAsia="Times New Roman" w:cstheme="minorHAnsi"/>
          <w:color w:val="222222"/>
          <w:sz w:val="24"/>
          <w:szCs w:val="24"/>
        </w:rPr>
        <w:t xml:space="preserve"> this practice is </w:t>
      </w:r>
      <w:r w:rsidR="0009239E" w:rsidRPr="00671D6D">
        <w:rPr>
          <w:rFonts w:eastAsia="Times New Roman" w:cstheme="minorHAnsi"/>
          <w:color w:val="222222"/>
          <w:sz w:val="24"/>
          <w:szCs w:val="24"/>
        </w:rPr>
        <w:t>quite widespread</w:t>
      </w:r>
      <w:r w:rsidR="005A0A22" w:rsidRPr="00671D6D">
        <w:rPr>
          <w:rFonts w:eastAsia="Times New Roman" w:cstheme="minorHAnsi"/>
          <w:color w:val="222222"/>
          <w:sz w:val="24"/>
          <w:szCs w:val="24"/>
        </w:rPr>
        <w:t xml:space="preserve"> given the</w:t>
      </w:r>
      <w:r w:rsidR="00DF2A4B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251268" w:rsidRPr="00671D6D">
        <w:rPr>
          <w:rFonts w:eastAsia="Times New Roman" w:cstheme="minorHAnsi"/>
          <w:color w:val="222222"/>
          <w:sz w:val="24"/>
          <w:szCs w:val="24"/>
        </w:rPr>
        <w:t xml:space="preserve">current </w:t>
      </w:r>
      <w:r w:rsidR="00DF2A4B" w:rsidRPr="00671D6D">
        <w:rPr>
          <w:rFonts w:eastAsia="Times New Roman" w:cstheme="minorHAnsi"/>
          <w:color w:val="222222"/>
          <w:sz w:val="24"/>
          <w:szCs w:val="24"/>
        </w:rPr>
        <w:t>understanding of the</w:t>
      </w:r>
      <w:r w:rsidR="005A0A22" w:rsidRPr="00671D6D">
        <w:rPr>
          <w:rFonts w:eastAsia="Times New Roman" w:cstheme="minorHAnsi"/>
          <w:color w:val="222222"/>
          <w:sz w:val="24"/>
          <w:szCs w:val="24"/>
        </w:rPr>
        <w:t xml:space="preserve"> legal f</w:t>
      </w:r>
      <w:r w:rsidR="0079730F" w:rsidRPr="00671D6D">
        <w:rPr>
          <w:rFonts w:eastAsia="Times New Roman" w:cstheme="minorHAnsi"/>
          <w:color w:val="222222"/>
          <w:sz w:val="24"/>
          <w:szCs w:val="24"/>
        </w:rPr>
        <w:t>r</w:t>
      </w:r>
      <w:r w:rsidR="005A0A22" w:rsidRPr="00671D6D">
        <w:rPr>
          <w:rFonts w:eastAsia="Times New Roman" w:cstheme="minorHAnsi"/>
          <w:color w:val="222222"/>
          <w:sz w:val="24"/>
          <w:szCs w:val="24"/>
        </w:rPr>
        <w:t>amework</w:t>
      </w:r>
      <w:r w:rsidR="0009239E" w:rsidRPr="00671D6D"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383448" w:rsidRPr="00671D6D">
        <w:rPr>
          <w:rFonts w:eastAsia="Times New Roman" w:cstheme="minorHAnsi"/>
          <w:color w:val="222222"/>
          <w:sz w:val="24"/>
          <w:szCs w:val="24"/>
        </w:rPr>
        <w:t>A case in point is a</w:t>
      </w:r>
      <w:r w:rsidR="00E74B21" w:rsidRPr="00671D6D">
        <w:rPr>
          <w:rFonts w:cstheme="minorHAnsi"/>
          <w:sz w:val="24"/>
          <w:szCs w:val="24"/>
        </w:rPr>
        <w:t xml:space="preserve"> document </w:t>
      </w:r>
      <w:r w:rsidR="00310C59" w:rsidRPr="00671D6D">
        <w:rPr>
          <w:rFonts w:cstheme="minorHAnsi"/>
          <w:sz w:val="24"/>
          <w:szCs w:val="24"/>
        </w:rPr>
        <w:t>prepared</w:t>
      </w:r>
      <w:r w:rsidR="00E74B21" w:rsidRPr="00671D6D">
        <w:rPr>
          <w:rFonts w:cstheme="minorHAnsi"/>
          <w:sz w:val="24"/>
          <w:szCs w:val="24"/>
        </w:rPr>
        <w:t xml:space="preserve"> for all Military Hospitals in India</w:t>
      </w:r>
      <w:r w:rsidR="00383448" w:rsidRPr="00671D6D">
        <w:rPr>
          <w:rFonts w:cstheme="minorHAnsi"/>
          <w:sz w:val="24"/>
          <w:szCs w:val="24"/>
        </w:rPr>
        <w:t xml:space="preserve"> that</w:t>
      </w:r>
      <w:r w:rsidR="00E74B21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671D6D">
        <w:rPr>
          <w:rFonts w:eastAsia="Times New Roman" w:cstheme="minorHAnsi"/>
          <w:color w:val="222222"/>
          <w:sz w:val="24"/>
          <w:szCs w:val="24"/>
        </w:rPr>
        <w:t xml:space="preserve">states </w:t>
      </w:r>
      <w:r w:rsidR="00BF4F70" w:rsidRPr="00671D6D">
        <w:rPr>
          <w:rFonts w:eastAsia="Times New Roman" w:cstheme="minorHAnsi"/>
          <w:color w:val="222222"/>
          <w:sz w:val="24"/>
          <w:szCs w:val="24"/>
        </w:rPr>
        <w:t>t</w:t>
      </w:r>
      <w:r w:rsidR="00383448" w:rsidRPr="00671D6D">
        <w:rPr>
          <w:rFonts w:eastAsia="Times New Roman" w:cstheme="minorHAnsi"/>
          <w:color w:val="222222"/>
          <w:sz w:val="24"/>
          <w:szCs w:val="24"/>
        </w:rPr>
        <w:t>he following</w:t>
      </w:r>
      <w:r w:rsidR="0079730F" w:rsidRPr="00671D6D">
        <w:rPr>
          <w:rFonts w:eastAsia="Times New Roman" w:cstheme="minorHAnsi"/>
          <w:color w:val="222222"/>
          <w:sz w:val="24"/>
          <w:szCs w:val="24"/>
        </w:rPr>
        <w:t xml:space="preserve"> with regard to the Transplantation of Human Organs Act (THOA) 1</w:t>
      </w:r>
      <w:r w:rsidR="00310C59" w:rsidRPr="00671D6D">
        <w:rPr>
          <w:rFonts w:eastAsia="Times New Roman" w:cstheme="minorHAnsi"/>
          <w:color w:val="222222"/>
          <w:sz w:val="24"/>
          <w:szCs w:val="24"/>
        </w:rPr>
        <w:t>9</w:t>
      </w:r>
      <w:r w:rsidR="0079730F" w:rsidRPr="00671D6D">
        <w:rPr>
          <w:rFonts w:eastAsia="Times New Roman" w:cstheme="minorHAnsi"/>
          <w:color w:val="222222"/>
          <w:sz w:val="24"/>
          <w:szCs w:val="24"/>
        </w:rPr>
        <w:t xml:space="preserve">94 and Transplantation of Human Organs (THO) Rules </w:t>
      </w:r>
      <w:r w:rsidR="00383448" w:rsidRPr="00671D6D">
        <w:rPr>
          <w:rFonts w:eastAsia="Times New Roman" w:cstheme="minorHAnsi"/>
          <w:color w:val="222222"/>
          <w:sz w:val="24"/>
          <w:szCs w:val="24"/>
        </w:rPr>
        <w:t xml:space="preserve">- </w:t>
      </w:r>
      <w:r w:rsidR="00BF4F70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39FE8622" w14:textId="798EB98A" w:rsidR="00101A36" w:rsidRPr="00671D6D" w:rsidRDefault="00383448" w:rsidP="00BF4F70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  <w:r w:rsidRPr="00671D6D">
        <w:rPr>
          <w:rFonts w:eastAsia="Times New Roman" w:cstheme="minorHAnsi"/>
          <w:color w:val="222222"/>
          <w:sz w:val="24"/>
          <w:szCs w:val="24"/>
        </w:rPr>
        <w:t>“</w:t>
      </w:r>
      <w:r w:rsidR="00BF4F70" w:rsidRPr="00671D6D">
        <w:rPr>
          <w:rFonts w:cstheme="minorHAnsi"/>
          <w:sz w:val="24"/>
          <w:szCs w:val="24"/>
        </w:rPr>
        <w:t>THOA 1994 and THO Rules 1995 are the only laws wherein brain death certification procedures have been laid down. If a patient is declared Brain Dead after the second test but the relatives do not give consent or withdraw consent the same level of treatment has to continue with no withholding/withdrawal as per this Act. Indian Laws do not permit for ventilator to be disconnected and the ICU team is liable for ventilating a 'Dead Patient' in such a scenario, which may lead to disharmony between caregivers and relatives. Hence it is suggested that the counselling and consent for Organ Harvesting be taken without any ambiguity before a second BSD testing. In case of any ambiguity, the second BSD test should be withheld and patient should be managed accordingly by not escalating therapy.</w:t>
      </w:r>
      <w:r w:rsidRPr="00671D6D">
        <w:rPr>
          <w:rFonts w:cstheme="minorHAnsi"/>
          <w:sz w:val="24"/>
          <w:szCs w:val="24"/>
        </w:rPr>
        <w:t>”</w:t>
      </w:r>
      <w:r w:rsidR="009D0C1C" w:rsidRPr="00671D6D">
        <w:rPr>
          <w:rFonts w:cstheme="minorHAnsi"/>
          <w:sz w:val="24"/>
          <w:szCs w:val="24"/>
          <w:vertAlign w:val="superscript"/>
        </w:rPr>
        <w:t>3</w:t>
      </w:r>
    </w:p>
    <w:p w14:paraId="10E2DD11" w14:textId="77777777" w:rsidR="00BA30EC" w:rsidRDefault="00BA30EC" w:rsidP="00BF4F70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</w:p>
    <w:p w14:paraId="17D23792" w14:textId="5D39B100" w:rsidR="00C27400" w:rsidRPr="00671D6D" w:rsidRDefault="006E340F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cstheme="minorHAnsi"/>
          <w:sz w:val="24"/>
          <w:szCs w:val="24"/>
        </w:rPr>
        <w:t>While delinking organ donation from brain stem death will</w:t>
      </w:r>
      <w:r w:rsidR="00A833C3" w:rsidRPr="00671D6D">
        <w:rPr>
          <w:rFonts w:cstheme="minorHAnsi"/>
          <w:sz w:val="24"/>
          <w:szCs w:val="24"/>
        </w:rPr>
        <w:t xml:space="preserve"> go a long way </w:t>
      </w:r>
      <w:r w:rsidR="00310C59" w:rsidRPr="00671D6D">
        <w:rPr>
          <w:rFonts w:cstheme="minorHAnsi"/>
          <w:sz w:val="24"/>
          <w:szCs w:val="24"/>
        </w:rPr>
        <w:t>towards</w:t>
      </w:r>
      <w:r w:rsidRPr="00671D6D">
        <w:rPr>
          <w:rFonts w:cstheme="minorHAnsi"/>
          <w:sz w:val="24"/>
          <w:szCs w:val="24"/>
        </w:rPr>
        <w:t xml:space="preserve"> creat</w:t>
      </w:r>
      <w:r w:rsidR="00A833C3" w:rsidRPr="00671D6D">
        <w:rPr>
          <w:rFonts w:cstheme="minorHAnsi"/>
          <w:sz w:val="24"/>
          <w:szCs w:val="24"/>
        </w:rPr>
        <w:t>ing</w:t>
      </w:r>
      <w:r w:rsidRPr="00671D6D">
        <w:rPr>
          <w:rFonts w:cstheme="minorHAnsi"/>
          <w:sz w:val="24"/>
          <w:szCs w:val="24"/>
        </w:rPr>
        <w:t xml:space="preserve"> a climate of comfort and trust for doctors as well as families of patients, it may take a while for disconnection of the ventilator to happen </w:t>
      </w:r>
      <w:r w:rsidR="001371E2" w:rsidRPr="00671D6D">
        <w:rPr>
          <w:rFonts w:cstheme="minorHAnsi"/>
          <w:sz w:val="24"/>
          <w:szCs w:val="24"/>
        </w:rPr>
        <w:t>on the ground when there is no organ donation</w:t>
      </w:r>
      <w:r w:rsidR="000053B0" w:rsidRPr="00671D6D">
        <w:rPr>
          <w:rFonts w:cstheme="minorHAnsi"/>
          <w:sz w:val="24"/>
          <w:szCs w:val="24"/>
        </w:rPr>
        <w:t>, either because families want ventilation to continue or because doctor</w:t>
      </w:r>
      <w:r w:rsidR="00A833C3" w:rsidRPr="00671D6D">
        <w:rPr>
          <w:rFonts w:cstheme="minorHAnsi"/>
          <w:sz w:val="24"/>
          <w:szCs w:val="24"/>
        </w:rPr>
        <w:t>s decide</w:t>
      </w:r>
      <w:r w:rsidR="000053B0" w:rsidRPr="00671D6D">
        <w:rPr>
          <w:rFonts w:cstheme="minorHAnsi"/>
          <w:sz w:val="24"/>
          <w:szCs w:val="24"/>
        </w:rPr>
        <w:t xml:space="preserve"> to</w:t>
      </w:r>
      <w:r w:rsidRPr="00671D6D">
        <w:rPr>
          <w:rFonts w:cstheme="minorHAnsi"/>
          <w:sz w:val="24"/>
          <w:szCs w:val="24"/>
        </w:rPr>
        <w:t xml:space="preserve">. </w:t>
      </w:r>
      <w:r w:rsidR="0067104B" w:rsidRPr="00671D6D">
        <w:rPr>
          <w:rFonts w:cstheme="minorHAnsi"/>
          <w:sz w:val="24"/>
          <w:szCs w:val="24"/>
        </w:rPr>
        <w:t xml:space="preserve">One could </w:t>
      </w:r>
      <w:r w:rsidR="0067104B" w:rsidRPr="00671D6D">
        <w:rPr>
          <w:rFonts w:cstheme="minorHAnsi"/>
          <w:sz w:val="24"/>
          <w:szCs w:val="24"/>
        </w:rPr>
        <w:lastRenderedPageBreak/>
        <w:t xml:space="preserve">look </w:t>
      </w:r>
      <w:r w:rsidR="00536CF1" w:rsidRPr="00671D6D">
        <w:rPr>
          <w:rFonts w:cstheme="minorHAnsi"/>
          <w:sz w:val="24"/>
          <w:szCs w:val="24"/>
        </w:rPr>
        <w:t>at a study from</w:t>
      </w:r>
      <w:r w:rsidR="0067104B" w:rsidRPr="00671D6D">
        <w:rPr>
          <w:rFonts w:cstheme="minorHAnsi"/>
          <w:sz w:val="24"/>
          <w:szCs w:val="24"/>
        </w:rPr>
        <w:t xml:space="preserve"> Spain which is considered the leader in deceased donation with an organ donation rate of 48</w:t>
      </w:r>
      <w:r w:rsidR="00F75B73" w:rsidRPr="00671D6D">
        <w:rPr>
          <w:rFonts w:cstheme="minorHAnsi"/>
          <w:sz w:val="24"/>
          <w:szCs w:val="24"/>
        </w:rPr>
        <w:t>.3</w:t>
      </w:r>
      <w:r w:rsidR="0067104B" w:rsidRPr="00671D6D">
        <w:rPr>
          <w:rFonts w:cstheme="minorHAnsi"/>
          <w:sz w:val="24"/>
          <w:szCs w:val="24"/>
        </w:rPr>
        <w:t xml:space="preserve"> per million population in 2018</w:t>
      </w:r>
      <w:r w:rsidR="00F75B73" w:rsidRPr="00671D6D">
        <w:rPr>
          <w:rFonts w:cstheme="minorHAnsi"/>
          <w:sz w:val="24"/>
          <w:szCs w:val="24"/>
        </w:rPr>
        <w:t xml:space="preserve"> (includ</w:t>
      </w:r>
      <w:r w:rsidR="00A908A1" w:rsidRPr="00671D6D">
        <w:rPr>
          <w:rFonts w:cstheme="minorHAnsi"/>
          <w:sz w:val="24"/>
          <w:szCs w:val="24"/>
        </w:rPr>
        <w:t>es</w:t>
      </w:r>
      <w:r w:rsidR="00F75B73" w:rsidRPr="00671D6D">
        <w:rPr>
          <w:rFonts w:cstheme="minorHAnsi"/>
          <w:sz w:val="24"/>
          <w:szCs w:val="24"/>
        </w:rPr>
        <w:t xml:space="preserve"> </w:t>
      </w:r>
      <w:r w:rsidR="00536CF1" w:rsidRPr="00671D6D">
        <w:rPr>
          <w:rFonts w:cstheme="minorHAnsi"/>
          <w:sz w:val="24"/>
          <w:szCs w:val="24"/>
        </w:rPr>
        <w:t>d</w:t>
      </w:r>
      <w:r w:rsidR="00F75B73" w:rsidRPr="00671D6D">
        <w:rPr>
          <w:rFonts w:cstheme="minorHAnsi"/>
          <w:sz w:val="24"/>
          <w:szCs w:val="24"/>
        </w:rPr>
        <w:t xml:space="preserve">eceased </w:t>
      </w:r>
      <w:r w:rsidR="00536CF1" w:rsidRPr="00671D6D">
        <w:rPr>
          <w:rFonts w:cstheme="minorHAnsi"/>
          <w:sz w:val="24"/>
          <w:szCs w:val="24"/>
        </w:rPr>
        <w:t>d</w:t>
      </w:r>
      <w:r w:rsidR="00F75B73" w:rsidRPr="00671D6D">
        <w:rPr>
          <w:rFonts w:cstheme="minorHAnsi"/>
          <w:sz w:val="24"/>
          <w:szCs w:val="24"/>
        </w:rPr>
        <w:t>onors from Donation after Brain Death as well as Donation after Circulatory Death)</w:t>
      </w:r>
      <w:r w:rsidR="0067104B" w:rsidRPr="00671D6D">
        <w:rPr>
          <w:rFonts w:cstheme="minorHAnsi"/>
          <w:sz w:val="24"/>
          <w:szCs w:val="24"/>
        </w:rPr>
        <w:t>.</w:t>
      </w:r>
      <w:r w:rsidR="0067104B" w:rsidRPr="00671D6D">
        <w:rPr>
          <w:rFonts w:cstheme="minorHAnsi"/>
          <w:sz w:val="24"/>
          <w:szCs w:val="24"/>
          <w:vertAlign w:val="superscript"/>
        </w:rPr>
        <w:t>4</w:t>
      </w:r>
      <w:r w:rsidR="0067104B" w:rsidRPr="00671D6D">
        <w:rPr>
          <w:rFonts w:cstheme="minorHAnsi"/>
          <w:sz w:val="24"/>
          <w:szCs w:val="24"/>
        </w:rPr>
        <w:t xml:space="preserve"> </w:t>
      </w:r>
      <w:r w:rsidR="00E44BD9" w:rsidRPr="00671D6D">
        <w:rPr>
          <w:rFonts w:cstheme="minorHAnsi"/>
          <w:sz w:val="24"/>
          <w:szCs w:val="24"/>
        </w:rPr>
        <w:t xml:space="preserve">Escudero et al </w:t>
      </w:r>
      <w:r w:rsidR="00A87167" w:rsidRPr="00671D6D">
        <w:rPr>
          <w:rFonts w:cstheme="minorHAnsi"/>
          <w:sz w:val="24"/>
          <w:szCs w:val="24"/>
        </w:rPr>
        <w:t xml:space="preserve">who conducted a multi-centre study of 1844 patients </w:t>
      </w:r>
      <w:r w:rsidR="007B5A2D" w:rsidRPr="00671D6D">
        <w:rPr>
          <w:rFonts w:cstheme="minorHAnsi"/>
          <w:sz w:val="24"/>
          <w:szCs w:val="24"/>
        </w:rPr>
        <w:t xml:space="preserve"> </w:t>
      </w:r>
      <w:r w:rsidR="00A87167" w:rsidRPr="00671D6D">
        <w:rPr>
          <w:rFonts w:cstheme="minorHAnsi"/>
          <w:sz w:val="24"/>
          <w:szCs w:val="24"/>
        </w:rPr>
        <w:t xml:space="preserve">from 42 Spanish intensive care units </w:t>
      </w:r>
      <w:r w:rsidR="00E44BD9" w:rsidRPr="00671D6D">
        <w:rPr>
          <w:rFonts w:cstheme="minorHAnsi"/>
          <w:sz w:val="24"/>
          <w:szCs w:val="24"/>
        </w:rPr>
        <w:t xml:space="preserve">have pointed out that </w:t>
      </w:r>
      <w:r w:rsidR="001371E2" w:rsidRPr="00671D6D">
        <w:rPr>
          <w:rFonts w:cstheme="minorHAnsi"/>
          <w:sz w:val="24"/>
          <w:szCs w:val="24"/>
        </w:rPr>
        <w:t>withdrawal of all treatment after the diagnosis of brain death took place in only</w:t>
      </w:r>
      <w:r w:rsidRPr="00671D6D">
        <w:rPr>
          <w:rFonts w:cstheme="minorHAnsi"/>
          <w:sz w:val="24"/>
          <w:szCs w:val="24"/>
        </w:rPr>
        <w:t xml:space="preserve"> 75% of the </w:t>
      </w:r>
      <w:r w:rsidR="001371E2" w:rsidRPr="00671D6D">
        <w:rPr>
          <w:rFonts w:cstheme="minorHAnsi"/>
          <w:sz w:val="24"/>
          <w:szCs w:val="24"/>
        </w:rPr>
        <w:t>patients who</w:t>
      </w:r>
      <w:r w:rsidR="00B5251B" w:rsidRPr="00671D6D">
        <w:rPr>
          <w:rFonts w:cstheme="minorHAnsi"/>
          <w:sz w:val="24"/>
          <w:szCs w:val="24"/>
        </w:rPr>
        <w:t xml:space="preserve"> did not go on to become organ donors</w:t>
      </w:r>
      <w:r w:rsidR="007A59F8" w:rsidRPr="00671D6D">
        <w:rPr>
          <w:rFonts w:cstheme="minorHAnsi"/>
          <w:sz w:val="24"/>
          <w:szCs w:val="24"/>
        </w:rPr>
        <w:t xml:space="preserve"> and t</w:t>
      </w:r>
      <w:r w:rsidR="000053B0" w:rsidRPr="00671D6D">
        <w:rPr>
          <w:rFonts w:cstheme="minorHAnsi"/>
          <w:sz w:val="24"/>
          <w:szCs w:val="24"/>
        </w:rPr>
        <w:t xml:space="preserve">his </w:t>
      </w:r>
      <w:r w:rsidR="00B81088" w:rsidRPr="00671D6D">
        <w:rPr>
          <w:rFonts w:cstheme="minorHAnsi"/>
          <w:sz w:val="24"/>
          <w:szCs w:val="24"/>
        </w:rPr>
        <w:t>was</w:t>
      </w:r>
      <w:r w:rsidR="000053B0" w:rsidRPr="00671D6D">
        <w:rPr>
          <w:rFonts w:cstheme="minorHAnsi"/>
          <w:sz w:val="24"/>
          <w:szCs w:val="24"/>
        </w:rPr>
        <w:t xml:space="preserve"> attributed to some healthcare professionals </w:t>
      </w:r>
      <w:r w:rsidR="007A59F8" w:rsidRPr="00671D6D">
        <w:rPr>
          <w:rFonts w:cstheme="minorHAnsi"/>
          <w:sz w:val="24"/>
          <w:szCs w:val="24"/>
        </w:rPr>
        <w:t xml:space="preserve">who </w:t>
      </w:r>
      <w:r w:rsidR="001E216D" w:rsidRPr="00671D6D">
        <w:rPr>
          <w:rFonts w:cstheme="minorHAnsi"/>
          <w:sz w:val="24"/>
          <w:szCs w:val="24"/>
        </w:rPr>
        <w:t>did</w:t>
      </w:r>
      <w:r w:rsidR="007A59F8" w:rsidRPr="00671D6D">
        <w:rPr>
          <w:rFonts w:cstheme="minorHAnsi"/>
          <w:sz w:val="24"/>
          <w:szCs w:val="24"/>
        </w:rPr>
        <w:t xml:space="preserve"> not consider brain death equivalent to the death of the person by circulatory criteria.</w:t>
      </w:r>
      <w:r w:rsidR="007A59F8" w:rsidRPr="00671D6D">
        <w:rPr>
          <w:rFonts w:cstheme="minorHAnsi"/>
          <w:sz w:val="24"/>
          <w:szCs w:val="24"/>
          <w:vertAlign w:val="superscript"/>
        </w:rPr>
        <w:t>5</w:t>
      </w:r>
      <w:r w:rsidR="00B05585" w:rsidRPr="00671D6D">
        <w:rPr>
          <w:rFonts w:cstheme="minorHAnsi"/>
          <w:sz w:val="24"/>
          <w:szCs w:val="24"/>
        </w:rPr>
        <w:t xml:space="preserve"> Dr. Mohamed also </w:t>
      </w:r>
      <w:r w:rsidR="0004343F" w:rsidRPr="00671D6D">
        <w:rPr>
          <w:rFonts w:cstheme="minorHAnsi"/>
          <w:sz w:val="24"/>
          <w:szCs w:val="24"/>
        </w:rPr>
        <w:t>outlines the dilemmas that healthcare professional</w:t>
      </w:r>
      <w:r w:rsidR="00EB0F12" w:rsidRPr="00671D6D">
        <w:rPr>
          <w:rFonts w:cstheme="minorHAnsi"/>
          <w:sz w:val="24"/>
          <w:szCs w:val="24"/>
        </w:rPr>
        <w:t>s</w:t>
      </w:r>
      <w:r w:rsidR="00B05585" w:rsidRPr="00671D6D">
        <w:rPr>
          <w:rFonts w:cstheme="minorHAnsi"/>
          <w:sz w:val="24"/>
          <w:szCs w:val="24"/>
        </w:rPr>
        <w:t xml:space="preserve"> </w:t>
      </w:r>
      <w:r w:rsidR="0004343F" w:rsidRPr="00671D6D">
        <w:rPr>
          <w:rFonts w:cstheme="minorHAnsi"/>
          <w:sz w:val="24"/>
          <w:szCs w:val="24"/>
        </w:rPr>
        <w:t xml:space="preserve">face </w:t>
      </w:r>
      <w:r w:rsidR="00B05585" w:rsidRPr="00671D6D">
        <w:rPr>
          <w:rFonts w:cstheme="minorHAnsi"/>
          <w:sz w:val="24"/>
          <w:szCs w:val="24"/>
        </w:rPr>
        <w:t xml:space="preserve">when relatives refuse to acknowledge brain death. This </w:t>
      </w:r>
      <w:r w:rsidR="00EB0F12" w:rsidRPr="00671D6D">
        <w:rPr>
          <w:rFonts w:cstheme="minorHAnsi"/>
          <w:sz w:val="24"/>
          <w:szCs w:val="24"/>
        </w:rPr>
        <w:t>makes a case for formulating guidelines to help healthcare professionals in such situations.</w:t>
      </w:r>
      <w:r w:rsidR="00EB0F12" w:rsidRPr="00671D6D">
        <w:rPr>
          <w:rFonts w:cstheme="minorHAnsi"/>
          <w:sz w:val="24"/>
          <w:szCs w:val="24"/>
          <w:vertAlign w:val="superscript"/>
        </w:rPr>
        <w:t>6</w:t>
      </w:r>
      <w:r w:rsidR="001F7E00" w:rsidRPr="00671D6D">
        <w:rPr>
          <w:rFonts w:cstheme="minorHAnsi"/>
          <w:sz w:val="24"/>
          <w:szCs w:val="24"/>
        </w:rPr>
        <w:t xml:space="preserve"> </w:t>
      </w:r>
      <w:r w:rsidR="00FF3E5A" w:rsidRPr="00671D6D">
        <w:rPr>
          <w:rFonts w:eastAsia="Times New Roman" w:cstheme="minorHAnsi"/>
          <w:color w:val="222222"/>
          <w:sz w:val="24"/>
          <w:szCs w:val="24"/>
        </w:rPr>
        <w:t xml:space="preserve">The 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>I</w:t>
      </w:r>
      <w:r w:rsidR="00192A66" w:rsidRPr="00671D6D">
        <w:rPr>
          <w:rFonts w:eastAsia="Times New Roman" w:cstheme="minorHAnsi"/>
          <w:color w:val="222222"/>
          <w:sz w:val="24"/>
          <w:szCs w:val="24"/>
        </w:rPr>
        <w:t>ndian Council of Medical Research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22204" w:rsidRPr="00671D6D">
        <w:rPr>
          <w:rFonts w:eastAsia="Times New Roman" w:cstheme="minorHAnsi"/>
          <w:color w:val="222222"/>
          <w:sz w:val="24"/>
          <w:szCs w:val="24"/>
        </w:rPr>
        <w:t xml:space="preserve">has recently 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>draft</w:t>
      </w:r>
      <w:r w:rsidR="00722204" w:rsidRPr="00671D6D">
        <w:rPr>
          <w:rFonts w:eastAsia="Times New Roman" w:cstheme="minorHAnsi"/>
          <w:color w:val="222222"/>
          <w:sz w:val="24"/>
          <w:szCs w:val="24"/>
        </w:rPr>
        <w:t>ed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22204" w:rsidRPr="00671D6D">
        <w:rPr>
          <w:rFonts w:eastAsia="Times New Roman" w:cstheme="minorHAnsi"/>
          <w:color w:val="222222"/>
          <w:sz w:val="24"/>
          <w:szCs w:val="24"/>
        </w:rPr>
        <w:t xml:space="preserve">a position 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 xml:space="preserve">paper on </w:t>
      </w:r>
      <w:r w:rsidR="00192A66" w:rsidRPr="00671D6D">
        <w:rPr>
          <w:rFonts w:eastAsia="Times New Roman" w:cstheme="minorHAnsi"/>
          <w:color w:val="222222"/>
          <w:sz w:val="24"/>
          <w:szCs w:val="24"/>
        </w:rPr>
        <w:t>‘Do Not Attempt Resuscitation’</w:t>
      </w:r>
      <w:r w:rsidR="00827134" w:rsidRPr="00671D6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33758C" w:rsidRPr="00671D6D">
        <w:rPr>
          <w:rFonts w:eastAsia="Times New Roman" w:cstheme="minorHAnsi"/>
          <w:color w:val="222222"/>
          <w:sz w:val="24"/>
          <w:szCs w:val="24"/>
        </w:rPr>
        <w:t xml:space="preserve">(DNAR) </w:t>
      </w:r>
      <w:r w:rsidR="001F7E00" w:rsidRPr="00671D6D">
        <w:rPr>
          <w:rFonts w:eastAsia="Times New Roman" w:cstheme="minorHAnsi"/>
          <w:color w:val="222222"/>
          <w:sz w:val="24"/>
          <w:szCs w:val="24"/>
        </w:rPr>
        <w:t xml:space="preserve">to guide treating physicians. The intention is </w:t>
      </w:r>
      <w:r w:rsidR="004B667A" w:rsidRPr="00671D6D">
        <w:rPr>
          <w:rFonts w:eastAsia="Times New Roman" w:cstheme="minorHAnsi"/>
          <w:color w:val="222222"/>
          <w:sz w:val="24"/>
          <w:szCs w:val="24"/>
        </w:rPr>
        <w:t>to not</w:t>
      </w:r>
      <w:r w:rsidR="001F7E00" w:rsidRPr="00671D6D">
        <w:rPr>
          <w:rFonts w:eastAsia="Times New Roman" w:cstheme="minorHAnsi"/>
          <w:color w:val="222222"/>
          <w:sz w:val="24"/>
          <w:szCs w:val="24"/>
        </w:rPr>
        <w:t xml:space="preserve"> prolong the suffering of patients with incurable disease and avoid non-beneficial cardio-pulmonary resuscitation (CPR) in such patients.</w:t>
      </w:r>
      <w:r w:rsidR="001F7E00" w:rsidRPr="00671D6D">
        <w:rPr>
          <w:rFonts w:eastAsia="Times New Roman" w:cstheme="minorHAnsi"/>
          <w:color w:val="222222"/>
          <w:sz w:val="24"/>
          <w:szCs w:val="24"/>
          <w:vertAlign w:val="superscript"/>
        </w:rPr>
        <w:t>7</w:t>
      </w:r>
      <w:r w:rsidR="00C27400" w:rsidRPr="00671D6D">
        <w:rPr>
          <w:rFonts w:eastAsia="Times New Roman" w:cstheme="minorHAnsi"/>
          <w:color w:val="222222"/>
          <w:sz w:val="24"/>
          <w:szCs w:val="24"/>
        </w:rPr>
        <w:t xml:space="preserve"> This could well inform the first step in disconnecting the ventilator in brain death situations</w:t>
      </w:r>
      <w:r w:rsidR="0033758C" w:rsidRPr="00671D6D">
        <w:rPr>
          <w:rFonts w:eastAsia="Times New Roman" w:cstheme="minorHAnsi"/>
          <w:color w:val="222222"/>
          <w:sz w:val="24"/>
          <w:szCs w:val="24"/>
        </w:rPr>
        <w:t xml:space="preserve"> too</w:t>
      </w:r>
      <w:r w:rsidR="00C27400" w:rsidRPr="00671D6D">
        <w:rPr>
          <w:rFonts w:eastAsia="Times New Roman" w:cstheme="minorHAnsi"/>
          <w:color w:val="222222"/>
          <w:sz w:val="24"/>
          <w:szCs w:val="24"/>
        </w:rPr>
        <w:t>.</w:t>
      </w:r>
    </w:p>
    <w:p w14:paraId="19A2A82F" w14:textId="7E838D57" w:rsidR="00BF4F70" w:rsidRPr="00671D6D" w:rsidRDefault="001F7E00" w:rsidP="00BF4F70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eastAsia="Times New Roman" w:cstheme="minorHAnsi"/>
          <w:color w:val="222222"/>
          <w:sz w:val="24"/>
          <w:szCs w:val="24"/>
        </w:rPr>
        <w:t xml:space="preserve">   </w:t>
      </w:r>
    </w:p>
    <w:p w14:paraId="36838919" w14:textId="2191E807" w:rsidR="00101A36" w:rsidRPr="00671D6D" w:rsidRDefault="00BF4F70" w:rsidP="00BF4F70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671D6D">
        <w:rPr>
          <w:rFonts w:eastAsia="Times New Roman" w:cstheme="minorHAnsi"/>
          <w:b/>
          <w:bCs/>
          <w:color w:val="222222"/>
          <w:sz w:val="24"/>
          <w:szCs w:val="24"/>
        </w:rPr>
        <w:t>Reference</w:t>
      </w:r>
      <w:r w:rsidR="00383448" w:rsidRPr="00671D6D">
        <w:rPr>
          <w:rFonts w:eastAsia="Times New Roman" w:cstheme="minorHAnsi"/>
          <w:b/>
          <w:bCs/>
          <w:color w:val="222222"/>
          <w:sz w:val="24"/>
          <w:szCs w:val="24"/>
        </w:rPr>
        <w:t>s</w:t>
      </w:r>
    </w:p>
    <w:p w14:paraId="757F0AF0" w14:textId="055B2984" w:rsidR="00383448" w:rsidRDefault="00E862C1" w:rsidP="00E862C1">
      <w:pPr>
        <w:shd w:val="clear" w:color="auto" w:fill="FFFFFF"/>
        <w:spacing w:after="0" w:line="360" w:lineRule="auto"/>
        <w:rPr>
          <w:rFonts w:cstheme="minorHAnsi"/>
          <w:color w:val="2B2B2B"/>
          <w:sz w:val="24"/>
          <w:szCs w:val="24"/>
          <w:shd w:val="clear" w:color="auto" w:fill="FFFFFF"/>
        </w:rPr>
      </w:pPr>
      <w:r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1. 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>S</w:t>
      </w:r>
      <w:r w:rsidR="00BA30EC" w:rsidRPr="00671D6D">
        <w:rPr>
          <w:rFonts w:cstheme="minorHAnsi"/>
          <w:color w:val="2B2B2B"/>
          <w:sz w:val="24"/>
          <w:szCs w:val="24"/>
          <w:shd w:val="clear" w:color="auto" w:fill="FFFFFF"/>
        </w:rPr>
        <w:t>hroff</w:t>
      </w:r>
      <w:r w:rsidR="00BA30EC">
        <w:rPr>
          <w:rFonts w:cstheme="minorHAnsi"/>
          <w:color w:val="2B2B2B"/>
          <w:sz w:val="24"/>
          <w:szCs w:val="24"/>
          <w:shd w:val="clear" w:color="auto" w:fill="FFFFFF"/>
        </w:rPr>
        <w:t xml:space="preserve"> Sunil,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 N</w:t>
      </w:r>
      <w:r w:rsidR="00BA30EC" w:rsidRPr="00671D6D">
        <w:rPr>
          <w:rFonts w:cstheme="minorHAnsi"/>
          <w:color w:val="2B2B2B"/>
          <w:sz w:val="24"/>
          <w:szCs w:val="24"/>
          <w:shd w:val="clear" w:color="auto" w:fill="FFFFFF"/>
        </w:rPr>
        <w:t>avin</w:t>
      </w:r>
      <w:r w:rsidR="00BA30EC">
        <w:rPr>
          <w:rFonts w:cstheme="minorHAnsi"/>
          <w:color w:val="2B2B2B"/>
          <w:sz w:val="24"/>
          <w:szCs w:val="24"/>
          <w:shd w:val="clear" w:color="auto" w:fill="FFFFFF"/>
        </w:rPr>
        <w:t xml:space="preserve"> S.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 “Brain death” and “circulatory death”: Need for a uniform definition of death in India. </w:t>
      </w:r>
      <w:r w:rsidR="00BA30EC" w:rsidRPr="00BA30EC">
        <w:rPr>
          <w:rStyle w:val="Strong"/>
          <w:rFonts w:cstheme="minorHAnsi"/>
          <w:b w:val="0"/>
          <w:bCs w:val="0"/>
          <w:i/>
          <w:color w:val="2B2B2B"/>
          <w:sz w:val="24"/>
          <w:szCs w:val="24"/>
          <w:shd w:val="clear" w:color="auto" w:fill="FFFFFF"/>
        </w:rPr>
        <w:t>Indian J Med</w:t>
      </w:r>
      <w:r w:rsidR="00774392" w:rsidRPr="00BA30EC">
        <w:rPr>
          <w:rStyle w:val="Strong"/>
          <w:rFonts w:cstheme="minorHAnsi"/>
          <w:b w:val="0"/>
          <w:bCs w:val="0"/>
          <w:i/>
          <w:color w:val="2B2B2B"/>
          <w:sz w:val="24"/>
          <w:szCs w:val="24"/>
          <w:shd w:val="clear" w:color="auto" w:fill="FFFFFF"/>
        </w:rPr>
        <w:t xml:space="preserve"> Ethics</w:t>
      </w:r>
      <w:r w:rsidR="00BA30EC">
        <w:rPr>
          <w:rFonts w:cstheme="minorHAnsi"/>
          <w:color w:val="2B2B2B"/>
          <w:sz w:val="24"/>
          <w:szCs w:val="24"/>
          <w:shd w:val="clear" w:color="auto" w:fill="FFFFFF"/>
        </w:rPr>
        <w:t>.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 [</w:t>
      </w:r>
      <w:proofErr w:type="spellStart"/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>S.l</w:t>
      </w:r>
      <w:proofErr w:type="spellEnd"/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.], v. 3, n. 4 (NS), p. 321, </w:t>
      </w:r>
      <w:proofErr w:type="spellStart"/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>sep.</w:t>
      </w:r>
      <w:proofErr w:type="spellEnd"/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 xml:space="preserve"> 2018. ISSN 0975-5691. Ava</w:t>
      </w:r>
      <w:r w:rsidR="00425CEE" w:rsidRPr="00671D6D">
        <w:rPr>
          <w:rFonts w:cstheme="minorHAnsi"/>
          <w:color w:val="2B2B2B"/>
          <w:sz w:val="24"/>
          <w:szCs w:val="24"/>
          <w:shd w:val="clear" w:color="auto" w:fill="FFFFFF"/>
        </w:rPr>
        <w:t>ila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>ble at: &lt;</w:t>
      </w:r>
      <w:r w:rsidR="00774392" w:rsidRPr="00671D6D">
        <w:rPr>
          <w:rStyle w:val="Strong"/>
          <w:rFonts w:cstheme="minorHAnsi"/>
          <w:b w:val="0"/>
          <w:bCs w:val="0"/>
          <w:color w:val="2B2B2B"/>
          <w:sz w:val="24"/>
          <w:szCs w:val="24"/>
          <w:shd w:val="clear" w:color="auto" w:fill="FFFFFF"/>
        </w:rPr>
        <w:t>https://ijme.in/articles/brain-death-and-circulatory-death-need-for-a-uniform-definition-of-death-in-india/</w:t>
      </w:r>
      <w:r w:rsidR="00774392" w:rsidRPr="00671D6D">
        <w:rPr>
          <w:rFonts w:cstheme="minorHAnsi"/>
          <w:color w:val="2B2B2B"/>
          <w:sz w:val="24"/>
          <w:szCs w:val="24"/>
          <w:shd w:val="clear" w:color="auto" w:fill="FFFFFF"/>
        </w:rPr>
        <w:t>&gt;. Date accessed: 22 Nov. 2019.</w:t>
      </w:r>
    </w:p>
    <w:p w14:paraId="6A47867A" w14:textId="77777777" w:rsidR="00BA30EC" w:rsidRPr="00671D6D" w:rsidRDefault="00BA30EC" w:rsidP="00E862C1">
      <w:pPr>
        <w:shd w:val="clear" w:color="auto" w:fill="FFFFFF"/>
        <w:spacing w:after="0" w:line="360" w:lineRule="auto"/>
        <w:rPr>
          <w:rFonts w:cstheme="minorHAnsi"/>
          <w:color w:val="2B2B2B"/>
          <w:sz w:val="24"/>
          <w:szCs w:val="24"/>
          <w:shd w:val="clear" w:color="auto" w:fill="FFFFFF"/>
        </w:rPr>
      </w:pPr>
    </w:p>
    <w:p w14:paraId="42C8135D" w14:textId="252BCA2D" w:rsidR="009D0C1C" w:rsidRPr="00671D6D" w:rsidRDefault="00E862C1" w:rsidP="00E862C1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671D6D">
        <w:rPr>
          <w:rFonts w:cstheme="minorHAnsi"/>
          <w:sz w:val="24"/>
          <w:szCs w:val="24"/>
        </w:rPr>
        <w:t xml:space="preserve">2. </w:t>
      </w:r>
      <w:r w:rsidR="009D0C1C" w:rsidRPr="00671D6D">
        <w:rPr>
          <w:rFonts w:cstheme="minorHAnsi"/>
          <w:sz w:val="24"/>
          <w:szCs w:val="24"/>
        </w:rPr>
        <w:t xml:space="preserve">Mohamed ZU. Response to Shroff and </w:t>
      </w:r>
      <w:proofErr w:type="spellStart"/>
      <w:r w:rsidR="009D0C1C" w:rsidRPr="00671D6D">
        <w:rPr>
          <w:rFonts w:cstheme="minorHAnsi"/>
          <w:sz w:val="24"/>
          <w:szCs w:val="24"/>
        </w:rPr>
        <w:t>Navin’s</w:t>
      </w:r>
      <w:proofErr w:type="spellEnd"/>
      <w:r w:rsidR="009D0C1C" w:rsidRPr="00671D6D">
        <w:rPr>
          <w:rFonts w:cstheme="minorHAnsi"/>
          <w:sz w:val="24"/>
          <w:szCs w:val="24"/>
        </w:rPr>
        <w:t xml:space="preserve"> article on “brain death and “circulatory” death in IJME. </w:t>
      </w:r>
      <w:r w:rsidR="009D0C1C" w:rsidRPr="00BA30EC">
        <w:rPr>
          <w:rFonts w:cstheme="minorHAnsi"/>
          <w:i/>
          <w:sz w:val="24"/>
          <w:szCs w:val="24"/>
        </w:rPr>
        <w:t>Indian J Med Ethics</w:t>
      </w:r>
      <w:r w:rsidR="009D0C1C" w:rsidRPr="00671D6D">
        <w:rPr>
          <w:rFonts w:cstheme="minorHAnsi"/>
          <w:sz w:val="24"/>
          <w:szCs w:val="24"/>
        </w:rPr>
        <w:t>. Published online on November 21, 2019. DOI:10.20529/IJME.2019.075.</w:t>
      </w:r>
    </w:p>
    <w:p w14:paraId="15A92EBB" w14:textId="77777777" w:rsidR="00BA30EC" w:rsidRDefault="00BA30EC" w:rsidP="006A49EF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</w:p>
    <w:p w14:paraId="6D5BF29B" w14:textId="7792266F" w:rsidR="00D16869" w:rsidRPr="00671D6D" w:rsidRDefault="009D0C1C" w:rsidP="006A49EF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  <w:r w:rsidRPr="00671D6D">
        <w:rPr>
          <w:rFonts w:cstheme="minorHAnsi"/>
          <w:sz w:val="24"/>
          <w:szCs w:val="24"/>
        </w:rPr>
        <w:t>3</w:t>
      </w:r>
      <w:r w:rsidR="00BF4F70" w:rsidRPr="00671D6D">
        <w:rPr>
          <w:rFonts w:cstheme="minorHAnsi"/>
          <w:sz w:val="24"/>
          <w:szCs w:val="24"/>
        </w:rPr>
        <w:t xml:space="preserve">. Col. Vikas Srivastava et al. Brain stem death certification protocol. </w:t>
      </w:r>
      <w:r w:rsidR="00BF4F70" w:rsidRPr="00671D6D">
        <w:rPr>
          <w:rFonts w:eastAsia="Times New Roman" w:cstheme="minorHAnsi"/>
          <w:color w:val="222222"/>
          <w:sz w:val="24"/>
          <w:szCs w:val="24"/>
        </w:rPr>
        <w:t>Medical Journal Armed Forces India</w:t>
      </w:r>
      <w:r w:rsidR="00BF4F70" w:rsidRPr="00671D6D">
        <w:rPr>
          <w:rFonts w:cstheme="minorHAnsi"/>
          <w:sz w:val="24"/>
          <w:szCs w:val="24"/>
        </w:rPr>
        <w:t xml:space="preserve">. </w:t>
      </w:r>
      <w:r w:rsidR="00685BD4" w:rsidRPr="00671D6D">
        <w:rPr>
          <w:rFonts w:cstheme="minorHAnsi"/>
          <w:sz w:val="24"/>
          <w:szCs w:val="24"/>
        </w:rPr>
        <w:t>Available online at www.sciencedirect.com</w:t>
      </w:r>
      <w:r w:rsidR="005A0A22" w:rsidRPr="00671D6D">
        <w:rPr>
          <w:rFonts w:cstheme="minorHAnsi"/>
          <w:sz w:val="24"/>
          <w:szCs w:val="24"/>
        </w:rPr>
        <w:t>.</w:t>
      </w:r>
      <w:r w:rsidR="00685BD4" w:rsidRPr="00671D6D">
        <w:rPr>
          <w:rFonts w:cstheme="minorHAnsi"/>
          <w:sz w:val="24"/>
          <w:szCs w:val="24"/>
        </w:rPr>
        <w:t xml:space="preserve"> ScienceDirect journal homepage: www.elsevier.com/locate/mjafi</w:t>
      </w:r>
      <w:r w:rsidR="005A0A22" w:rsidRPr="00671D6D">
        <w:rPr>
          <w:rFonts w:cstheme="minorHAnsi"/>
          <w:sz w:val="24"/>
          <w:szCs w:val="24"/>
        </w:rPr>
        <w:t>.</w:t>
      </w:r>
      <w:r w:rsidR="00685BD4" w:rsidRPr="00671D6D">
        <w:rPr>
          <w:rFonts w:cstheme="minorHAnsi"/>
          <w:sz w:val="24"/>
          <w:szCs w:val="24"/>
        </w:rPr>
        <w:t xml:space="preserve"> </w:t>
      </w:r>
      <w:hyperlink r:id="rId6" w:history="1">
        <w:r w:rsidR="00D25FA2" w:rsidRPr="00671D6D">
          <w:rPr>
            <w:rStyle w:val="Hyperlink"/>
            <w:rFonts w:cstheme="minorHAnsi"/>
            <w:sz w:val="24"/>
            <w:szCs w:val="24"/>
          </w:rPr>
          <w:t>http://dx.doi.org/10.1016/j.mjafi.2017.04.002</w:t>
        </w:r>
      </w:hyperlink>
    </w:p>
    <w:p w14:paraId="31C61738" w14:textId="71A2E73D" w:rsidR="00D25FA2" w:rsidRPr="00671D6D" w:rsidRDefault="00D25FA2" w:rsidP="006A49EF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  <w:r w:rsidRPr="00671D6D">
        <w:rPr>
          <w:rFonts w:cstheme="minorHAnsi"/>
          <w:sz w:val="24"/>
          <w:szCs w:val="24"/>
        </w:rPr>
        <w:lastRenderedPageBreak/>
        <w:t xml:space="preserve">4. Global Observatory on Donation and Transplantation. </w:t>
      </w:r>
      <w:hyperlink r:id="rId7" w:history="1">
        <w:r w:rsidRPr="00671D6D">
          <w:rPr>
            <w:rStyle w:val="Hyperlink"/>
            <w:rFonts w:cstheme="minorHAnsi"/>
            <w:sz w:val="24"/>
            <w:szCs w:val="24"/>
          </w:rPr>
          <w:t>http://www.transplant-observatory.org/summary/</w:t>
        </w:r>
      </w:hyperlink>
      <w:r w:rsidRPr="00671D6D">
        <w:rPr>
          <w:rFonts w:cstheme="minorHAnsi"/>
          <w:sz w:val="24"/>
          <w:szCs w:val="24"/>
        </w:rPr>
        <w:t xml:space="preserve"> Last accessed 10 December 2019</w:t>
      </w:r>
    </w:p>
    <w:p w14:paraId="16727914" w14:textId="77777777" w:rsidR="00BA30EC" w:rsidRDefault="00BA30EC" w:rsidP="006A49EF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</w:p>
    <w:p w14:paraId="118DF13F" w14:textId="05C83A31" w:rsidR="005554B2" w:rsidRPr="00671D6D" w:rsidRDefault="005554B2" w:rsidP="006A49EF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  <w:r w:rsidRPr="00671D6D">
        <w:rPr>
          <w:rFonts w:cstheme="minorHAnsi"/>
          <w:sz w:val="24"/>
          <w:szCs w:val="24"/>
        </w:rPr>
        <w:t>5. D. Escudero et al. Intensive care practices in brain death diagnosis and organ donation.</w:t>
      </w:r>
      <w:r w:rsidR="00F846D6" w:rsidRPr="00671D6D">
        <w:rPr>
          <w:rFonts w:cstheme="minorHAnsi"/>
          <w:sz w:val="24"/>
          <w:szCs w:val="24"/>
        </w:rPr>
        <w:t xml:space="preserve"> Anaesthesia 2015, 70, 1130–1139. </w:t>
      </w:r>
      <w:r w:rsidR="007002E4" w:rsidRPr="00671D6D">
        <w:rPr>
          <w:rFonts w:cstheme="minorHAnsi"/>
          <w:sz w:val="24"/>
          <w:szCs w:val="24"/>
        </w:rPr>
        <w:t>doi:10.1111/anae.13065</w:t>
      </w:r>
    </w:p>
    <w:p w14:paraId="409BB022" w14:textId="77777777" w:rsidR="00BA30EC" w:rsidRDefault="00BA30EC" w:rsidP="00E45C8A">
      <w:pPr>
        <w:shd w:val="clear" w:color="auto" w:fill="FFFFFF"/>
        <w:spacing w:line="348" w:lineRule="atLeast"/>
        <w:rPr>
          <w:rFonts w:cstheme="minorHAnsi"/>
          <w:sz w:val="24"/>
          <w:szCs w:val="24"/>
        </w:rPr>
      </w:pPr>
    </w:p>
    <w:p w14:paraId="5173DE74" w14:textId="0BCF78B4" w:rsidR="00E45C8A" w:rsidRPr="00671D6D" w:rsidRDefault="002B5FF0" w:rsidP="00E45C8A">
      <w:pPr>
        <w:shd w:val="clear" w:color="auto" w:fill="FFFFFF"/>
        <w:spacing w:line="348" w:lineRule="atLeast"/>
        <w:rPr>
          <w:rFonts w:cstheme="minorHAnsi"/>
          <w:sz w:val="24"/>
          <w:szCs w:val="24"/>
        </w:rPr>
      </w:pPr>
      <w:r w:rsidRPr="00671D6D">
        <w:rPr>
          <w:rFonts w:cstheme="minorHAnsi"/>
          <w:sz w:val="24"/>
          <w:szCs w:val="24"/>
        </w:rPr>
        <w:t xml:space="preserve">6. </w:t>
      </w:r>
      <w:hyperlink r:id="rId8" w:history="1">
        <w:r w:rsidR="000E1104" w:rsidRPr="00671D6D">
          <w:rPr>
            <w:rStyle w:val="Hyperlink"/>
            <w:rFonts w:cstheme="minorHAnsi"/>
            <w:color w:val="auto"/>
            <w:sz w:val="24"/>
            <w:szCs w:val="24"/>
            <w:u w:val="none"/>
          </w:rPr>
          <w:t>Flamm AL</w:t>
        </w:r>
      </w:hyperlink>
      <w:r w:rsidR="000E1104" w:rsidRPr="00671D6D">
        <w:rPr>
          <w:rFonts w:cstheme="minorHAnsi"/>
          <w:sz w:val="24"/>
          <w:szCs w:val="24"/>
        </w:rPr>
        <w:t>, </w:t>
      </w:r>
      <w:hyperlink r:id="rId9" w:history="1">
        <w:r w:rsidR="000E1104" w:rsidRPr="00671D6D">
          <w:rPr>
            <w:rStyle w:val="Hyperlink"/>
            <w:rFonts w:cstheme="minorHAnsi"/>
            <w:color w:val="auto"/>
            <w:sz w:val="24"/>
            <w:szCs w:val="24"/>
            <w:u w:val="none"/>
          </w:rPr>
          <w:t>Smith ML</w:t>
        </w:r>
      </w:hyperlink>
      <w:r w:rsidR="000E1104" w:rsidRPr="00671D6D">
        <w:rPr>
          <w:rFonts w:cstheme="minorHAnsi"/>
          <w:sz w:val="24"/>
          <w:szCs w:val="24"/>
        </w:rPr>
        <w:t>, </w:t>
      </w:r>
      <w:hyperlink r:id="rId10" w:history="1">
        <w:r w:rsidR="000E1104" w:rsidRPr="00671D6D">
          <w:rPr>
            <w:rStyle w:val="Hyperlink"/>
            <w:rFonts w:cstheme="minorHAnsi"/>
            <w:color w:val="auto"/>
            <w:sz w:val="24"/>
            <w:szCs w:val="24"/>
            <w:u w:val="none"/>
          </w:rPr>
          <w:t>Mayer PA</w:t>
        </w:r>
      </w:hyperlink>
      <w:r w:rsidR="000E1104" w:rsidRPr="00671D6D">
        <w:rPr>
          <w:rFonts w:cstheme="minorHAnsi"/>
          <w:sz w:val="24"/>
          <w:szCs w:val="24"/>
        </w:rPr>
        <w:t>.</w:t>
      </w:r>
      <w:r w:rsidR="00E45C8A" w:rsidRPr="00671D6D">
        <w:rPr>
          <w:rFonts w:cstheme="minorHAnsi"/>
          <w:sz w:val="24"/>
          <w:szCs w:val="24"/>
        </w:rPr>
        <w:t xml:space="preserve"> Family members' requests to extend physiologic support after declaration of brain death: a case series analysis and proposed guidelines for clinical management. </w:t>
      </w:r>
      <w:hyperlink r:id="rId11" w:tooltip="The Journal of clinical ethics." w:history="1">
        <w:r w:rsidR="00E45C8A" w:rsidRPr="00671D6D">
          <w:rPr>
            <w:rStyle w:val="Hyperlink"/>
            <w:rFonts w:cstheme="minorHAnsi"/>
            <w:color w:val="auto"/>
            <w:sz w:val="24"/>
            <w:szCs w:val="24"/>
            <w:u w:val="none"/>
          </w:rPr>
          <w:t>J Clin Ethics.</w:t>
        </w:r>
      </w:hyperlink>
      <w:r w:rsidR="00E45C8A" w:rsidRPr="00671D6D">
        <w:rPr>
          <w:rFonts w:cstheme="minorHAnsi"/>
          <w:sz w:val="24"/>
          <w:szCs w:val="24"/>
        </w:rPr>
        <w:t> 2014 Fall;25(3):222-37.</w:t>
      </w:r>
    </w:p>
    <w:p w14:paraId="2FC0E736" w14:textId="77777777" w:rsidR="00BA30EC" w:rsidRDefault="00BA30EC" w:rsidP="00E45C8A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440782E8" w14:textId="3F5BA2F0" w:rsidR="00E45C8A" w:rsidRPr="00671D6D" w:rsidRDefault="00505682" w:rsidP="00E45C8A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671D6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7. </w:t>
      </w:r>
      <w:hyperlink r:id="rId12" w:history="1">
        <w:r w:rsidRPr="00671D6D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https://health.economictimes.indiatimes.com/news/policy/icmr-drafts-guidelines-for-doctors-to-perform-cpr-on-cardiac-patients/72340885</w:t>
        </w:r>
      </w:hyperlink>
      <w:r w:rsidRPr="00671D6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Last accessed</w:t>
      </w:r>
      <w:r w:rsidR="00192A66" w:rsidRPr="00671D6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11 December 2019</w:t>
      </w:r>
    </w:p>
    <w:p w14:paraId="4CA6BDCB" w14:textId="6F35DEDC" w:rsidR="000E1104" w:rsidRDefault="000E1104" w:rsidP="000E110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15545B90" w14:textId="77777777" w:rsidR="00BA30EC" w:rsidRDefault="00BA30EC" w:rsidP="000E110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6049560A" w14:textId="77777777" w:rsidR="00BA30EC" w:rsidRDefault="00BA30EC" w:rsidP="000E110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78769658" w14:textId="7872B091" w:rsidR="00BA30EC" w:rsidRPr="00671D6D" w:rsidRDefault="00BA30EC" w:rsidP="000E1104">
      <w:pPr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                -----------------------------------------------</w:t>
      </w:r>
      <w:bookmarkStart w:id="0" w:name="_GoBack"/>
      <w:bookmarkEnd w:id="0"/>
    </w:p>
    <w:sectPr w:rsidR="00BA30EC" w:rsidRPr="0067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5A06"/>
    <w:multiLevelType w:val="hybridMultilevel"/>
    <w:tmpl w:val="75A6EB26"/>
    <w:lvl w:ilvl="0" w:tplc="4D5412C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B"/>
    <w:rsid w:val="000053B0"/>
    <w:rsid w:val="0004343F"/>
    <w:rsid w:val="00057908"/>
    <w:rsid w:val="00085473"/>
    <w:rsid w:val="0009239E"/>
    <w:rsid w:val="000B44BB"/>
    <w:rsid w:val="000E1104"/>
    <w:rsid w:val="000F7DFD"/>
    <w:rsid w:val="00101A36"/>
    <w:rsid w:val="001371E2"/>
    <w:rsid w:val="001452B5"/>
    <w:rsid w:val="00192A66"/>
    <w:rsid w:val="001C0C03"/>
    <w:rsid w:val="001E216D"/>
    <w:rsid w:val="001F7E00"/>
    <w:rsid w:val="00227C69"/>
    <w:rsid w:val="00251268"/>
    <w:rsid w:val="002B5FF0"/>
    <w:rsid w:val="002D0720"/>
    <w:rsid w:val="002E580D"/>
    <w:rsid w:val="00310C59"/>
    <w:rsid w:val="0032466A"/>
    <w:rsid w:val="0033758C"/>
    <w:rsid w:val="00383448"/>
    <w:rsid w:val="00405110"/>
    <w:rsid w:val="00425CEE"/>
    <w:rsid w:val="004B667A"/>
    <w:rsid w:val="004C5F34"/>
    <w:rsid w:val="00505682"/>
    <w:rsid w:val="00517F18"/>
    <w:rsid w:val="005301C3"/>
    <w:rsid w:val="00536CF1"/>
    <w:rsid w:val="005554B2"/>
    <w:rsid w:val="005A0A22"/>
    <w:rsid w:val="0067104B"/>
    <w:rsid w:val="00671D6D"/>
    <w:rsid w:val="00685BD4"/>
    <w:rsid w:val="00692F31"/>
    <w:rsid w:val="006A49EF"/>
    <w:rsid w:val="006E340F"/>
    <w:rsid w:val="007002E4"/>
    <w:rsid w:val="00722204"/>
    <w:rsid w:val="00774392"/>
    <w:rsid w:val="0079730F"/>
    <w:rsid w:val="007A59F8"/>
    <w:rsid w:val="007B5A2D"/>
    <w:rsid w:val="007C6C1B"/>
    <w:rsid w:val="00827134"/>
    <w:rsid w:val="009357FE"/>
    <w:rsid w:val="00976A8B"/>
    <w:rsid w:val="009D0C1C"/>
    <w:rsid w:val="00A833C3"/>
    <w:rsid w:val="00A87167"/>
    <w:rsid w:val="00A908A1"/>
    <w:rsid w:val="00AC5B0B"/>
    <w:rsid w:val="00B05585"/>
    <w:rsid w:val="00B35709"/>
    <w:rsid w:val="00B5251B"/>
    <w:rsid w:val="00B67B4D"/>
    <w:rsid w:val="00B7763E"/>
    <w:rsid w:val="00B81088"/>
    <w:rsid w:val="00BA30EC"/>
    <w:rsid w:val="00BF4F70"/>
    <w:rsid w:val="00C27400"/>
    <w:rsid w:val="00C76540"/>
    <w:rsid w:val="00C83CB5"/>
    <w:rsid w:val="00C83F39"/>
    <w:rsid w:val="00CF684D"/>
    <w:rsid w:val="00D16869"/>
    <w:rsid w:val="00D25FA2"/>
    <w:rsid w:val="00D6308B"/>
    <w:rsid w:val="00D7790E"/>
    <w:rsid w:val="00D90682"/>
    <w:rsid w:val="00DF2A4B"/>
    <w:rsid w:val="00E010B0"/>
    <w:rsid w:val="00E2486C"/>
    <w:rsid w:val="00E44BD9"/>
    <w:rsid w:val="00E45C8A"/>
    <w:rsid w:val="00E7063C"/>
    <w:rsid w:val="00E74B21"/>
    <w:rsid w:val="00E8529B"/>
    <w:rsid w:val="00E862C1"/>
    <w:rsid w:val="00EB0F12"/>
    <w:rsid w:val="00F00E47"/>
    <w:rsid w:val="00F226AF"/>
    <w:rsid w:val="00F231F1"/>
    <w:rsid w:val="00F4073C"/>
    <w:rsid w:val="00F43076"/>
    <w:rsid w:val="00F75B73"/>
    <w:rsid w:val="00F846D6"/>
    <w:rsid w:val="00FC2A29"/>
    <w:rsid w:val="00FC4484"/>
    <w:rsid w:val="00FD34F8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93CE"/>
  <w15:chartTrackingRefBased/>
  <w15:docId w15:val="{A6A7ED01-97CB-457F-B921-741EA5A0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392"/>
    <w:rPr>
      <w:b/>
      <w:bCs/>
    </w:rPr>
  </w:style>
  <w:style w:type="character" w:styleId="Hyperlink">
    <w:name w:val="Hyperlink"/>
    <w:basedOn w:val="DefaultParagraphFont"/>
    <w:uiPriority w:val="99"/>
    <w:unhideWhenUsed/>
    <w:rsid w:val="00D25F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F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11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Flamm%20AL%5BAuthor%5D&amp;cauthor=true&amp;cauthor_uid=251923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nsplant-observatory.org/summary/" TargetMode="External"/><Relationship Id="rId12" Type="http://schemas.openxmlformats.org/officeDocument/2006/relationships/hyperlink" Target="https://health.economictimes.indiatimes.com/news/policy/icmr-drafts-guidelines-for-doctors-to-perform-cpr-on-cardiac-patients/72340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mjafi.2017.04.002" TargetMode="External"/><Relationship Id="rId11" Type="http://schemas.openxmlformats.org/officeDocument/2006/relationships/hyperlink" Target="https://www.ncbi.nlm.nih.gov/pubmed/25192347" TargetMode="External"/><Relationship Id="rId5" Type="http://schemas.openxmlformats.org/officeDocument/2006/relationships/hyperlink" Target="mailto:sumana@mohanfoundation.org" TargetMode="External"/><Relationship Id="rId10" Type="http://schemas.openxmlformats.org/officeDocument/2006/relationships/hyperlink" Target="https://www.ncbi.nlm.nih.gov/pubmed/?term=Mayer%20PA%5BAuthor%5D&amp;cauthor=true&amp;cauthor_uid=25192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Smith%20ML%5BAuthor%5D&amp;cauthor=true&amp;cauthor_uid=251923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Navin</dc:creator>
  <cp:keywords/>
  <dc:description/>
  <cp:lastModifiedBy>Copy editor</cp:lastModifiedBy>
  <cp:revision>2</cp:revision>
  <dcterms:created xsi:type="dcterms:W3CDTF">2019-12-12T15:51:00Z</dcterms:created>
  <dcterms:modified xsi:type="dcterms:W3CDTF">2019-12-12T15:51:00Z</dcterms:modified>
</cp:coreProperties>
</file>