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93AA1" w14:textId="77777777" w:rsidR="00013FB7" w:rsidRPr="00C8624D" w:rsidRDefault="00013FB7" w:rsidP="00DC1CE5">
      <w:pPr>
        <w:pStyle w:val="Heading1"/>
        <w:spacing w:line="240" w:lineRule="auto"/>
        <w:jc w:val="left"/>
        <w:rPr>
          <w:rFonts w:ascii="Times New Roman" w:hAnsi="Times New Roman" w:cs="Times New Roman"/>
          <w:szCs w:val="24"/>
        </w:rPr>
      </w:pPr>
      <w:bookmarkStart w:id="0" w:name="_GoBack"/>
      <w:bookmarkEnd w:id="0"/>
      <w:r w:rsidRPr="00C8624D">
        <w:rPr>
          <w:rFonts w:ascii="Times New Roman" w:hAnsi="Times New Roman" w:cs="Times New Roman"/>
          <w:szCs w:val="24"/>
        </w:rPr>
        <w:t>How not to Talk about Passive Euthanasia: A Lesson from India</w:t>
      </w:r>
    </w:p>
    <w:p w14:paraId="399F024A" w14:textId="77777777" w:rsidR="00013FB7" w:rsidRPr="00C8624D" w:rsidRDefault="00013FB7" w:rsidP="00DC1CE5">
      <w:pPr>
        <w:jc w:val="left"/>
        <w:rPr>
          <w:rFonts w:ascii="Times New Roman" w:hAnsi="Times New Roman" w:cs="Times New Roman"/>
        </w:rPr>
      </w:pPr>
    </w:p>
    <w:p w14:paraId="24279213" w14:textId="1D1B976E"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Iain Brassington</w:t>
      </w:r>
    </w:p>
    <w:p w14:paraId="6EC6E20D" w14:textId="77777777"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CSEP/ Law,</w:t>
      </w:r>
    </w:p>
    <w:p w14:paraId="468D1719" w14:textId="5EDB117E"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University of Manchester</w:t>
      </w:r>
    </w:p>
    <w:p w14:paraId="153B09E2" w14:textId="5F13C099"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Oxford Road</w:t>
      </w:r>
    </w:p>
    <w:p w14:paraId="14F6E74A" w14:textId="4218E9B5"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Manchester</w:t>
      </w:r>
    </w:p>
    <w:p w14:paraId="13D088B3" w14:textId="09219429"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M13 9PL</w:t>
      </w:r>
    </w:p>
    <w:p w14:paraId="50CAA4D0" w14:textId="1F0F1567"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UK</w:t>
      </w:r>
    </w:p>
    <w:p w14:paraId="683D9F24" w14:textId="77777777" w:rsidR="00013FB7" w:rsidRPr="00C8624D" w:rsidRDefault="00013FB7" w:rsidP="00DC1CE5">
      <w:pPr>
        <w:spacing w:line="240" w:lineRule="auto"/>
        <w:jc w:val="left"/>
        <w:rPr>
          <w:rFonts w:ascii="Times New Roman" w:hAnsi="Times New Roman" w:cs="Times New Roman"/>
        </w:rPr>
      </w:pPr>
    </w:p>
    <w:p w14:paraId="20B4C46C" w14:textId="1D2A51E9" w:rsidR="00013FB7"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rPr>
        <w:t>+44 (0)161 275 35 63</w:t>
      </w:r>
    </w:p>
    <w:p w14:paraId="51E018F5" w14:textId="07E864E7" w:rsidR="00013FB7" w:rsidRPr="00C8624D" w:rsidRDefault="00D47EE8" w:rsidP="00DC1CE5">
      <w:pPr>
        <w:spacing w:line="240" w:lineRule="auto"/>
        <w:jc w:val="left"/>
        <w:rPr>
          <w:rFonts w:ascii="Times New Roman" w:hAnsi="Times New Roman" w:cs="Times New Roman"/>
        </w:rPr>
      </w:pPr>
      <w:hyperlink r:id="rId7" w:history="1">
        <w:r w:rsidR="00013FB7" w:rsidRPr="00C8624D">
          <w:rPr>
            <w:rStyle w:val="Hyperlink"/>
            <w:rFonts w:ascii="Times New Roman" w:hAnsi="Times New Roman"/>
            <w:u w:color="FF0000"/>
          </w:rPr>
          <w:t>iain.brassington@manchester.ac.uk</w:t>
        </w:r>
      </w:hyperlink>
    </w:p>
    <w:p w14:paraId="243F433D" w14:textId="77777777" w:rsidR="00013FB7" w:rsidRPr="00C8624D" w:rsidRDefault="00013FB7" w:rsidP="00DC1CE5">
      <w:pPr>
        <w:spacing w:line="240" w:lineRule="auto"/>
        <w:jc w:val="left"/>
        <w:rPr>
          <w:rFonts w:ascii="Times New Roman" w:hAnsi="Times New Roman" w:cs="Times New Roman"/>
        </w:rPr>
      </w:pPr>
    </w:p>
    <w:p w14:paraId="7478C6CE" w14:textId="5E184E72" w:rsidR="00DC1CE5" w:rsidRPr="00C8624D" w:rsidRDefault="00DC1CE5" w:rsidP="00DC1CE5">
      <w:pPr>
        <w:spacing w:line="240" w:lineRule="auto"/>
        <w:jc w:val="left"/>
        <w:rPr>
          <w:rFonts w:ascii="Times New Roman" w:hAnsi="Times New Roman" w:cs="Times New Roman"/>
          <w:smallCaps/>
        </w:rPr>
      </w:pPr>
      <w:r w:rsidRPr="00C8624D">
        <w:rPr>
          <w:rFonts w:ascii="Times New Roman" w:hAnsi="Times New Roman" w:cs="Times New Roman"/>
          <w:smallCaps/>
        </w:rPr>
        <w:t>Competing interests</w:t>
      </w:r>
    </w:p>
    <w:p w14:paraId="7973AD7C" w14:textId="3D70B8A1" w:rsidR="00013FB7" w:rsidRPr="00C8624D" w:rsidRDefault="00DC1CE5" w:rsidP="00DC1CE5">
      <w:pPr>
        <w:spacing w:line="240" w:lineRule="auto"/>
        <w:jc w:val="left"/>
        <w:rPr>
          <w:rFonts w:ascii="Times New Roman" w:hAnsi="Times New Roman" w:cs="Times New Roman"/>
        </w:rPr>
      </w:pPr>
      <w:r w:rsidRPr="00C8624D">
        <w:rPr>
          <w:rFonts w:ascii="Times New Roman" w:hAnsi="Times New Roman" w:cs="Times New Roman"/>
        </w:rPr>
        <w:t>N</w:t>
      </w:r>
      <w:r w:rsidR="00013FB7" w:rsidRPr="00C8624D">
        <w:rPr>
          <w:rFonts w:ascii="Times New Roman" w:hAnsi="Times New Roman" w:cs="Times New Roman"/>
        </w:rPr>
        <w:t>one</w:t>
      </w:r>
    </w:p>
    <w:p w14:paraId="2867CBBC" w14:textId="77777777" w:rsidR="00DC1CE5" w:rsidRPr="00C8624D" w:rsidRDefault="00DC1CE5" w:rsidP="00DC1CE5">
      <w:pPr>
        <w:spacing w:line="240" w:lineRule="auto"/>
        <w:jc w:val="left"/>
        <w:rPr>
          <w:rFonts w:ascii="Times New Roman" w:hAnsi="Times New Roman" w:cs="Times New Roman"/>
        </w:rPr>
      </w:pPr>
    </w:p>
    <w:p w14:paraId="389EC0D3" w14:textId="77777777" w:rsidR="00DC1CE5" w:rsidRPr="00C8624D" w:rsidRDefault="00013FB7" w:rsidP="00DC1CE5">
      <w:pPr>
        <w:spacing w:line="240" w:lineRule="auto"/>
        <w:jc w:val="left"/>
        <w:rPr>
          <w:rFonts w:ascii="Times New Roman" w:hAnsi="Times New Roman" w:cs="Times New Roman"/>
        </w:rPr>
      </w:pPr>
      <w:r w:rsidRPr="00C8624D">
        <w:rPr>
          <w:rFonts w:ascii="Times New Roman" w:hAnsi="Times New Roman" w:cs="Times New Roman"/>
          <w:smallCaps/>
        </w:rPr>
        <w:t>Funding received</w:t>
      </w:r>
    </w:p>
    <w:p w14:paraId="011CF438" w14:textId="7D59617C" w:rsidR="00013FB7" w:rsidRPr="00C8624D" w:rsidRDefault="00DC1CE5" w:rsidP="00DC1CE5">
      <w:pPr>
        <w:spacing w:line="240" w:lineRule="auto"/>
        <w:jc w:val="left"/>
        <w:rPr>
          <w:rFonts w:ascii="Times New Roman" w:hAnsi="Times New Roman" w:cs="Times New Roman"/>
        </w:rPr>
      </w:pPr>
      <w:r w:rsidRPr="00C8624D">
        <w:rPr>
          <w:rFonts w:ascii="Times New Roman" w:hAnsi="Times New Roman" w:cs="Times New Roman"/>
        </w:rPr>
        <w:t>N</w:t>
      </w:r>
      <w:r w:rsidR="00013FB7" w:rsidRPr="00C8624D">
        <w:rPr>
          <w:rFonts w:ascii="Times New Roman" w:hAnsi="Times New Roman" w:cs="Times New Roman"/>
        </w:rPr>
        <w:t>one</w:t>
      </w:r>
    </w:p>
    <w:p w14:paraId="5C4AD98D" w14:textId="77777777" w:rsidR="00013FB7" w:rsidRPr="00C8624D" w:rsidRDefault="00013FB7" w:rsidP="00DC1CE5">
      <w:pPr>
        <w:spacing w:line="240" w:lineRule="auto"/>
        <w:jc w:val="left"/>
        <w:rPr>
          <w:rFonts w:ascii="Times New Roman" w:hAnsi="Times New Roman" w:cs="Times New Roman"/>
        </w:rPr>
      </w:pPr>
    </w:p>
    <w:p w14:paraId="6AD6E5D2" w14:textId="77777777" w:rsidR="00DC1CE5" w:rsidRPr="00C8624D" w:rsidRDefault="00013FB7" w:rsidP="00DC1CE5">
      <w:pPr>
        <w:spacing w:line="240" w:lineRule="auto"/>
        <w:jc w:val="left"/>
        <w:rPr>
          <w:rFonts w:ascii="Times New Roman" w:hAnsi="Times New Roman" w:cs="Times New Roman"/>
          <w:smallCaps/>
        </w:rPr>
      </w:pPr>
      <w:r w:rsidRPr="00C8624D">
        <w:rPr>
          <w:rFonts w:ascii="Times New Roman" w:hAnsi="Times New Roman" w:cs="Times New Roman"/>
          <w:smallCaps/>
        </w:rPr>
        <w:t>Similar work</w:t>
      </w:r>
    </w:p>
    <w:p w14:paraId="23B0CFD2" w14:textId="513BA6B8" w:rsidR="00013FB7" w:rsidRPr="00C8624D" w:rsidRDefault="00013FB7" w:rsidP="00DC1CE5">
      <w:pPr>
        <w:spacing w:line="240" w:lineRule="auto"/>
        <w:rPr>
          <w:rFonts w:ascii="Times New Roman" w:hAnsi="Times New Roman" w:cs="Times New Roman"/>
        </w:rPr>
      </w:pPr>
      <w:r w:rsidRPr="00C8624D">
        <w:rPr>
          <w:rFonts w:ascii="Times New Roman" w:hAnsi="Times New Roman" w:cs="Times New Roman"/>
        </w:rPr>
        <w:t>Section 2 gives a brief rehearsal of the definitions of passive euthanasia that is developed at more length in my “What Passive Euthanasia Is”, currently under review in another journal.</w:t>
      </w:r>
    </w:p>
    <w:p w14:paraId="0438A99B" w14:textId="77777777" w:rsidR="00013FB7" w:rsidRPr="00C8624D" w:rsidRDefault="00013FB7" w:rsidP="00DC1CE5">
      <w:pPr>
        <w:spacing w:line="240" w:lineRule="auto"/>
        <w:jc w:val="left"/>
        <w:rPr>
          <w:rFonts w:ascii="Times New Roman" w:hAnsi="Times New Roman" w:cs="Times New Roman"/>
        </w:rPr>
      </w:pPr>
    </w:p>
    <w:p w14:paraId="0B39FD14" w14:textId="0B2F0EAA" w:rsidR="00013FB7" w:rsidRPr="00C8624D" w:rsidRDefault="00013FB7" w:rsidP="00DC1CE5">
      <w:pPr>
        <w:spacing w:line="240" w:lineRule="auto"/>
        <w:jc w:val="left"/>
        <w:rPr>
          <w:rFonts w:ascii="Times New Roman" w:hAnsi="Times New Roman" w:cs="Times New Roman"/>
          <w:smallCaps/>
        </w:rPr>
      </w:pPr>
      <w:r w:rsidRPr="00C8624D">
        <w:rPr>
          <w:rFonts w:ascii="Times New Roman" w:hAnsi="Times New Roman" w:cs="Times New Roman"/>
          <w:smallCaps/>
        </w:rPr>
        <w:t>Abstract</w:t>
      </w:r>
    </w:p>
    <w:p w14:paraId="7EADFE09" w14:textId="4E154C11" w:rsidR="00013FB7" w:rsidRPr="00C8624D" w:rsidRDefault="00B358B9" w:rsidP="00DC1CE5">
      <w:pPr>
        <w:spacing w:line="240" w:lineRule="auto"/>
        <w:jc w:val="left"/>
        <w:rPr>
          <w:rFonts w:ascii="Times New Roman" w:hAnsi="Times New Roman" w:cs="Times New Roman"/>
        </w:rPr>
      </w:pPr>
      <w:r w:rsidRPr="00C8624D">
        <w:rPr>
          <w:rFonts w:ascii="Times New Roman" w:hAnsi="Times New Roman" w:cs="Times New Roman"/>
        </w:rPr>
        <w:t xml:space="preserve">The 2011 </w:t>
      </w:r>
      <w:r w:rsidRPr="00C8624D">
        <w:rPr>
          <w:rFonts w:ascii="Times New Roman" w:hAnsi="Times New Roman" w:cs="Times New Roman"/>
          <w:i/>
          <w:iCs/>
        </w:rPr>
        <w:t>Shanbaug</w:t>
      </w:r>
      <w:r w:rsidRPr="00C8624D">
        <w:rPr>
          <w:rFonts w:ascii="Times New Roman" w:hAnsi="Times New Roman" w:cs="Times New Roman"/>
        </w:rPr>
        <w:t xml:space="preserve"> case has proved to be very important in shaping the debates about end of life care, and about assisted dying, in India.  Ostensibly dealing with the question of whether it was permissible to withdraw treatment from a patient in PVS, it became a case about the legality of passive euthanasia; this is how it was treated by the Law Commission of India in 2012, and by the bench considering the </w:t>
      </w:r>
      <w:r w:rsidRPr="00C8624D">
        <w:rPr>
          <w:rFonts w:ascii="Times New Roman" w:hAnsi="Times New Roman" w:cs="Times New Roman"/>
          <w:i/>
          <w:iCs/>
        </w:rPr>
        <w:t>Common Cause</w:t>
      </w:r>
      <w:r w:rsidRPr="00C8624D">
        <w:rPr>
          <w:rFonts w:ascii="Times New Roman" w:hAnsi="Times New Roman" w:cs="Times New Roman"/>
        </w:rPr>
        <w:t xml:space="preserve"> case in 2018.</w:t>
      </w:r>
      <w:r w:rsidR="00DC1CE5" w:rsidRPr="00C8624D">
        <w:rPr>
          <w:rFonts w:ascii="Times New Roman" w:hAnsi="Times New Roman" w:cs="Times New Roman"/>
        </w:rPr>
        <w:t xml:space="preserve">  However, questions about the legality of passive euthanasia depend on having a coherent definition of “passive euthanasia”; in this paper, I argue that such a definition was absent from both the </w:t>
      </w:r>
      <w:r w:rsidR="00DC1CE5" w:rsidRPr="00C8624D">
        <w:rPr>
          <w:rFonts w:ascii="Times New Roman" w:hAnsi="Times New Roman" w:cs="Times New Roman"/>
          <w:i/>
          <w:iCs/>
        </w:rPr>
        <w:t>Shanbaug</w:t>
      </w:r>
      <w:r w:rsidR="00DC1CE5" w:rsidRPr="00C8624D">
        <w:rPr>
          <w:rFonts w:ascii="Times New Roman" w:hAnsi="Times New Roman" w:cs="Times New Roman"/>
        </w:rPr>
        <w:t xml:space="preserve"> and the </w:t>
      </w:r>
      <w:r w:rsidR="00DC1CE5" w:rsidRPr="00C8624D">
        <w:rPr>
          <w:rFonts w:ascii="Times New Roman" w:hAnsi="Times New Roman" w:cs="Times New Roman"/>
          <w:i/>
          <w:iCs/>
        </w:rPr>
        <w:t>Common Cause</w:t>
      </w:r>
      <w:r w:rsidR="00DC1CE5" w:rsidRPr="00C8624D">
        <w:rPr>
          <w:rFonts w:ascii="Times New Roman" w:hAnsi="Times New Roman" w:cs="Times New Roman"/>
        </w:rPr>
        <w:t xml:space="preserve"> rulings.  As a result, they are highly unreliable.</w:t>
      </w:r>
      <w:r w:rsidR="00013FB7" w:rsidRPr="00C8624D">
        <w:rPr>
          <w:rFonts w:ascii="Times New Roman" w:hAnsi="Times New Roman" w:cs="Times New Roman"/>
        </w:rPr>
        <w:br w:type="page"/>
      </w:r>
    </w:p>
    <w:p w14:paraId="484EE7E6" w14:textId="04E5CB1E" w:rsidR="00E24699" w:rsidRPr="00C8624D" w:rsidRDefault="00013FB7" w:rsidP="00E53B94">
      <w:pPr>
        <w:pStyle w:val="Heading1"/>
        <w:spacing w:line="240" w:lineRule="auto"/>
        <w:jc w:val="left"/>
        <w:rPr>
          <w:rFonts w:ascii="Times New Roman" w:hAnsi="Times New Roman" w:cs="Times New Roman"/>
          <w:szCs w:val="24"/>
        </w:rPr>
      </w:pPr>
      <w:r w:rsidRPr="00C8624D">
        <w:rPr>
          <w:rFonts w:ascii="Times New Roman" w:hAnsi="Times New Roman" w:cs="Times New Roman"/>
          <w:szCs w:val="24"/>
        </w:rPr>
        <w:lastRenderedPageBreak/>
        <w:br/>
      </w:r>
      <w:r w:rsidR="004C2ADB" w:rsidRPr="00C8624D">
        <w:rPr>
          <w:rFonts w:ascii="Times New Roman" w:hAnsi="Times New Roman" w:cs="Times New Roman"/>
          <w:szCs w:val="24"/>
        </w:rPr>
        <w:t>How not to Talk about Passive Euthanasia: A Lesson from India</w:t>
      </w:r>
    </w:p>
    <w:p w14:paraId="1623484F" w14:textId="77777777" w:rsidR="00E24699" w:rsidRPr="00C8624D" w:rsidRDefault="00E24699" w:rsidP="00E53B94">
      <w:pPr>
        <w:spacing w:line="240" w:lineRule="auto"/>
        <w:jc w:val="left"/>
        <w:rPr>
          <w:rFonts w:ascii="Times New Roman" w:hAnsi="Times New Roman" w:cs="Times New Roman"/>
        </w:rPr>
      </w:pPr>
    </w:p>
    <w:p w14:paraId="6299CBCC" w14:textId="77777777" w:rsidR="00E24699" w:rsidRPr="00C8624D" w:rsidRDefault="00E24699" w:rsidP="00E53B94">
      <w:pPr>
        <w:pStyle w:val="Heading2"/>
        <w:numPr>
          <w:ilvl w:val="0"/>
          <w:numId w:val="2"/>
        </w:numPr>
        <w:spacing w:line="240" w:lineRule="auto"/>
        <w:jc w:val="left"/>
        <w:rPr>
          <w:rFonts w:ascii="Times New Roman" w:hAnsi="Times New Roman"/>
        </w:rPr>
      </w:pPr>
      <w:r w:rsidRPr="00C8624D">
        <w:rPr>
          <w:rFonts w:ascii="Times New Roman" w:hAnsi="Times New Roman"/>
        </w:rPr>
        <w:t>Introduction</w:t>
      </w:r>
    </w:p>
    <w:p w14:paraId="412C4DCA" w14:textId="5C8E55E5"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Much ink has been spilled and many words uttered on the </w:t>
      </w:r>
      <w:r w:rsidR="002E05BB" w:rsidRPr="00C8624D">
        <w:rPr>
          <w:rFonts w:ascii="Times New Roman" w:hAnsi="Times New Roman" w:cs="Times New Roman"/>
          <w:lang w:eastAsia="zh-CN"/>
        </w:rPr>
        <w:t>moral questions raised by end-of-life care</w:t>
      </w:r>
      <w:r w:rsidRPr="00C8624D">
        <w:rPr>
          <w:rFonts w:ascii="Times New Roman" w:hAnsi="Times New Roman" w:cs="Times New Roman"/>
          <w:lang w:eastAsia="zh-CN"/>
        </w:rPr>
        <w:t xml:space="preserve">.  The debate has taken place in academic journals and seminar rooms, but also in legislatures and courtrooms around the world.  </w:t>
      </w:r>
      <w:r w:rsidR="002E05BB" w:rsidRPr="00C8624D">
        <w:rPr>
          <w:rFonts w:ascii="Times New Roman" w:hAnsi="Times New Roman" w:cs="Times New Roman"/>
          <w:lang w:eastAsia="zh-CN"/>
        </w:rPr>
        <w:t>Often, and particularly in respect of euthanasia</w:t>
      </w:r>
      <w:r w:rsidR="00396959" w:rsidRPr="00C8624D">
        <w:rPr>
          <w:rFonts w:ascii="Times New Roman" w:hAnsi="Times New Roman" w:cs="Times New Roman"/>
          <w:lang w:eastAsia="zh-CN"/>
        </w:rPr>
        <w:t>,</w:t>
      </w:r>
      <w:r w:rsidR="002E05BB" w:rsidRPr="00C8624D">
        <w:rPr>
          <w:rFonts w:ascii="Times New Roman" w:hAnsi="Times New Roman" w:cs="Times New Roman"/>
          <w:lang w:eastAsia="zh-CN"/>
        </w:rPr>
        <w:t xml:space="preserve"> these </w:t>
      </w:r>
      <w:r w:rsidRPr="00C8624D">
        <w:rPr>
          <w:rFonts w:ascii="Times New Roman" w:hAnsi="Times New Roman" w:cs="Times New Roman"/>
          <w:lang w:eastAsia="zh-CN"/>
        </w:rPr>
        <w:t>contributions generate more heat than light</w:t>
      </w:r>
      <w:r w:rsidR="00396959" w:rsidRPr="00C8624D">
        <w:rPr>
          <w:rFonts w:ascii="Times New Roman" w:hAnsi="Times New Roman" w:cs="Times New Roman"/>
          <w:lang w:eastAsia="zh-CN"/>
        </w:rPr>
        <w:t xml:space="preserve"> – </w:t>
      </w:r>
      <w:r w:rsidRPr="00C8624D">
        <w:rPr>
          <w:rFonts w:ascii="Times New Roman" w:hAnsi="Times New Roman" w:cs="Times New Roman"/>
          <w:lang w:eastAsia="zh-CN"/>
        </w:rPr>
        <w:t>and sometimes precious little heat.</w:t>
      </w:r>
      <w:r w:rsidR="007920EC" w:rsidRPr="00C8624D">
        <w:rPr>
          <w:rFonts w:ascii="Times New Roman" w:hAnsi="Times New Roman" w:cs="Times New Roman"/>
          <w:lang w:eastAsia="zh-CN"/>
        </w:rPr>
        <w:t xml:space="preserve">  Part of the reason for this is that there is a degree of unclarity in some of the terms used.</w:t>
      </w:r>
      <w:r w:rsidRPr="00C8624D">
        <w:rPr>
          <w:rFonts w:ascii="Times New Roman" w:hAnsi="Times New Roman" w:cs="Times New Roman"/>
          <w:lang w:eastAsia="zh-CN"/>
        </w:rPr>
        <w:t xml:space="preserve">  My aim here is not to contribute to the normative debate about whether and in what circumstances euthanasia or assisted suicide should be permitted.  Rather, it is to examine the way that the term “passive euthanasia” has been u</w:t>
      </w:r>
      <w:r w:rsidR="00A97F6D" w:rsidRPr="00C8624D">
        <w:rPr>
          <w:rFonts w:ascii="Times New Roman" w:hAnsi="Times New Roman" w:cs="Times New Roman"/>
          <w:lang w:eastAsia="zh-CN"/>
        </w:rPr>
        <w:t>sed</w:t>
      </w:r>
      <w:r w:rsidRPr="00C8624D">
        <w:rPr>
          <w:rFonts w:ascii="Times New Roman" w:hAnsi="Times New Roman" w:cs="Times New Roman"/>
          <w:lang w:eastAsia="zh-CN"/>
        </w:rPr>
        <w:t xml:space="preserve"> – or, </w:t>
      </w:r>
      <w:r w:rsidR="007920EC" w:rsidRPr="00C8624D">
        <w:rPr>
          <w:rFonts w:ascii="Times New Roman" w:hAnsi="Times New Roman" w:cs="Times New Roman"/>
          <w:lang w:eastAsia="zh-CN"/>
        </w:rPr>
        <w:t>arguably</w:t>
      </w:r>
      <w:r w:rsidRPr="00C8624D">
        <w:rPr>
          <w:rFonts w:ascii="Times New Roman" w:hAnsi="Times New Roman" w:cs="Times New Roman"/>
          <w:lang w:eastAsia="zh-CN"/>
        </w:rPr>
        <w:t xml:space="preserve">, </w:t>
      </w:r>
      <w:r w:rsidRPr="00C8624D">
        <w:rPr>
          <w:rFonts w:ascii="Times New Roman" w:hAnsi="Times New Roman" w:cs="Times New Roman"/>
          <w:i/>
          <w:iCs/>
          <w:lang w:eastAsia="zh-CN"/>
        </w:rPr>
        <w:t>mis</w:t>
      </w:r>
      <w:r w:rsidRPr="00C8624D">
        <w:rPr>
          <w:rFonts w:ascii="Times New Roman" w:hAnsi="Times New Roman" w:cs="Times New Roman"/>
          <w:lang w:eastAsia="zh-CN"/>
        </w:rPr>
        <w:t>us</w:t>
      </w:r>
      <w:r w:rsidR="00A97F6D" w:rsidRPr="00C8624D">
        <w:rPr>
          <w:rFonts w:ascii="Times New Roman" w:hAnsi="Times New Roman" w:cs="Times New Roman"/>
          <w:lang w:eastAsia="zh-CN"/>
        </w:rPr>
        <w:t>e</w:t>
      </w:r>
      <w:r w:rsidRPr="00C8624D">
        <w:rPr>
          <w:rFonts w:ascii="Times New Roman" w:hAnsi="Times New Roman" w:cs="Times New Roman"/>
          <w:lang w:eastAsia="zh-CN"/>
        </w:rPr>
        <w:t xml:space="preserve">d – </w:t>
      </w:r>
      <w:r w:rsidR="00A97F6D" w:rsidRPr="00C8624D">
        <w:rPr>
          <w:rFonts w:ascii="Times New Roman" w:hAnsi="Times New Roman" w:cs="Times New Roman"/>
          <w:lang w:eastAsia="zh-CN"/>
        </w:rPr>
        <w:t>in</w:t>
      </w:r>
      <w:r w:rsidRPr="00C8624D">
        <w:rPr>
          <w:rFonts w:ascii="Times New Roman" w:hAnsi="Times New Roman" w:cs="Times New Roman"/>
          <w:lang w:eastAsia="zh-CN"/>
        </w:rPr>
        <w:t xml:space="preserve"> the Indian legal system.  I should say at the outset that I do not think that the problem I shall articulate is confined to the Indian legal system; but it is in India that we find a particularly good example – if “good” is the word – of </w:t>
      </w:r>
      <w:r w:rsidR="00095F82" w:rsidRPr="00C8624D">
        <w:rPr>
          <w:rFonts w:ascii="Times New Roman" w:hAnsi="Times New Roman" w:cs="Times New Roman"/>
          <w:lang w:eastAsia="zh-CN"/>
        </w:rPr>
        <w:t>it</w:t>
      </w:r>
      <w:r w:rsidRPr="00C8624D">
        <w:rPr>
          <w:rFonts w:ascii="Times New Roman" w:hAnsi="Times New Roman" w:cs="Times New Roman"/>
          <w:lang w:eastAsia="zh-CN"/>
        </w:rPr>
        <w:t>.</w:t>
      </w:r>
    </w:p>
    <w:p w14:paraId="5BB121D0" w14:textId="77777777" w:rsidR="00E24699" w:rsidRPr="00C8624D" w:rsidRDefault="00E24699" w:rsidP="00E53B94">
      <w:pPr>
        <w:spacing w:line="480" w:lineRule="auto"/>
        <w:jc w:val="left"/>
        <w:rPr>
          <w:rFonts w:ascii="Times New Roman" w:hAnsi="Times New Roman" w:cs="Times New Roman"/>
          <w:lang w:eastAsia="zh-CN"/>
        </w:rPr>
      </w:pPr>
    </w:p>
    <w:p w14:paraId="356B03D3" w14:textId="75AA1113"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What I want to show is that a number of important statements about the legality of passive euthanasia in India are less</w:t>
      </w:r>
      <w:r w:rsidR="002E05BB" w:rsidRPr="00C8624D">
        <w:rPr>
          <w:rFonts w:ascii="Times New Roman" w:hAnsi="Times New Roman" w:cs="Times New Roman"/>
          <w:lang w:eastAsia="zh-CN"/>
        </w:rPr>
        <w:t xml:space="preserve"> clear, and </w:t>
      </w:r>
      <w:r w:rsidR="00095F82" w:rsidRPr="00C8624D">
        <w:rPr>
          <w:rFonts w:ascii="Times New Roman" w:hAnsi="Times New Roman" w:cs="Times New Roman"/>
          <w:lang w:eastAsia="zh-CN"/>
        </w:rPr>
        <w:t xml:space="preserve">therefore </w:t>
      </w:r>
      <w:r w:rsidR="002E05BB" w:rsidRPr="00C8624D">
        <w:rPr>
          <w:rFonts w:ascii="Times New Roman" w:hAnsi="Times New Roman" w:cs="Times New Roman"/>
          <w:lang w:eastAsia="zh-CN"/>
        </w:rPr>
        <w:t>potentially less legally robust,</w:t>
      </w:r>
      <w:r w:rsidRPr="00C8624D">
        <w:rPr>
          <w:rFonts w:ascii="Times New Roman" w:hAnsi="Times New Roman" w:cs="Times New Roman"/>
          <w:lang w:eastAsia="zh-CN"/>
        </w:rPr>
        <w:t xml:space="preserve"> than the people making them might have hoped, because they fall victim to the fallacy of equivocation: that is, of failing to recognise that a term “passive euthanasia” has two distinct meanings, and of sliding between them.</w:t>
      </w:r>
    </w:p>
    <w:p w14:paraId="657E98A1" w14:textId="77777777" w:rsidR="00E24699" w:rsidRPr="00C8624D" w:rsidRDefault="00E24699" w:rsidP="00E53B94">
      <w:pPr>
        <w:spacing w:line="480" w:lineRule="auto"/>
        <w:jc w:val="left"/>
        <w:rPr>
          <w:rFonts w:ascii="Times New Roman" w:hAnsi="Times New Roman" w:cs="Times New Roman"/>
          <w:lang w:eastAsia="zh-CN"/>
        </w:rPr>
      </w:pPr>
    </w:p>
    <w:p w14:paraId="44B256AB" w14:textId="48099C42"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I</w:t>
      </w:r>
      <w:r w:rsidR="008C6C55" w:rsidRPr="00C8624D">
        <w:rPr>
          <w:rFonts w:ascii="Times New Roman" w:hAnsi="Times New Roman" w:cs="Times New Roman"/>
          <w:lang w:eastAsia="zh-CN"/>
        </w:rPr>
        <w:t xml:space="preserve">n the next section, I shall </w:t>
      </w:r>
      <w:r w:rsidRPr="00C8624D">
        <w:rPr>
          <w:rFonts w:ascii="Times New Roman" w:hAnsi="Times New Roman" w:cs="Times New Roman"/>
          <w:lang w:eastAsia="zh-CN"/>
        </w:rPr>
        <w:t>spend a little time considering the definition of “euthanasia”, and how we may categorise that into active and passive euthanasia</w:t>
      </w:r>
      <w:r w:rsidR="00975072" w:rsidRPr="00C8624D">
        <w:rPr>
          <w:rFonts w:ascii="Times New Roman" w:hAnsi="Times New Roman" w:cs="Times New Roman"/>
          <w:lang w:eastAsia="zh-CN"/>
        </w:rPr>
        <w:t>; and I shall look also at a few examples of how the term “passive euthanasia” has been referred to in the ethical and medico-legal literature</w:t>
      </w:r>
      <w:r w:rsidRPr="00C8624D">
        <w:rPr>
          <w:rFonts w:ascii="Times New Roman" w:hAnsi="Times New Roman" w:cs="Times New Roman"/>
          <w:lang w:eastAsia="zh-CN"/>
        </w:rPr>
        <w:t>.</w:t>
      </w:r>
      <w:r w:rsidR="00397033" w:rsidRPr="00C8624D">
        <w:rPr>
          <w:rFonts w:ascii="Times New Roman" w:hAnsi="Times New Roman" w:cs="Times New Roman"/>
          <w:lang w:eastAsia="zh-CN"/>
        </w:rPr>
        <w:t xml:space="preserve">  The </w:t>
      </w:r>
      <w:r w:rsidR="00167354" w:rsidRPr="00C8624D">
        <w:rPr>
          <w:rFonts w:ascii="Times New Roman" w:hAnsi="Times New Roman" w:cs="Times New Roman"/>
          <w:lang w:eastAsia="zh-CN"/>
        </w:rPr>
        <w:t xml:space="preserve">argument </w:t>
      </w:r>
      <w:r w:rsidR="008C6C55" w:rsidRPr="00C8624D">
        <w:rPr>
          <w:rFonts w:ascii="Times New Roman" w:hAnsi="Times New Roman" w:cs="Times New Roman"/>
          <w:lang w:eastAsia="zh-CN"/>
        </w:rPr>
        <w:t>presented</w:t>
      </w:r>
      <w:r w:rsidR="009B4B1A" w:rsidRPr="00C8624D">
        <w:rPr>
          <w:rFonts w:ascii="Times New Roman" w:hAnsi="Times New Roman" w:cs="Times New Roman"/>
          <w:lang w:eastAsia="zh-CN"/>
        </w:rPr>
        <w:t xml:space="preserve"> in those paragraphs</w:t>
      </w:r>
      <w:r w:rsidR="00167354" w:rsidRPr="00C8624D">
        <w:rPr>
          <w:rFonts w:ascii="Times New Roman" w:hAnsi="Times New Roman" w:cs="Times New Roman"/>
          <w:lang w:eastAsia="zh-CN"/>
        </w:rPr>
        <w:t xml:space="preserve"> </w:t>
      </w:r>
      <w:r w:rsidR="00A97F6D" w:rsidRPr="00C8624D">
        <w:rPr>
          <w:rFonts w:ascii="Times New Roman" w:hAnsi="Times New Roman" w:cs="Times New Roman"/>
          <w:lang w:eastAsia="zh-CN"/>
        </w:rPr>
        <w:t xml:space="preserve">is an abbreviated version </w:t>
      </w:r>
      <w:r w:rsidR="00167354" w:rsidRPr="00C8624D">
        <w:rPr>
          <w:rFonts w:ascii="Times New Roman" w:hAnsi="Times New Roman" w:cs="Times New Roman"/>
          <w:lang w:eastAsia="zh-CN"/>
        </w:rPr>
        <w:t>an argument I ma</w:t>
      </w:r>
      <w:r w:rsidR="004D01B8">
        <w:rPr>
          <w:rFonts w:ascii="Times New Roman" w:hAnsi="Times New Roman" w:cs="Times New Roman"/>
          <w:lang w:eastAsia="zh-CN"/>
        </w:rPr>
        <w:t>k</w:t>
      </w:r>
      <w:r w:rsidR="00167354" w:rsidRPr="00C8624D">
        <w:rPr>
          <w:rFonts w:ascii="Times New Roman" w:hAnsi="Times New Roman" w:cs="Times New Roman"/>
          <w:lang w:eastAsia="zh-CN"/>
        </w:rPr>
        <w:t>e in greater depth elsewhere.</w:t>
      </w:r>
      <w:r w:rsidR="00167354" w:rsidRPr="00C8624D">
        <w:rPr>
          <w:rStyle w:val="FootnoteReference"/>
          <w:rFonts w:ascii="Times New Roman" w:hAnsi="Times New Roman" w:cs="Times New Roman"/>
          <w:lang w:eastAsia="zh-CN"/>
        </w:rPr>
        <w:footnoteReference w:id="1"/>
      </w:r>
      <w:r w:rsidRPr="00C8624D">
        <w:rPr>
          <w:rFonts w:ascii="Times New Roman" w:hAnsi="Times New Roman" w:cs="Times New Roman"/>
          <w:lang w:eastAsia="zh-CN"/>
        </w:rPr>
        <w:t xml:space="preserve">  </w:t>
      </w:r>
      <w:r w:rsidR="00A97F6D" w:rsidRPr="00C8624D">
        <w:rPr>
          <w:rFonts w:ascii="Times New Roman" w:hAnsi="Times New Roman" w:cs="Times New Roman"/>
          <w:lang w:eastAsia="zh-CN"/>
        </w:rPr>
        <w:t xml:space="preserve">Subsequently, I shall </w:t>
      </w:r>
      <w:r w:rsidRPr="00C8624D">
        <w:rPr>
          <w:rFonts w:ascii="Times New Roman" w:hAnsi="Times New Roman" w:cs="Times New Roman"/>
          <w:lang w:eastAsia="zh-CN"/>
        </w:rPr>
        <w:t>consider how the phrase has been handled in a couple of cases brought before the Supreme Court of India, and by the Law Commission of India, and why it matters.</w:t>
      </w:r>
    </w:p>
    <w:p w14:paraId="08B3B378" w14:textId="77777777" w:rsidR="00E24699" w:rsidRPr="00C8624D" w:rsidRDefault="00E24699" w:rsidP="00E53B94">
      <w:pPr>
        <w:spacing w:line="480" w:lineRule="auto"/>
        <w:jc w:val="left"/>
        <w:rPr>
          <w:rFonts w:ascii="Times New Roman" w:hAnsi="Times New Roman" w:cs="Times New Roman"/>
          <w:lang w:eastAsia="zh-CN"/>
        </w:rPr>
      </w:pPr>
    </w:p>
    <w:p w14:paraId="70F8B1CC" w14:textId="77777777" w:rsidR="00E24699" w:rsidRPr="00C8624D" w:rsidRDefault="00E24699" w:rsidP="00E53B94">
      <w:pPr>
        <w:pStyle w:val="Heading2"/>
        <w:numPr>
          <w:ilvl w:val="0"/>
          <w:numId w:val="2"/>
        </w:numPr>
        <w:spacing w:line="240" w:lineRule="auto"/>
        <w:jc w:val="left"/>
        <w:rPr>
          <w:rFonts w:ascii="Times New Roman" w:hAnsi="Times New Roman"/>
        </w:rPr>
      </w:pPr>
      <w:r w:rsidRPr="00C8624D">
        <w:rPr>
          <w:rFonts w:ascii="Times New Roman" w:hAnsi="Times New Roman"/>
        </w:rPr>
        <w:t>Defining Euthanasia(s)</w:t>
      </w:r>
    </w:p>
    <w:p w14:paraId="0FC9C996" w14:textId="77777777"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Heather Draper’s definition of euthanasia has become something of a touchstone in the literature, and I shall take it as my jumping-off point here.  For her, a death by euthanasia</w:t>
      </w:r>
    </w:p>
    <w:p w14:paraId="4B473750" w14:textId="77777777" w:rsidR="00E24699" w:rsidRPr="00C8624D" w:rsidRDefault="00E24699" w:rsidP="00E53B94">
      <w:pPr>
        <w:pStyle w:val="ExtendedQuotation"/>
        <w:spacing w:line="240" w:lineRule="auto"/>
        <w:rPr>
          <w:rFonts w:ascii="Times New Roman" w:hAnsi="Times New Roman" w:cs="Times New Roman"/>
          <w:sz w:val="24"/>
          <w:szCs w:val="24"/>
          <w:lang w:eastAsia="zh-CN"/>
        </w:rPr>
      </w:pPr>
      <w:r w:rsidRPr="00C8624D">
        <w:rPr>
          <w:rFonts w:ascii="Times New Roman" w:hAnsi="Times New Roman" w:cs="Times New Roman"/>
          <w:sz w:val="24"/>
          <w:szCs w:val="24"/>
          <w:lang w:eastAsia="zh-CN"/>
        </w:rPr>
        <w:t>must be defined as death that results from the intention of one person to kill another person, using the most gentle and easy means possible, that is solely motivated by the best interests of the person who dies.</w:t>
      </w:r>
      <w:r w:rsidRPr="00C8624D">
        <w:rPr>
          <w:rStyle w:val="FootnoteReference"/>
          <w:rFonts w:ascii="Times New Roman" w:hAnsi="Times New Roman" w:cs="Times New Roman"/>
          <w:sz w:val="24"/>
          <w:szCs w:val="24"/>
          <w:lang w:eastAsia="zh-CN"/>
        </w:rPr>
        <w:footnoteReference w:id="2"/>
      </w:r>
    </w:p>
    <w:p w14:paraId="0621DE45" w14:textId="5F655D28"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This definition can probably be simplified a touch.  That the death be brought about owing to a motivation to secure the best interests of the one who dies I take to be axiomatic</w:t>
      </w:r>
      <w:r w:rsidR="007C1C8F" w:rsidRPr="00C8624D">
        <w:rPr>
          <w:rFonts w:ascii="Times New Roman" w:hAnsi="Times New Roman" w:cs="Times New Roman"/>
          <w:lang w:eastAsia="zh-CN"/>
        </w:rPr>
        <w:t xml:space="preserve"> and crucial to </w:t>
      </w:r>
      <w:r w:rsidR="00474C75" w:rsidRPr="00C8624D">
        <w:rPr>
          <w:rFonts w:ascii="Times New Roman" w:hAnsi="Times New Roman" w:cs="Times New Roman"/>
          <w:lang w:eastAsia="zh-CN"/>
        </w:rPr>
        <w:t xml:space="preserve">understanding </w:t>
      </w:r>
      <w:r w:rsidR="007C1C8F" w:rsidRPr="00C8624D">
        <w:rPr>
          <w:rFonts w:ascii="Times New Roman" w:hAnsi="Times New Roman" w:cs="Times New Roman"/>
          <w:lang w:eastAsia="zh-CN"/>
        </w:rPr>
        <w:t>euthanasia</w:t>
      </w:r>
      <w:r w:rsidRPr="00C8624D">
        <w:rPr>
          <w:rFonts w:ascii="Times New Roman" w:hAnsi="Times New Roman" w:cs="Times New Roman"/>
          <w:lang w:eastAsia="zh-CN"/>
        </w:rPr>
        <w:t>.</w:t>
      </w:r>
      <w:r w:rsidR="00474C75" w:rsidRPr="00C8624D">
        <w:rPr>
          <w:rFonts w:ascii="Times New Roman" w:hAnsi="Times New Roman" w:cs="Times New Roman"/>
          <w:lang w:eastAsia="zh-CN"/>
        </w:rPr>
        <w:t xml:space="preserve">  (Even if one thinks that euthanasia represents a serious wrong, it seems reasonably straightforward to accept that it is markedly different from, say, killing by assassination, since the assassin does not have any concern for the best interests of his victim.)</w:t>
      </w:r>
      <w:r w:rsidRPr="00C8624D">
        <w:rPr>
          <w:rFonts w:ascii="Times New Roman" w:hAnsi="Times New Roman" w:cs="Times New Roman"/>
          <w:lang w:eastAsia="zh-CN"/>
        </w:rPr>
        <w:t xml:space="preserve">  But since it would always be in the best interests of the one who dies for the most gentle </w:t>
      </w:r>
      <w:r w:rsidR="00135BD5" w:rsidRPr="00C8624D">
        <w:rPr>
          <w:rFonts w:ascii="Times New Roman" w:hAnsi="Times New Roman" w:cs="Times New Roman"/>
          <w:lang w:eastAsia="zh-CN"/>
        </w:rPr>
        <w:t xml:space="preserve">and easy </w:t>
      </w:r>
      <w:r w:rsidRPr="00C8624D">
        <w:rPr>
          <w:rFonts w:ascii="Times New Roman" w:hAnsi="Times New Roman" w:cs="Times New Roman"/>
          <w:lang w:eastAsia="zh-CN"/>
        </w:rPr>
        <w:t xml:space="preserve">means possible to be used, we can </w:t>
      </w:r>
      <w:r w:rsidR="00135BD5" w:rsidRPr="00C8624D">
        <w:rPr>
          <w:rFonts w:ascii="Times New Roman" w:hAnsi="Times New Roman" w:cs="Times New Roman"/>
          <w:lang w:eastAsia="zh-CN"/>
        </w:rPr>
        <w:t xml:space="preserve">add to this, and </w:t>
      </w:r>
      <w:r w:rsidRPr="00C8624D">
        <w:rPr>
          <w:rFonts w:ascii="Times New Roman" w:hAnsi="Times New Roman" w:cs="Times New Roman"/>
          <w:lang w:eastAsia="zh-CN"/>
        </w:rPr>
        <w:t xml:space="preserve">say that intentional killing </w:t>
      </w:r>
      <w:r w:rsidRPr="00C8624D">
        <w:rPr>
          <w:rFonts w:ascii="Times New Roman" w:hAnsi="Times New Roman" w:cs="Times New Roman"/>
          <w:lang w:eastAsia="zh-CN"/>
        </w:rPr>
        <w:lastRenderedPageBreak/>
        <w:t>that does not make use of the most easy means available is not euthanasia proper: it is, perhaps, attempted euthanasia at best.  As such, for the sake of this paper, I shall understand euthanasia to be the intentional ending of one person’s life by another, motivated solely by the best interest of the one who dies.  Call this “Definition 1”.</w:t>
      </w:r>
    </w:p>
    <w:p w14:paraId="5C58A740" w14:textId="77777777" w:rsidR="00E24699" w:rsidRPr="00C8624D" w:rsidRDefault="00E24699" w:rsidP="00E53B94">
      <w:pPr>
        <w:spacing w:line="480" w:lineRule="auto"/>
        <w:jc w:val="left"/>
        <w:rPr>
          <w:rFonts w:ascii="Times New Roman" w:hAnsi="Times New Roman" w:cs="Times New Roman"/>
          <w:lang w:eastAsia="zh-CN"/>
        </w:rPr>
      </w:pPr>
    </w:p>
    <w:p w14:paraId="50152634" w14:textId="73208ECD"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We may add to this a distinction between </w:t>
      </w:r>
      <w:r w:rsidRPr="00C8624D">
        <w:rPr>
          <w:rFonts w:ascii="Times New Roman" w:hAnsi="Times New Roman" w:cs="Times New Roman"/>
          <w:i/>
          <w:iCs/>
          <w:lang w:eastAsia="zh-CN"/>
        </w:rPr>
        <w:t>active</w:t>
      </w:r>
      <w:r w:rsidRPr="00C8624D">
        <w:rPr>
          <w:rFonts w:ascii="Times New Roman" w:hAnsi="Times New Roman" w:cs="Times New Roman"/>
          <w:lang w:eastAsia="zh-CN"/>
        </w:rPr>
        <w:t xml:space="preserve"> and </w:t>
      </w:r>
      <w:r w:rsidRPr="00C8624D">
        <w:rPr>
          <w:rFonts w:ascii="Times New Roman" w:hAnsi="Times New Roman" w:cs="Times New Roman"/>
          <w:i/>
          <w:iCs/>
          <w:lang w:eastAsia="zh-CN"/>
        </w:rPr>
        <w:t>passive</w:t>
      </w:r>
      <w:r w:rsidRPr="00C8624D">
        <w:rPr>
          <w:rFonts w:ascii="Times New Roman" w:hAnsi="Times New Roman" w:cs="Times New Roman"/>
          <w:lang w:eastAsia="zh-CN"/>
        </w:rPr>
        <w:t xml:space="preserve"> euthanasia, </w:t>
      </w:r>
      <w:r w:rsidR="00FC1F2E" w:rsidRPr="00C8624D">
        <w:rPr>
          <w:rFonts w:ascii="Times New Roman" w:hAnsi="Times New Roman" w:cs="Times New Roman"/>
          <w:lang w:eastAsia="zh-CN"/>
        </w:rPr>
        <w:t xml:space="preserve">which terms refer respectively </w:t>
      </w:r>
      <w:r w:rsidRPr="00C8624D">
        <w:rPr>
          <w:rFonts w:ascii="Times New Roman" w:hAnsi="Times New Roman" w:cs="Times New Roman"/>
          <w:lang w:eastAsia="zh-CN"/>
        </w:rPr>
        <w:t>to instances of euthanasia in which a death is brought about that is not otherwise imminent, and those in which the barriers to an otherwise-imminent death are removed.  Acccordingly, two more definitions</w:t>
      </w:r>
      <w:r w:rsidR="00731EE0" w:rsidRPr="00C8624D">
        <w:rPr>
          <w:rFonts w:ascii="Times New Roman" w:hAnsi="Times New Roman" w:cs="Times New Roman"/>
          <w:lang w:eastAsia="zh-CN"/>
        </w:rPr>
        <w:t xml:space="preserve"> might be offered</w:t>
      </w:r>
      <w:r w:rsidRPr="00C8624D">
        <w:rPr>
          <w:rFonts w:ascii="Times New Roman" w:hAnsi="Times New Roman" w:cs="Times New Roman"/>
          <w:lang w:eastAsia="zh-CN"/>
        </w:rPr>
        <w:t>:</w:t>
      </w:r>
    </w:p>
    <w:p w14:paraId="56677E91" w14:textId="77777777" w:rsidR="00E24699" w:rsidRPr="00C8624D" w:rsidRDefault="00E24699" w:rsidP="00E53B94">
      <w:pPr>
        <w:spacing w:line="240" w:lineRule="auto"/>
        <w:ind w:left="720"/>
        <w:jc w:val="left"/>
        <w:rPr>
          <w:rFonts w:ascii="Times New Roman" w:hAnsi="Times New Roman" w:cs="Times New Roman"/>
          <w:lang w:eastAsia="zh-CN"/>
        </w:rPr>
      </w:pPr>
      <w:r w:rsidRPr="00C8624D">
        <w:rPr>
          <w:rFonts w:ascii="Times New Roman" w:hAnsi="Times New Roman" w:cs="Times New Roman"/>
          <w:b/>
          <w:bCs/>
          <w:lang w:eastAsia="zh-CN"/>
        </w:rPr>
        <w:t>Definition 2:</w:t>
      </w:r>
      <w:r w:rsidRPr="00C8624D">
        <w:rPr>
          <w:rFonts w:ascii="Times New Roman" w:hAnsi="Times New Roman" w:cs="Times New Roman"/>
          <w:lang w:eastAsia="zh-CN"/>
        </w:rPr>
        <w:t xml:space="preserve"> Active euthanasia is the intentional ending of one person’s life by another, motivated solely by the best interest of the person who dies, through the deliberate administration of a life-ending substance or procedure;</w:t>
      </w:r>
    </w:p>
    <w:p w14:paraId="5B6F6D2C" w14:textId="77777777"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and</w:t>
      </w:r>
    </w:p>
    <w:p w14:paraId="5CBC0B6C" w14:textId="77777777" w:rsidR="00E24699" w:rsidRPr="00C8624D" w:rsidRDefault="00E24699" w:rsidP="00E53B94">
      <w:pPr>
        <w:spacing w:line="240" w:lineRule="auto"/>
        <w:ind w:left="720"/>
        <w:jc w:val="left"/>
        <w:rPr>
          <w:rFonts w:ascii="Times New Roman" w:hAnsi="Times New Roman" w:cs="Times New Roman"/>
          <w:lang w:eastAsia="zh-CN"/>
        </w:rPr>
      </w:pPr>
      <w:r w:rsidRPr="00C8624D">
        <w:rPr>
          <w:rFonts w:ascii="Times New Roman" w:hAnsi="Times New Roman" w:cs="Times New Roman"/>
          <w:b/>
          <w:bCs/>
          <w:lang w:eastAsia="zh-CN"/>
        </w:rPr>
        <w:t xml:space="preserve">Definition 3: </w:t>
      </w:r>
      <w:r w:rsidRPr="00C8624D">
        <w:rPr>
          <w:rFonts w:ascii="Times New Roman" w:hAnsi="Times New Roman" w:cs="Times New Roman"/>
          <w:lang w:eastAsia="zh-CN"/>
        </w:rPr>
        <w:t>Passive euthanasia is the intentional ending of one person’s life by another, motivated solely by the best interest of the person who dies, through the deliberate withholding of a life-preserving substance or procedure.</w:t>
      </w:r>
    </w:p>
    <w:p w14:paraId="350F114A" w14:textId="27A3805C"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In a previous edition of this journal, Rohini Shukla has made the interesting suggestion that there might be an important </w:t>
      </w:r>
      <w:r w:rsidR="00731EE0" w:rsidRPr="00C8624D">
        <w:rPr>
          <w:rFonts w:ascii="Times New Roman" w:hAnsi="Times New Roman" w:cs="Times New Roman"/>
          <w:lang w:eastAsia="zh-CN"/>
        </w:rPr>
        <w:t xml:space="preserve">moral </w:t>
      </w:r>
      <w:r w:rsidRPr="00C8624D">
        <w:rPr>
          <w:rFonts w:ascii="Times New Roman" w:hAnsi="Times New Roman" w:cs="Times New Roman"/>
          <w:lang w:eastAsia="zh-CN"/>
        </w:rPr>
        <w:t>distinction to be drawn between withholding and withdrawing treatment</w:t>
      </w:r>
      <w:r w:rsidR="00731EE0" w:rsidRPr="00C8624D">
        <w:rPr>
          <w:rStyle w:val="FootnoteReference"/>
          <w:rFonts w:ascii="Times New Roman" w:hAnsi="Times New Roman" w:cs="Times New Roman"/>
          <w:lang w:eastAsia="zh-CN"/>
        </w:rPr>
        <w:footnoteReference w:id="3"/>
      </w:r>
      <w:r w:rsidRPr="00C8624D">
        <w:rPr>
          <w:rFonts w:ascii="Times New Roman" w:hAnsi="Times New Roman" w:cs="Times New Roman"/>
          <w:lang w:eastAsia="zh-CN"/>
        </w:rPr>
        <w:t xml:space="preserve">; for the sake of </w:t>
      </w:r>
      <w:r w:rsidR="00731EE0" w:rsidRPr="00C8624D">
        <w:rPr>
          <w:rFonts w:ascii="Times New Roman" w:hAnsi="Times New Roman" w:cs="Times New Roman"/>
          <w:lang w:eastAsia="zh-CN"/>
        </w:rPr>
        <w:t>this paper</w:t>
      </w:r>
      <w:r w:rsidRPr="00C8624D">
        <w:rPr>
          <w:rFonts w:ascii="Times New Roman" w:hAnsi="Times New Roman" w:cs="Times New Roman"/>
          <w:lang w:eastAsia="zh-CN"/>
        </w:rPr>
        <w:t>, I shall note that point, but put it to one side, and treat “withholding” to cover both situations in which a treatment regime is not begun, and situations in which a treatmen</w:t>
      </w:r>
      <w:r w:rsidR="004D01B8">
        <w:rPr>
          <w:rFonts w:ascii="Times New Roman" w:hAnsi="Times New Roman" w:cs="Times New Roman"/>
          <w:lang w:eastAsia="zh-CN"/>
        </w:rPr>
        <w:t xml:space="preserve">t regime once begun is removed.  Accordingly, </w:t>
      </w:r>
      <w:r w:rsidRPr="00C8624D">
        <w:rPr>
          <w:rFonts w:ascii="Times New Roman" w:hAnsi="Times New Roman" w:cs="Times New Roman"/>
          <w:lang w:eastAsia="zh-CN"/>
        </w:rPr>
        <w:t xml:space="preserve">withdrawal </w:t>
      </w:r>
      <w:r w:rsidR="004D01B8">
        <w:rPr>
          <w:rFonts w:ascii="Times New Roman" w:hAnsi="Times New Roman" w:cs="Times New Roman"/>
          <w:lang w:eastAsia="zh-CN"/>
        </w:rPr>
        <w:t xml:space="preserve">of treatment </w:t>
      </w:r>
      <w:r w:rsidRPr="00C8624D">
        <w:rPr>
          <w:rFonts w:ascii="Times New Roman" w:hAnsi="Times New Roman" w:cs="Times New Roman"/>
          <w:lang w:eastAsia="zh-CN"/>
        </w:rPr>
        <w:t>should be thought of as withholding</w:t>
      </w:r>
      <w:r w:rsidR="004D01B8">
        <w:rPr>
          <w:rFonts w:ascii="Times New Roman" w:hAnsi="Times New Roman" w:cs="Times New Roman"/>
          <w:lang w:eastAsia="zh-CN"/>
        </w:rPr>
        <w:t xml:space="preserve"> it</w:t>
      </w:r>
      <w:r w:rsidRPr="00C8624D">
        <w:rPr>
          <w:rFonts w:ascii="Times New Roman" w:hAnsi="Times New Roman" w:cs="Times New Roman"/>
          <w:lang w:eastAsia="zh-CN"/>
        </w:rPr>
        <w:t xml:space="preserve"> </w:t>
      </w:r>
      <w:r w:rsidRPr="00C8624D">
        <w:rPr>
          <w:rFonts w:ascii="Times New Roman" w:hAnsi="Times New Roman" w:cs="Times New Roman"/>
          <w:i/>
          <w:iCs/>
          <w:lang w:eastAsia="zh-CN"/>
        </w:rPr>
        <w:t>from this time forward</w:t>
      </w:r>
      <w:r w:rsidRPr="00C8624D">
        <w:rPr>
          <w:rFonts w:ascii="Times New Roman" w:hAnsi="Times New Roman" w:cs="Times New Roman"/>
          <w:lang w:eastAsia="zh-CN"/>
        </w:rPr>
        <w:t xml:space="preserve">.  The important point at the moment is that the difference between active and passive euthanasia is the difference between </w:t>
      </w:r>
      <w:r w:rsidR="004D01B8">
        <w:rPr>
          <w:rFonts w:ascii="Times New Roman" w:hAnsi="Times New Roman" w:cs="Times New Roman"/>
          <w:lang w:eastAsia="zh-CN"/>
        </w:rPr>
        <w:t xml:space="preserve">intentionally ending a life by </w:t>
      </w:r>
      <w:r w:rsidRPr="00C8624D">
        <w:rPr>
          <w:rFonts w:ascii="Times New Roman" w:hAnsi="Times New Roman" w:cs="Times New Roman"/>
          <w:lang w:eastAsia="zh-CN"/>
        </w:rPr>
        <w:t xml:space="preserve">adding something that otherwise wouldn’t be there, and </w:t>
      </w:r>
      <w:r w:rsidR="004D01B8">
        <w:rPr>
          <w:rFonts w:ascii="Times New Roman" w:hAnsi="Times New Roman" w:cs="Times New Roman"/>
          <w:lang w:eastAsia="zh-CN"/>
        </w:rPr>
        <w:t xml:space="preserve">intentionally ending a life by </w:t>
      </w:r>
      <w:r w:rsidRPr="00C8624D">
        <w:rPr>
          <w:rFonts w:ascii="Times New Roman" w:hAnsi="Times New Roman" w:cs="Times New Roman"/>
          <w:lang w:eastAsia="zh-CN"/>
        </w:rPr>
        <w:t>removing something that otherwise could be.</w:t>
      </w:r>
    </w:p>
    <w:p w14:paraId="1E1722AB" w14:textId="77777777" w:rsidR="00E24699" w:rsidRPr="00C8624D" w:rsidRDefault="00E24699" w:rsidP="00E53B94">
      <w:pPr>
        <w:spacing w:line="480" w:lineRule="auto"/>
        <w:jc w:val="left"/>
        <w:rPr>
          <w:rFonts w:ascii="Times New Roman" w:hAnsi="Times New Roman" w:cs="Times New Roman"/>
          <w:lang w:eastAsia="zh-CN"/>
        </w:rPr>
      </w:pPr>
    </w:p>
    <w:p w14:paraId="7899CB57" w14:textId="3A29910E"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While there is no dispute that </w:t>
      </w:r>
      <w:r w:rsidR="007C0C15" w:rsidRPr="00C8624D">
        <w:rPr>
          <w:rFonts w:ascii="Times New Roman" w:hAnsi="Times New Roman" w:cs="Times New Roman"/>
          <w:lang w:eastAsia="zh-CN"/>
        </w:rPr>
        <w:t xml:space="preserve">all </w:t>
      </w:r>
      <w:r w:rsidRPr="00C8624D">
        <w:rPr>
          <w:rFonts w:ascii="Times New Roman" w:hAnsi="Times New Roman" w:cs="Times New Roman"/>
          <w:lang w:eastAsia="zh-CN"/>
        </w:rPr>
        <w:t>passive euthanasia is letting die by withholding treatment, it does not follow that passive euthanasia and letting die by withholding treatment can be identified – that is, that all withholding is passive euthanasia.  However, there is a significant number of commentators who do seem to be prepared to make that move, and to endorse the claim that any letting die by withholding treatment is passive euthanasia.  For example, Jukka Varelius thinks of withholding treatment as passive euthanasia</w:t>
      </w:r>
      <w:r w:rsidRPr="00C8624D">
        <w:rPr>
          <w:rStyle w:val="FootnoteReference"/>
          <w:rFonts w:ascii="Times New Roman" w:hAnsi="Times New Roman" w:cs="Times New Roman"/>
          <w:lang w:eastAsia="zh-CN"/>
        </w:rPr>
        <w:footnoteReference w:id="4"/>
      </w:r>
      <w:r w:rsidRPr="00C8624D">
        <w:rPr>
          <w:rFonts w:ascii="Times New Roman" w:hAnsi="Times New Roman" w:cs="Times New Roman"/>
          <w:lang w:eastAsia="zh-CN"/>
        </w:rPr>
        <w:t xml:space="preserve">; on </w:t>
      </w:r>
      <w:r w:rsidRPr="00C8624D">
        <w:rPr>
          <w:rFonts w:ascii="Times New Roman" w:hAnsi="Times New Roman" w:cs="Times New Roman"/>
        </w:rPr>
        <w:t>an archived web-page, undated but copyrighted to 2014, the BBC states that</w:t>
      </w:r>
    </w:p>
    <w:p w14:paraId="3F1AC4E9" w14:textId="77777777" w:rsidR="00E24699" w:rsidRPr="00C8624D" w:rsidRDefault="00E24699" w:rsidP="00E53B94">
      <w:pPr>
        <w:pStyle w:val="ExtendedQuotation"/>
        <w:spacing w:line="240" w:lineRule="auto"/>
        <w:rPr>
          <w:rFonts w:ascii="Times New Roman" w:hAnsi="Times New Roman" w:cs="Times New Roman"/>
          <w:sz w:val="24"/>
          <w:szCs w:val="24"/>
          <w:lang w:eastAsia="zh-CN"/>
        </w:rPr>
      </w:pPr>
      <w:r w:rsidRPr="00C8624D">
        <w:rPr>
          <w:rFonts w:ascii="Times New Roman" w:hAnsi="Times New Roman" w:cs="Times New Roman"/>
          <w:sz w:val="24"/>
          <w:szCs w:val="24"/>
        </w:rPr>
        <w:t>[p]assive euthanasia occurs when the patient dies because the medical professionals either don't do something necessary to keep the patient alive, or when they stop doing something that is keeping the patient alive.</w:t>
      </w:r>
      <w:r w:rsidRPr="00C8624D">
        <w:rPr>
          <w:rStyle w:val="FootnoteReference"/>
          <w:rFonts w:ascii="Times New Roman" w:hAnsi="Times New Roman" w:cs="Times New Roman"/>
          <w:sz w:val="24"/>
          <w:szCs w:val="24"/>
        </w:rPr>
        <w:footnoteReference w:id="5"/>
      </w:r>
    </w:p>
    <w:p w14:paraId="010105AD" w14:textId="77777777" w:rsidR="00E24699" w:rsidRPr="00C8624D" w:rsidRDefault="00E24699"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In a sense, this is straightforward: this is what happens when someone commits passive euthanasia.  However, the clear implication is that passive euthanasia occurs whenever someone withdraws or withholds life-sustaining treatment.  That is less obvious.  Nevertheless, it would appear that there are at least some sources in which the understanding of passive euthanasia can be understood as follows:</w:t>
      </w:r>
    </w:p>
    <w:p w14:paraId="1F4367F6" w14:textId="77777777" w:rsidR="00E24699" w:rsidRPr="00C8624D" w:rsidRDefault="00E24699" w:rsidP="00E53B94">
      <w:pPr>
        <w:spacing w:line="240" w:lineRule="auto"/>
        <w:ind w:left="720"/>
        <w:jc w:val="left"/>
        <w:rPr>
          <w:rFonts w:ascii="Times New Roman" w:hAnsi="Times New Roman" w:cs="Times New Roman"/>
          <w:lang w:eastAsia="zh-CN"/>
        </w:rPr>
      </w:pPr>
      <w:r w:rsidRPr="00C8624D">
        <w:rPr>
          <w:rFonts w:ascii="Times New Roman" w:hAnsi="Times New Roman" w:cs="Times New Roman"/>
          <w:b/>
          <w:bCs/>
          <w:lang w:eastAsia="zh-CN"/>
        </w:rPr>
        <w:lastRenderedPageBreak/>
        <w:t>Definition 3*:</w:t>
      </w:r>
      <w:r w:rsidRPr="00C8624D">
        <w:rPr>
          <w:rFonts w:ascii="Times New Roman" w:hAnsi="Times New Roman" w:cs="Times New Roman"/>
          <w:lang w:eastAsia="zh-CN"/>
        </w:rPr>
        <w:t xml:space="preserve"> Passive euthanasia is the ending of one person’s life by another, motivated solely by the best interest of the person who dies, through the deliberate withholding of a life-preserving substance or life-preserving procedure.</w:t>
      </w:r>
    </w:p>
    <w:p w14:paraId="528B4A2F" w14:textId="13F37C46" w:rsidR="00E13C89" w:rsidRPr="00C8624D" w:rsidRDefault="00E24699" w:rsidP="009F2849">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The difference between Definition 3 and Definition 3* lies in the necessity for there to be an intention to end life.  Under Definition 3, such an intention is necessary; under Definition 3*, it is not.</w:t>
      </w:r>
      <w:r w:rsidR="00E13C89" w:rsidRPr="00C8624D">
        <w:rPr>
          <w:rFonts w:ascii="Times New Roman" w:hAnsi="Times New Roman" w:cs="Times New Roman"/>
          <w:lang w:eastAsia="zh-CN"/>
        </w:rPr>
        <w:t xml:space="preserve">  </w:t>
      </w:r>
      <w:r w:rsidR="009F2849" w:rsidRPr="00C8624D">
        <w:rPr>
          <w:rFonts w:ascii="Times New Roman" w:hAnsi="Times New Roman" w:cs="Times New Roman"/>
          <w:lang w:eastAsia="zh-CN"/>
        </w:rPr>
        <w:t>Plainly</w:t>
      </w:r>
      <w:r w:rsidR="00577930" w:rsidRPr="00C8624D">
        <w:rPr>
          <w:rFonts w:ascii="Times New Roman" w:hAnsi="Times New Roman" w:cs="Times New Roman"/>
          <w:lang w:eastAsia="zh-CN"/>
        </w:rPr>
        <w:t>, we cannot cleave to both: we ha</w:t>
      </w:r>
      <w:r w:rsidR="004D01B8">
        <w:rPr>
          <w:rFonts w:ascii="Times New Roman" w:hAnsi="Times New Roman" w:cs="Times New Roman"/>
          <w:lang w:eastAsia="zh-CN"/>
        </w:rPr>
        <w:t>ve to jump one way or the other; and laws about passive euthanasia should do so also.</w:t>
      </w:r>
    </w:p>
    <w:p w14:paraId="3B856DEB" w14:textId="6320CE60" w:rsidR="00BB1E29" w:rsidRDefault="00BB1E29" w:rsidP="00E53B94">
      <w:pPr>
        <w:spacing w:line="480" w:lineRule="auto"/>
        <w:jc w:val="left"/>
        <w:rPr>
          <w:rFonts w:ascii="Times New Roman" w:hAnsi="Times New Roman" w:cs="Times New Roman"/>
          <w:lang w:eastAsia="zh-CN"/>
        </w:rPr>
      </w:pPr>
    </w:p>
    <w:p w14:paraId="098F9AD7" w14:textId="48DDC4CC" w:rsidR="004D01B8" w:rsidRDefault="004D01B8" w:rsidP="004D01B8">
      <w:pPr>
        <w:spacing w:line="240" w:lineRule="auto"/>
        <w:jc w:val="left"/>
        <w:rPr>
          <w:rFonts w:ascii="Times New Roman" w:hAnsi="Times New Roman" w:cs="Times New Roman"/>
        </w:rPr>
      </w:pPr>
      <w:r w:rsidRPr="00C8624D">
        <w:rPr>
          <w:rFonts w:ascii="Times New Roman" w:hAnsi="Times New Roman" w:cs="Times New Roman"/>
        </w:rPr>
        <w:t xml:space="preserve">I have argued elsewhere that there are compelling moral reasons to prefer Definition 3 to </w:t>
      </w:r>
      <w:r>
        <w:rPr>
          <w:rFonts w:ascii="Times New Roman" w:hAnsi="Times New Roman" w:cs="Times New Roman"/>
        </w:rPr>
        <w:t>Definition 3*.</w:t>
      </w:r>
      <w:r w:rsidRPr="00C8624D">
        <w:rPr>
          <w:rStyle w:val="FootnoteReference"/>
          <w:rFonts w:ascii="Times New Roman" w:hAnsi="Times New Roman" w:cs="Times New Roman"/>
          <w:lang w:eastAsia="zh-CN"/>
        </w:rPr>
        <w:footnoteReference w:id="6"/>
      </w:r>
      <w:r w:rsidRPr="00C8624D">
        <w:rPr>
          <w:rFonts w:ascii="Times New Roman" w:hAnsi="Times New Roman" w:cs="Times New Roman"/>
        </w:rPr>
        <w:t xml:space="preserve"> </w:t>
      </w:r>
      <w:r>
        <w:rPr>
          <w:rFonts w:ascii="Times New Roman" w:hAnsi="Times New Roman" w:cs="Times New Roman"/>
        </w:rPr>
        <w:t xml:space="preserve"> </w:t>
      </w:r>
      <w:r w:rsidR="005C3E4E">
        <w:rPr>
          <w:rFonts w:ascii="Times New Roman" w:hAnsi="Times New Roman" w:cs="Times New Roman"/>
        </w:rPr>
        <w:t>However, m</w:t>
      </w:r>
      <w:r>
        <w:rPr>
          <w:rFonts w:ascii="Times New Roman" w:hAnsi="Times New Roman" w:cs="Times New Roman"/>
        </w:rPr>
        <w:t xml:space="preserve">y argument </w:t>
      </w:r>
      <w:r w:rsidRPr="00C8624D">
        <w:rPr>
          <w:rFonts w:ascii="Times New Roman" w:hAnsi="Times New Roman" w:cs="Times New Roman"/>
        </w:rPr>
        <w:t>in this paper does not depend on choosing a definition.  Rather, it rests on the contention that the law should choose one definition and stick to it.</w:t>
      </w:r>
      <w:r>
        <w:rPr>
          <w:rFonts w:ascii="Times New Roman" w:hAnsi="Times New Roman" w:cs="Times New Roman"/>
        </w:rPr>
        <w:t xml:space="preserve">  As such, </w:t>
      </w:r>
      <w:r w:rsidRPr="00C8624D">
        <w:rPr>
          <w:rFonts w:ascii="Times New Roman" w:hAnsi="Times New Roman" w:cs="Times New Roman"/>
        </w:rPr>
        <w:t>it</w:t>
      </w:r>
      <w:r>
        <w:rPr>
          <w:rFonts w:ascii="Times New Roman" w:hAnsi="Times New Roman" w:cs="Times New Roman"/>
        </w:rPr>
        <w:t xml:space="preserve"> might be that</w:t>
      </w:r>
      <w:r w:rsidRPr="00C8624D">
        <w:rPr>
          <w:rFonts w:ascii="Times New Roman" w:hAnsi="Times New Roman" w:cs="Times New Roman"/>
        </w:rPr>
        <w:t xml:space="preserve"> </w:t>
      </w:r>
      <w:r>
        <w:rPr>
          <w:rFonts w:ascii="Times New Roman" w:hAnsi="Times New Roman" w:cs="Times New Roman"/>
        </w:rPr>
        <w:t xml:space="preserve">within </w:t>
      </w:r>
      <w:r w:rsidRPr="00C8624D">
        <w:rPr>
          <w:rFonts w:ascii="Times New Roman" w:hAnsi="Times New Roman" w:cs="Times New Roman"/>
        </w:rPr>
        <w:t>a</w:t>
      </w:r>
      <w:r>
        <w:rPr>
          <w:rFonts w:ascii="Times New Roman" w:hAnsi="Times New Roman" w:cs="Times New Roman"/>
        </w:rPr>
        <w:t xml:space="preserve"> given legal system</w:t>
      </w:r>
      <w:r w:rsidRPr="00C8624D">
        <w:rPr>
          <w:rFonts w:ascii="Times New Roman" w:hAnsi="Times New Roman" w:cs="Times New Roman"/>
        </w:rPr>
        <w:t xml:space="preserve">, Definition 3* of passive euthanasia is the one that holds.  </w:t>
      </w:r>
      <w:r>
        <w:rPr>
          <w:rFonts w:ascii="Times New Roman" w:hAnsi="Times New Roman" w:cs="Times New Roman"/>
        </w:rPr>
        <w:t xml:space="preserve">What matters for my </w:t>
      </w:r>
      <w:r w:rsidR="005C3E4E">
        <w:rPr>
          <w:rFonts w:ascii="Times New Roman" w:hAnsi="Times New Roman" w:cs="Times New Roman"/>
        </w:rPr>
        <w:t xml:space="preserve">current </w:t>
      </w:r>
      <w:r>
        <w:rPr>
          <w:rFonts w:ascii="Times New Roman" w:hAnsi="Times New Roman" w:cs="Times New Roman"/>
        </w:rPr>
        <w:t xml:space="preserve">purposes is that it is important that it </w:t>
      </w:r>
      <w:r w:rsidRPr="005C3E4E">
        <w:rPr>
          <w:rFonts w:ascii="Times New Roman" w:hAnsi="Times New Roman" w:cs="Times New Roman"/>
          <w:i/>
        </w:rPr>
        <w:t>does</w:t>
      </w:r>
      <w:r>
        <w:rPr>
          <w:rFonts w:ascii="Times New Roman" w:hAnsi="Times New Roman" w:cs="Times New Roman"/>
        </w:rPr>
        <w:t xml:space="preserve"> hold, so that people who are governed by the law stand a chance of knowing what it is.</w:t>
      </w:r>
    </w:p>
    <w:p w14:paraId="54D05DD0" w14:textId="77777777" w:rsidR="004D01B8" w:rsidRDefault="004D01B8" w:rsidP="004D01B8">
      <w:pPr>
        <w:spacing w:line="240" w:lineRule="auto"/>
        <w:jc w:val="left"/>
        <w:rPr>
          <w:rFonts w:ascii="Times New Roman" w:hAnsi="Times New Roman" w:cs="Times New Roman"/>
        </w:rPr>
      </w:pPr>
    </w:p>
    <w:p w14:paraId="036E4FDD" w14:textId="77777777" w:rsidR="004D01B8" w:rsidRPr="00C8624D" w:rsidRDefault="004D01B8" w:rsidP="004D01B8">
      <w:pPr>
        <w:spacing w:line="240" w:lineRule="auto"/>
        <w:jc w:val="left"/>
        <w:rPr>
          <w:rFonts w:ascii="Times New Roman" w:hAnsi="Times New Roman" w:cs="Times New Roman"/>
          <w:lang w:eastAsia="zh-CN"/>
        </w:rPr>
      </w:pPr>
    </w:p>
    <w:p w14:paraId="08D6B321" w14:textId="6656B532" w:rsidR="00BB1E29" w:rsidRPr="00C8624D" w:rsidRDefault="00845ECE" w:rsidP="004D01B8">
      <w:pPr>
        <w:pStyle w:val="Heading2"/>
        <w:numPr>
          <w:ilvl w:val="0"/>
          <w:numId w:val="2"/>
        </w:numPr>
        <w:spacing w:line="240" w:lineRule="auto"/>
        <w:jc w:val="left"/>
        <w:rPr>
          <w:rFonts w:ascii="Times New Roman" w:hAnsi="Times New Roman"/>
        </w:rPr>
      </w:pPr>
      <w:r w:rsidRPr="00C8624D">
        <w:rPr>
          <w:rFonts w:ascii="Times New Roman" w:hAnsi="Times New Roman"/>
        </w:rPr>
        <w:t>Passive Euthanasia</w:t>
      </w:r>
      <w:r w:rsidR="00BB1E29" w:rsidRPr="00C8624D">
        <w:rPr>
          <w:rFonts w:ascii="Times New Roman" w:hAnsi="Times New Roman"/>
        </w:rPr>
        <w:t xml:space="preserve"> in Indian Law</w:t>
      </w:r>
      <w:r w:rsidRPr="00C8624D">
        <w:rPr>
          <w:rFonts w:ascii="Times New Roman" w:hAnsi="Times New Roman"/>
        </w:rPr>
        <w:t xml:space="preserve">: The </w:t>
      </w:r>
      <w:r w:rsidRPr="00C8624D">
        <w:rPr>
          <w:rFonts w:ascii="Times New Roman" w:hAnsi="Times New Roman"/>
          <w:i w:val="0"/>
          <w:iCs w:val="0"/>
        </w:rPr>
        <w:t>Shanbaug</w:t>
      </w:r>
      <w:r w:rsidRPr="00C8624D">
        <w:rPr>
          <w:rFonts w:ascii="Times New Roman" w:hAnsi="Times New Roman"/>
        </w:rPr>
        <w:t xml:space="preserve"> Case</w:t>
      </w:r>
    </w:p>
    <w:p w14:paraId="4E2132C0" w14:textId="70A51970" w:rsidR="005D3647" w:rsidRPr="00C8624D" w:rsidRDefault="00577930"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The development of the law surrounding passive euthanasia in India </w:t>
      </w:r>
      <w:r w:rsidR="005D3647" w:rsidRPr="00C8624D">
        <w:rPr>
          <w:rFonts w:ascii="Times New Roman" w:hAnsi="Times New Roman" w:cs="Times New Roman"/>
          <w:lang w:eastAsia="zh-CN"/>
        </w:rPr>
        <w:t xml:space="preserve">provides an interesting example of how these definitions play out in the “real world”.  The matter crystallised in 2011, in the </w:t>
      </w:r>
      <w:r w:rsidR="005D3647" w:rsidRPr="00C8624D">
        <w:rPr>
          <w:rFonts w:ascii="Times New Roman" w:hAnsi="Times New Roman" w:cs="Times New Roman"/>
          <w:i/>
          <w:iCs/>
          <w:lang w:eastAsia="zh-CN"/>
        </w:rPr>
        <w:t>Shanbaug</w:t>
      </w:r>
      <w:r w:rsidR="005D3647" w:rsidRPr="00C8624D">
        <w:rPr>
          <w:rFonts w:ascii="Times New Roman" w:hAnsi="Times New Roman" w:cs="Times New Roman"/>
          <w:lang w:eastAsia="zh-CN"/>
        </w:rPr>
        <w:t xml:space="preserve"> case</w:t>
      </w:r>
      <w:r w:rsidR="005D3647" w:rsidRPr="00C8624D">
        <w:rPr>
          <w:rFonts w:ascii="Times New Roman" w:hAnsi="Times New Roman" w:cs="Times New Roman"/>
        </w:rPr>
        <w:t>.</w:t>
      </w:r>
      <w:r w:rsidR="005D3647" w:rsidRPr="00C8624D">
        <w:rPr>
          <w:rStyle w:val="FootnoteReference"/>
          <w:rFonts w:ascii="Times New Roman" w:hAnsi="Times New Roman" w:cs="Times New Roman"/>
        </w:rPr>
        <w:footnoteReference w:id="7"/>
      </w:r>
    </w:p>
    <w:p w14:paraId="6AA4C6AA" w14:textId="77777777" w:rsidR="005D3647" w:rsidRPr="00C8624D" w:rsidRDefault="005D3647" w:rsidP="00E53B94">
      <w:pPr>
        <w:spacing w:line="480" w:lineRule="auto"/>
        <w:jc w:val="left"/>
        <w:rPr>
          <w:rFonts w:ascii="Times New Roman" w:hAnsi="Times New Roman" w:cs="Times New Roman"/>
        </w:rPr>
      </w:pPr>
    </w:p>
    <w:p w14:paraId="629E3A29" w14:textId="15F21227" w:rsidR="00254E74" w:rsidRPr="00C8624D" w:rsidRDefault="005D3647" w:rsidP="00E53B94">
      <w:pPr>
        <w:spacing w:line="240" w:lineRule="auto"/>
        <w:jc w:val="left"/>
        <w:rPr>
          <w:rFonts w:ascii="Times New Roman" w:hAnsi="Times New Roman" w:cs="Times New Roman"/>
        </w:rPr>
      </w:pPr>
      <w:r w:rsidRPr="00C8624D">
        <w:rPr>
          <w:rFonts w:ascii="Times New Roman" w:hAnsi="Times New Roman" w:cs="Times New Roman"/>
          <w:i/>
          <w:iCs/>
        </w:rPr>
        <w:t>Shanbaug</w:t>
      </w:r>
      <w:r w:rsidRPr="00C8624D">
        <w:rPr>
          <w:rFonts w:ascii="Times New Roman" w:hAnsi="Times New Roman" w:cs="Times New Roman"/>
        </w:rPr>
        <w:t xml:space="preserve"> concerned a woman, Aruna Ramachandra Shanbaug, who, after a particularly brutal sexual assault, had been left in a persistent vegetative state for almost 40 years. </w:t>
      </w:r>
      <w:r w:rsidR="00394C07" w:rsidRPr="00C8624D">
        <w:rPr>
          <w:rFonts w:ascii="Times New Roman" w:hAnsi="Times New Roman" w:cs="Times New Roman"/>
        </w:rPr>
        <w:t xml:space="preserve"> T</w:t>
      </w:r>
      <w:r w:rsidRPr="00C8624D">
        <w:rPr>
          <w:rFonts w:ascii="Times New Roman" w:hAnsi="Times New Roman" w:cs="Times New Roman"/>
        </w:rPr>
        <w:t xml:space="preserve">he </w:t>
      </w:r>
      <w:r w:rsidR="00ED72A5" w:rsidRPr="00C8624D">
        <w:rPr>
          <w:rFonts w:ascii="Times New Roman" w:hAnsi="Times New Roman" w:cs="Times New Roman"/>
        </w:rPr>
        <w:t xml:space="preserve">question before the Court concerned whether </w:t>
      </w:r>
      <w:r w:rsidRPr="00C8624D">
        <w:rPr>
          <w:rFonts w:ascii="Times New Roman" w:hAnsi="Times New Roman" w:cs="Times New Roman"/>
        </w:rPr>
        <w:t>leave should be given to halt artificial nutrition.</w:t>
      </w:r>
      <w:r w:rsidR="00BE1909" w:rsidRPr="00C8624D">
        <w:rPr>
          <w:rFonts w:ascii="Times New Roman" w:hAnsi="Times New Roman" w:cs="Times New Roman"/>
        </w:rPr>
        <w:t xml:space="preserve">  </w:t>
      </w:r>
      <w:r w:rsidR="00394C07" w:rsidRPr="00C8624D">
        <w:rPr>
          <w:rFonts w:ascii="Times New Roman" w:hAnsi="Times New Roman" w:cs="Times New Roman"/>
        </w:rPr>
        <w:t xml:space="preserve">In </w:t>
      </w:r>
      <w:r w:rsidR="00BE1909" w:rsidRPr="00C8624D">
        <w:rPr>
          <w:rFonts w:ascii="Times New Roman" w:hAnsi="Times New Roman" w:cs="Times New Roman"/>
        </w:rPr>
        <w:t>many ways</w:t>
      </w:r>
      <w:r w:rsidR="00394C07" w:rsidRPr="00C8624D">
        <w:rPr>
          <w:rFonts w:ascii="Times New Roman" w:hAnsi="Times New Roman" w:cs="Times New Roman"/>
        </w:rPr>
        <w:t xml:space="preserve">, the case reflected the English case of </w:t>
      </w:r>
      <w:r w:rsidR="00394C07" w:rsidRPr="00C8624D">
        <w:rPr>
          <w:rFonts w:ascii="Times New Roman" w:hAnsi="Times New Roman" w:cs="Times New Roman"/>
          <w:i/>
          <w:iCs/>
        </w:rPr>
        <w:t>Bland</w:t>
      </w:r>
      <w:r w:rsidR="00394C07" w:rsidRPr="00C8624D">
        <w:rPr>
          <w:rFonts w:ascii="Times New Roman" w:hAnsi="Times New Roman" w:cs="Times New Roman"/>
        </w:rPr>
        <w:t xml:space="preserve">, to which </w:t>
      </w:r>
      <w:r w:rsidR="007D650B" w:rsidRPr="00C8624D">
        <w:rPr>
          <w:rFonts w:ascii="Times New Roman" w:hAnsi="Times New Roman" w:cs="Times New Roman"/>
        </w:rPr>
        <w:t xml:space="preserve">Katju J </w:t>
      </w:r>
      <w:r w:rsidR="00394C07" w:rsidRPr="00C8624D">
        <w:rPr>
          <w:rFonts w:ascii="Times New Roman" w:hAnsi="Times New Roman" w:cs="Times New Roman"/>
        </w:rPr>
        <w:t xml:space="preserve">referred at length in </w:t>
      </w:r>
      <w:r w:rsidR="007D650B" w:rsidRPr="00C8624D">
        <w:rPr>
          <w:rFonts w:ascii="Times New Roman" w:hAnsi="Times New Roman" w:cs="Times New Roman"/>
        </w:rPr>
        <w:t>his</w:t>
      </w:r>
      <w:r w:rsidR="00394C07" w:rsidRPr="00C8624D">
        <w:rPr>
          <w:rFonts w:ascii="Times New Roman" w:hAnsi="Times New Roman" w:cs="Times New Roman"/>
        </w:rPr>
        <w:t xml:space="preserve"> judgment, and which concerned the withdrawal of nutrition and hydration from a man who had been in a persistent vegetative state sin</w:t>
      </w:r>
      <w:r w:rsidR="00DD5AED" w:rsidRPr="00C8624D">
        <w:rPr>
          <w:rFonts w:ascii="Times New Roman" w:hAnsi="Times New Roman" w:cs="Times New Roman"/>
        </w:rPr>
        <w:t>ce being crushed in the Hillsborough disaster a shade under four years previously.</w:t>
      </w:r>
      <w:r w:rsidR="00DD5AED" w:rsidRPr="00C8624D">
        <w:rPr>
          <w:rStyle w:val="FootnoteReference"/>
          <w:rFonts w:ascii="Times New Roman" w:hAnsi="Times New Roman" w:cs="Times New Roman"/>
        </w:rPr>
        <w:footnoteReference w:id="8"/>
      </w:r>
      <w:r w:rsidR="002E2185" w:rsidRPr="00C8624D">
        <w:rPr>
          <w:rFonts w:ascii="Times New Roman" w:hAnsi="Times New Roman" w:cs="Times New Roman"/>
        </w:rPr>
        <w:t xml:space="preserve">  (I shall return to the judgment from this case in a while</w:t>
      </w:r>
      <w:r w:rsidR="00BE1909" w:rsidRPr="00C8624D">
        <w:rPr>
          <w:rFonts w:ascii="Times New Roman" w:hAnsi="Times New Roman" w:cs="Times New Roman"/>
        </w:rPr>
        <w:t xml:space="preserve">, but note in the meantime that a significant difference between the two cases is that, in </w:t>
      </w:r>
      <w:r w:rsidR="00BE1909" w:rsidRPr="00C8624D">
        <w:rPr>
          <w:rFonts w:ascii="Times New Roman" w:hAnsi="Times New Roman" w:cs="Times New Roman"/>
          <w:i/>
          <w:iCs/>
        </w:rPr>
        <w:t>Bland</w:t>
      </w:r>
      <w:r w:rsidR="00BE1909" w:rsidRPr="00C8624D">
        <w:rPr>
          <w:rFonts w:ascii="Times New Roman" w:hAnsi="Times New Roman" w:cs="Times New Roman"/>
        </w:rPr>
        <w:t xml:space="preserve">, the medical staff were willing to remove treatment, and were seeking clarity about the legality of so doing; in </w:t>
      </w:r>
      <w:r w:rsidR="00BE1909" w:rsidRPr="00C8624D">
        <w:rPr>
          <w:rFonts w:ascii="Times New Roman" w:hAnsi="Times New Roman" w:cs="Times New Roman"/>
          <w:i/>
          <w:iCs/>
        </w:rPr>
        <w:t>Shanbaug</w:t>
      </w:r>
      <w:r w:rsidR="00BE1909" w:rsidRPr="00C8624D">
        <w:rPr>
          <w:rFonts w:ascii="Times New Roman" w:hAnsi="Times New Roman" w:cs="Times New Roman"/>
        </w:rPr>
        <w:t>, the petition was brought by a third party</w:t>
      </w:r>
      <w:r w:rsidR="00C337A3" w:rsidRPr="00C8624D">
        <w:rPr>
          <w:rFonts w:ascii="Times New Roman" w:hAnsi="Times New Roman" w:cs="Times New Roman"/>
        </w:rPr>
        <w:t>, the writer Pinki Virani</w:t>
      </w:r>
      <w:r w:rsidR="002E2185" w:rsidRPr="00C8624D">
        <w:rPr>
          <w:rFonts w:ascii="Times New Roman" w:hAnsi="Times New Roman" w:cs="Times New Roman"/>
        </w:rPr>
        <w:t>.</w:t>
      </w:r>
      <w:r w:rsidR="00032DCA" w:rsidRPr="00C8624D">
        <w:rPr>
          <w:rStyle w:val="FootnoteReference"/>
          <w:rFonts w:ascii="Times New Roman" w:hAnsi="Times New Roman" w:cs="Times New Roman"/>
        </w:rPr>
        <w:footnoteReference w:id="9"/>
      </w:r>
      <w:r w:rsidR="002E2185" w:rsidRPr="00C8624D">
        <w:rPr>
          <w:rFonts w:ascii="Times New Roman" w:hAnsi="Times New Roman" w:cs="Times New Roman"/>
        </w:rPr>
        <w:t>)</w:t>
      </w:r>
      <w:r w:rsidR="005026C2" w:rsidRPr="00C8624D">
        <w:rPr>
          <w:rFonts w:ascii="Times New Roman" w:hAnsi="Times New Roman" w:cs="Times New Roman"/>
        </w:rPr>
        <w:t xml:space="preserve">  </w:t>
      </w:r>
      <w:r w:rsidRPr="00C8624D">
        <w:rPr>
          <w:rFonts w:ascii="Times New Roman" w:hAnsi="Times New Roman" w:cs="Times New Roman"/>
        </w:rPr>
        <w:t>What was not clear was whether this would be permissible under the terms of the Constitution’s Article 21 guarantee of a right to life</w:t>
      </w:r>
      <w:r w:rsidR="00254E74" w:rsidRPr="00C8624D">
        <w:rPr>
          <w:rFonts w:ascii="Times New Roman" w:hAnsi="Times New Roman" w:cs="Times New Roman"/>
        </w:rPr>
        <w:t>.</w:t>
      </w:r>
    </w:p>
    <w:p w14:paraId="4C2EFBA9" w14:textId="77777777" w:rsidR="00254E74" w:rsidRPr="00C8624D" w:rsidRDefault="00254E74" w:rsidP="00E53B94">
      <w:pPr>
        <w:spacing w:line="480" w:lineRule="auto"/>
        <w:jc w:val="left"/>
        <w:rPr>
          <w:rFonts w:ascii="Times New Roman" w:hAnsi="Times New Roman" w:cs="Times New Roman"/>
        </w:rPr>
      </w:pPr>
    </w:p>
    <w:p w14:paraId="1F99A106" w14:textId="22650C4A" w:rsidR="00040DB7" w:rsidRPr="00C8624D" w:rsidRDefault="00DB6645" w:rsidP="00E53B94">
      <w:pPr>
        <w:spacing w:line="240" w:lineRule="auto"/>
        <w:jc w:val="left"/>
        <w:rPr>
          <w:rFonts w:ascii="Times New Roman" w:hAnsi="Times New Roman" w:cs="Times New Roman"/>
        </w:rPr>
      </w:pPr>
      <w:r w:rsidRPr="00C8624D">
        <w:rPr>
          <w:rFonts w:ascii="Times New Roman" w:hAnsi="Times New Roman" w:cs="Times New Roman"/>
        </w:rPr>
        <w:t>Guarantees of a right to life</w:t>
      </w:r>
      <w:r w:rsidR="00254E74" w:rsidRPr="00C8624D">
        <w:rPr>
          <w:rFonts w:ascii="Times New Roman" w:hAnsi="Times New Roman" w:cs="Times New Roman"/>
        </w:rPr>
        <w:t xml:space="preserve"> might be understood in a number of ways</w:t>
      </w:r>
      <w:r w:rsidR="00EE0D30" w:rsidRPr="00C8624D">
        <w:rPr>
          <w:rFonts w:ascii="Times New Roman" w:hAnsi="Times New Roman" w:cs="Times New Roman"/>
        </w:rPr>
        <w:t xml:space="preserve">, which we might place on a kind of mental spectrum.  At one end of the spectrum is </w:t>
      </w:r>
      <w:r w:rsidR="00846098" w:rsidRPr="00C8624D">
        <w:rPr>
          <w:rFonts w:ascii="Times New Roman" w:hAnsi="Times New Roman" w:cs="Times New Roman"/>
        </w:rPr>
        <w:t xml:space="preserve">a </w:t>
      </w:r>
      <w:r w:rsidR="00EE0D30" w:rsidRPr="00C8624D">
        <w:rPr>
          <w:rFonts w:ascii="Times New Roman" w:hAnsi="Times New Roman" w:cs="Times New Roman"/>
        </w:rPr>
        <w:t>“very hard” reading of the right, according to which individuals would be expected to preserve their own lives, as well as the lives of others</w:t>
      </w:r>
      <w:r w:rsidR="00846098" w:rsidRPr="00C8624D">
        <w:rPr>
          <w:rFonts w:ascii="Times New Roman" w:hAnsi="Times New Roman" w:cs="Times New Roman"/>
        </w:rPr>
        <w:t>.</w:t>
      </w:r>
      <w:r w:rsidR="00DA369E" w:rsidRPr="00C8624D">
        <w:rPr>
          <w:rFonts w:ascii="Times New Roman" w:hAnsi="Times New Roman" w:cs="Times New Roman"/>
        </w:rPr>
        <w:t xml:space="preserve">  (Declaring someone a </w:t>
      </w:r>
      <w:r w:rsidR="00DA369E" w:rsidRPr="00C8624D">
        <w:rPr>
          <w:rFonts w:ascii="Times New Roman" w:hAnsi="Times New Roman" w:cs="Times New Roman"/>
          <w:i/>
          <w:iCs/>
        </w:rPr>
        <w:t>felo de se</w:t>
      </w:r>
      <w:r w:rsidR="00DA369E" w:rsidRPr="00C8624D">
        <w:rPr>
          <w:rFonts w:ascii="Times New Roman" w:hAnsi="Times New Roman" w:cs="Times New Roman"/>
        </w:rPr>
        <w:t xml:space="preserve"> might be understood in this sense as reflecting the idea that he had violated a rule against self-preservation.) </w:t>
      </w:r>
      <w:r w:rsidR="005E66E5" w:rsidRPr="00C8624D">
        <w:rPr>
          <w:rFonts w:ascii="Times New Roman" w:hAnsi="Times New Roman" w:cs="Times New Roman"/>
        </w:rPr>
        <w:t xml:space="preserve"> </w:t>
      </w:r>
      <w:r w:rsidR="00EE0D30" w:rsidRPr="00C8624D">
        <w:rPr>
          <w:rFonts w:ascii="Times New Roman" w:hAnsi="Times New Roman" w:cs="Times New Roman"/>
        </w:rPr>
        <w:t xml:space="preserve">Moving along the spectrum from a very hard to a merely hard reading, it may mean that there is an overriding </w:t>
      </w:r>
      <w:r w:rsidR="00EE0D30" w:rsidRPr="00C8624D">
        <w:rPr>
          <w:rFonts w:ascii="Times New Roman" w:hAnsi="Times New Roman" w:cs="Times New Roman"/>
        </w:rPr>
        <w:lastRenderedPageBreak/>
        <w:t>duty on all individuals to act to preserve the lives of all other individuals, such that to allow someone to die would be to violate their right to life</w:t>
      </w:r>
      <w:r w:rsidR="00CC0063" w:rsidRPr="00C8624D">
        <w:rPr>
          <w:rFonts w:ascii="Times New Roman" w:hAnsi="Times New Roman" w:cs="Times New Roman"/>
        </w:rPr>
        <w:t>.  By contrast, a soft</w:t>
      </w:r>
      <w:r w:rsidR="005E66E5" w:rsidRPr="00C8624D">
        <w:rPr>
          <w:rFonts w:ascii="Times New Roman" w:hAnsi="Times New Roman" w:cs="Times New Roman"/>
        </w:rPr>
        <w:t xml:space="preserve"> reading of the right to life </w:t>
      </w:r>
      <w:r w:rsidR="00846098" w:rsidRPr="00C8624D">
        <w:rPr>
          <w:rFonts w:ascii="Times New Roman" w:hAnsi="Times New Roman" w:cs="Times New Roman"/>
        </w:rPr>
        <w:t xml:space="preserve">may mean </w:t>
      </w:r>
      <w:r w:rsidR="005E66E5" w:rsidRPr="00C8624D">
        <w:rPr>
          <w:rFonts w:ascii="Times New Roman" w:hAnsi="Times New Roman" w:cs="Times New Roman"/>
        </w:rPr>
        <w:t>that there is a duty on individuals to act to preserve the lives of all other individuals up to a certain limit of reasonability</w:t>
      </w:r>
      <w:r w:rsidR="00DF7F51" w:rsidRPr="00C8624D">
        <w:rPr>
          <w:rFonts w:ascii="Times New Roman" w:hAnsi="Times New Roman" w:cs="Times New Roman"/>
        </w:rPr>
        <w:t xml:space="preserve">.  </w:t>
      </w:r>
      <w:r w:rsidR="00CC0063" w:rsidRPr="00C8624D">
        <w:rPr>
          <w:rFonts w:ascii="Times New Roman" w:hAnsi="Times New Roman" w:cs="Times New Roman"/>
        </w:rPr>
        <w:t xml:space="preserve">What is reasonable </w:t>
      </w:r>
      <w:r w:rsidR="005E66E5" w:rsidRPr="00C8624D">
        <w:rPr>
          <w:rFonts w:ascii="Times New Roman" w:hAnsi="Times New Roman" w:cs="Times New Roman"/>
        </w:rPr>
        <w:t xml:space="preserve">may change depending on who the protagonists are: maybe what is reasonable to expect from doctors in an emergency room is different from what is reasonable to expect from other people in </w:t>
      </w:r>
      <w:r w:rsidR="0072528D" w:rsidRPr="00C8624D">
        <w:rPr>
          <w:rFonts w:ascii="Times New Roman" w:hAnsi="Times New Roman" w:cs="Times New Roman"/>
        </w:rPr>
        <w:t>other circumstances</w:t>
      </w:r>
      <w:r w:rsidR="00090920" w:rsidRPr="00C8624D">
        <w:rPr>
          <w:rFonts w:ascii="Times New Roman" w:hAnsi="Times New Roman" w:cs="Times New Roman"/>
        </w:rPr>
        <w:t>;</w:t>
      </w:r>
      <w:r w:rsidR="00090920" w:rsidRPr="00C8624D">
        <w:rPr>
          <w:rStyle w:val="FootnoteReference"/>
          <w:rFonts w:ascii="Times New Roman" w:hAnsi="Times New Roman" w:cs="Times New Roman"/>
        </w:rPr>
        <w:footnoteReference w:id="10"/>
      </w:r>
      <w:r w:rsidR="00090920" w:rsidRPr="00C8624D">
        <w:rPr>
          <w:rFonts w:ascii="Times New Roman" w:hAnsi="Times New Roman" w:cs="Times New Roman"/>
        </w:rPr>
        <w:t xml:space="preserve"> but it may be reasonable even for doctors to give up the fight in some circumstances</w:t>
      </w:r>
      <w:r w:rsidR="00DF7F51" w:rsidRPr="00C8624D">
        <w:rPr>
          <w:rFonts w:ascii="Times New Roman" w:hAnsi="Times New Roman" w:cs="Times New Roman"/>
        </w:rPr>
        <w:t>.</w:t>
      </w:r>
      <w:r w:rsidR="00CC0063" w:rsidRPr="00C8624D">
        <w:rPr>
          <w:rFonts w:ascii="Times New Roman" w:hAnsi="Times New Roman" w:cs="Times New Roman"/>
        </w:rPr>
        <w:t xml:space="preserve">  And a </w:t>
      </w:r>
      <w:r w:rsidR="008A5A67" w:rsidRPr="00C8624D">
        <w:rPr>
          <w:rFonts w:ascii="Times New Roman" w:hAnsi="Times New Roman" w:cs="Times New Roman"/>
        </w:rPr>
        <w:t>still-</w:t>
      </w:r>
      <w:r w:rsidR="00CC0063" w:rsidRPr="00C8624D">
        <w:rPr>
          <w:rFonts w:ascii="Times New Roman" w:hAnsi="Times New Roman" w:cs="Times New Roman"/>
        </w:rPr>
        <w:t xml:space="preserve">softer reading may mean simply that each of us has a right </w:t>
      </w:r>
      <w:r w:rsidR="0096491B" w:rsidRPr="00C8624D">
        <w:rPr>
          <w:rFonts w:ascii="Times New Roman" w:hAnsi="Times New Roman" w:cs="Times New Roman"/>
        </w:rPr>
        <w:t xml:space="preserve">bankable against others that they not take </w:t>
      </w:r>
      <w:r w:rsidR="00CC0063" w:rsidRPr="00C8624D">
        <w:rPr>
          <w:rFonts w:ascii="Times New Roman" w:hAnsi="Times New Roman" w:cs="Times New Roman"/>
        </w:rPr>
        <w:t>our life.</w:t>
      </w:r>
      <w:r w:rsidR="00815AED" w:rsidRPr="00C8624D">
        <w:rPr>
          <w:rFonts w:ascii="Times New Roman" w:hAnsi="Times New Roman" w:cs="Times New Roman"/>
        </w:rPr>
        <w:t xml:space="preserve"> </w:t>
      </w:r>
      <w:r w:rsidR="00CC0063" w:rsidRPr="00C8624D">
        <w:rPr>
          <w:rFonts w:ascii="Times New Roman" w:hAnsi="Times New Roman" w:cs="Times New Roman"/>
        </w:rPr>
        <w:t xml:space="preserve"> Having settled on a reading</w:t>
      </w:r>
      <w:r w:rsidR="00815AED" w:rsidRPr="00C8624D">
        <w:rPr>
          <w:rFonts w:ascii="Times New Roman" w:hAnsi="Times New Roman" w:cs="Times New Roman"/>
        </w:rPr>
        <w:t xml:space="preserve"> – it does not matter at this point which we choose – </w:t>
      </w:r>
      <w:r w:rsidR="00CC0063" w:rsidRPr="00C8624D">
        <w:rPr>
          <w:rFonts w:ascii="Times New Roman" w:hAnsi="Times New Roman" w:cs="Times New Roman"/>
        </w:rPr>
        <w:t xml:space="preserve">we may then wonder whether the right is </w:t>
      </w:r>
      <w:r w:rsidR="003F318E" w:rsidRPr="00C8624D">
        <w:rPr>
          <w:rFonts w:ascii="Times New Roman" w:hAnsi="Times New Roman" w:cs="Times New Roman"/>
        </w:rPr>
        <w:t>waiv</w:t>
      </w:r>
      <w:r w:rsidR="00CC0063" w:rsidRPr="00C8624D">
        <w:rPr>
          <w:rFonts w:ascii="Times New Roman" w:hAnsi="Times New Roman" w:cs="Times New Roman"/>
        </w:rPr>
        <w:t xml:space="preserve">able.  Katju </w:t>
      </w:r>
      <w:r w:rsidR="00BB7639" w:rsidRPr="00C8624D">
        <w:rPr>
          <w:rFonts w:ascii="Times New Roman" w:hAnsi="Times New Roman" w:cs="Times New Roman"/>
        </w:rPr>
        <w:t xml:space="preserve">J noted in his speech in </w:t>
      </w:r>
      <w:r w:rsidR="00BB7639" w:rsidRPr="00C8624D">
        <w:rPr>
          <w:rFonts w:ascii="Times New Roman" w:hAnsi="Times New Roman" w:cs="Times New Roman"/>
          <w:i/>
          <w:iCs/>
        </w:rPr>
        <w:t>Shanbaug</w:t>
      </w:r>
      <w:r w:rsidR="00CC0063" w:rsidRPr="00C8624D">
        <w:rPr>
          <w:rFonts w:ascii="Times New Roman" w:hAnsi="Times New Roman" w:cs="Times New Roman"/>
        </w:rPr>
        <w:t xml:space="preserve"> that</w:t>
      </w:r>
      <w:r w:rsidR="00BB7639" w:rsidRPr="00C8624D">
        <w:rPr>
          <w:rFonts w:ascii="Times New Roman" w:hAnsi="Times New Roman" w:cs="Times New Roman"/>
        </w:rPr>
        <w:t xml:space="preserve"> attempting suicide is a criminal offence in India under s. 309 of the Criminal Code</w:t>
      </w:r>
      <w:r w:rsidR="00CC0063" w:rsidRPr="00C8624D">
        <w:rPr>
          <w:rFonts w:ascii="Times New Roman" w:hAnsi="Times New Roman" w:cs="Times New Roman"/>
        </w:rPr>
        <w:t>;</w:t>
      </w:r>
      <w:r w:rsidR="00BB7639" w:rsidRPr="00C8624D">
        <w:rPr>
          <w:rStyle w:val="FootnoteReference"/>
          <w:rFonts w:ascii="Times New Roman" w:hAnsi="Times New Roman" w:cs="Times New Roman"/>
        </w:rPr>
        <w:footnoteReference w:id="11"/>
      </w:r>
      <w:r w:rsidR="00CC0063" w:rsidRPr="00C8624D">
        <w:rPr>
          <w:rFonts w:ascii="Times New Roman" w:hAnsi="Times New Roman" w:cs="Times New Roman"/>
        </w:rPr>
        <w:t xml:space="preserve"> this would seem to suggest that the right to life is non-</w:t>
      </w:r>
      <w:r w:rsidR="003F318E" w:rsidRPr="00C8624D">
        <w:rPr>
          <w:rFonts w:ascii="Times New Roman" w:hAnsi="Times New Roman" w:cs="Times New Roman"/>
        </w:rPr>
        <w:t>waiv</w:t>
      </w:r>
      <w:r w:rsidR="00CC0063" w:rsidRPr="00C8624D">
        <w:rPr>
          <w:rFonts w:ascii="Times New Roman" w:hAnsi="Times New Roman" w:cs="Times New Roman"/>
        </w:rPr>
        <w:t>able.</w:t>
      </w:r>
      <w:r w:rsidR="00D33240" w:rsidRPr="00C8624D">
        <w:rPr>
          <w:rStyle w:val="FootnoteReference"/>
          <w:rFonts w:ascii="Times New Roman" w:hAnsi="Times New Roman" w:cs="Times New Roman"/>
        </w:rPr>
        <w:footnoteReference w:id="12"/>
      </w:r>
      <w:r w:rsidR="00CC0063" w:rsidRPr="00C8624D">
        <w:rPr>
          <w:rFonts w:ascii="Times New Roman" w:hAnsi="Times New Roman" w:cs="Times New Roman"/>
        </w:rPr>
        <w:t xml:space="preserve">  But to say that a right to life is non-</w:t>
      </w:r>
      <w:r w:rsidR="000A1D82" w:rsidRPr="00C8624D">
        <w:rPr>
          <w:rFonts w:ascii="Times New Roman" w:hAnsi="Times New Roman" w:cs="Times New Roman"/>
        </w:rPr>
        <w:t>waivable</w:t>
      </w:r>
      <w:r w:rsidR="00CC0063" w:rsidRPr="00C8624D">
        <w:rPr>
          <w:rFonts w:ascii="Times New Roman" w:hAnsi="Times New Roman" w:cs="Times New Roman"/>
        </w:rPr>
        <w:t xml:space="preserve"> would appear to be to set about the task of transforming a right to life into an </w:t>
      </w:r>
      <w:r w:rsidR="00BB7639" w:rsidRPr="00C8624D">
        <w:rPr>
          <w:rFonts w:ascii="Times New Roman" w:hAnsi="Times New Roman" w:cs="Times New Roman"/>
        </w:rPr>
        <w:t>obligation to live</w:t>
      </w:r>
      <w:r w:rsidR="00CC0063" w:rsidRPr="00C8624D">
        <w:rPr>
          <w:rFonts w:ascii="Times New Roman" w:hAnsi="Times New Roman" w:cs="Times New Roman"/>
        </w:rPr>
        <w:t xml:space="preserve"> – which is to say, not a right at all</w:t>
      </w:r>
      <w:r w:rsidR="00BB7639" w:rsidRPr="00C8624D">
        <w:rPr>
          <w:rFonts w:ascii="Times New Roman" w:hAnsi="Times New Roman" w:cs="Times New Roman"/>
        </w:rPr>
        <w:t>.</w:t>
      </w:r>
      <w:r w:rsidR="005C3E4E">
        <w:rPr>
          <w:rStyle w:val="FootnoteReference"/>
          <w:rFonts w:ascii="Times New Roman" w:hAnsi="Times New Roman" w:cs="Times New Roman"/>
        </w:rPr>
        <w:footnoteReference w:id="13"/>
      </w:r>
      <w:r w:rsidR="00BB7639" w:rsidRPr="00C8624D">
        <w:rPr>
          <w:rFonts w:ascii="Times New Roman" w:hAnsi="Times New Roman" w:cs="Times New Roman"/>
        </w:rPr>
        <w:t xml:space="preserve">  </w:t>
      </w:r>
      <w:r w:rsidR="00040DB7" w:rsidRPr="00C8624D">
        <w:rPr>
          <w:rFonts w:ascii="Times New Roman" w:hAnsi="Times New Roman" w:cs="Times New Roman"/>
        </w:rPr>
        <w:t>And</w:t>
      </w:r>
      <w:r w:rsidR="00CC0063" w:rsidRPr="00C8624D">
        <w:rPr>
          <w:rFonts w:ascii="Times New Roman" w:hAnsi="Times New Roman" w:cs="Times New Roman"/>
        </w:rPr>
        <w:t xml:space="preserve"> even if the right is </w:t>
      </w:r>
      <w:r w:rsidR="003F318E" w:rsidRPr="00C8624D">
        <w:rPr>
          <w:rFonts w:ascii="Times New Roman" w:hAnsi="Times New Roman" w:cs="Times New Roman"/>
        </w:rPr>
        <w:t>waiv</w:t>
      </w:r>
      <w:r w:rsidR="00CC0063" w:rsidRPr="00C8624D">
        <w:rPr>
          <w:rFonts w:ascii="Times New Roman" w:hAnsi="Times New Roman" w:cs="Times New Roman"/>
        </w:rPr>
        <w:t xml:space="preserve">able, it does not follow automatically that </w:t>
      </w:r>
      <w:r w:rsidR="00BB7639" w:rsidRPr="00C8624D">
        <w:rPr>
          <w:rFonts w:ascii="Times New Roman" w:hAnsi="Times New Roman" w:cs="Times New Roman"/>
        </w:rPr>
        <w:t>others may assist a person in ending their own life, or that they may end it at the request of the one who dies</w:t>
      </w:r>
      <w:r w:rsidR="00040DB7" w:rsidRPr="00C8624D">
        <w:rPr>
          <w:rFonts w:ascii="Times New Roman" w:hAnsi="Times New Roman" w:cs="Times New Roman"/>
        </w:rPr>
        <w:t xml:space="preserve"> – although </w:t>
      </w:r>
      <w:r w:rsidR="00BB7639" w:rsidRPr="00C8624D">
        <w:rPr>
          <w:rFonts w:ascii="Times New Roman" w:hAnsi="Times New Roman" w:cs="Times New Roman"/>
        </w:rPr>
        <w:t xml:space="preserve">these would both be </w:t>
      </w:r>
      <w:r w:rsidR="00BB7639" w:rsidRPr="00C8624D">
        <w:rPr>
          <w:rFonts w:ascii="Times New Roman" w:hAnsi="Times New Roman" w:cs="Times New Roman"/>
          <w:i/>
          <w:iCs/>
        </w:rPr>
        <w:t>compatible</w:t>
      </w:r>
      <w:r w:rsidR="00BB7639" w:rsidRPr="00C8624D">
        <w:rPr>
          <w:rFonts w:ascii="Times New Roman" w:hAnsi="Times New Roman" w:cs="Times New Roman"/>
        </w:rPr>
        <w:t xml:space="preserve"> with a </w:t>
      </w:r>
      <w:r w:rsidR="003F318E" w:rsidRPr="00C8624D">
        <w:rPr>
          <w:rFonts w:ascii="Times New Roman" w:hAnsi="Times New Roman" w:cs="Times New Roman"/>
        </w:rPr>
        <w:t>waiv</w:t>
      </w:r>
      <w:r w:rsidR="00BB7639" w:rsidRPr="00C8624D">
        <w:rPr>
          <w:rFonts w:ascii="Times New Roman" w:hAnsi="Times New Roman" w:cs="Times New Roman"/>
        </w:rPr>
        <w:t>able right to life</w:t>
      </w:r>
      <w:r w:rsidR="00040DB7" w:rsidRPr="00C8624D">
        <w:rPr>
          <w:rFonts w:ascii="Times New Roman" w:hAnsi="Times New Roman" w:cs="Times New Roman"/>
        </w:rPr>
        <w:t>, and the argumentative gaps could be filled in without too much difficulty</w:t>
      </w:r>
      <w:r w:rsidR="0096491B" w:rsidRPr="00C8624D">
        <w:rPr>
          <w:rFonts w:ascii="Times New Roman" w:hAnsi="Times New Roman" w:cs="Times New Roman"/>
        </w:rPr>
        <w:t>.</w:t>
      </w:r>
    </w:p>
    <w:p w14:paraId="525C6DC2" w14:textId="77777777" w:rsidR="00040DB7" w:rsidRPr="00C8624D" w:rsidRDefault="00040DB7" w:rsidP="00E53B94">
      <w:pPr>
        <w:spacing w:line="480" w:lineRule="auto"/>
        <w:jc w:val="left"/>
        <w:rPr>
          <w:rFonts w:ascii="Times New Roman" w:hAnsi="Times New Roman" w:cs="Times New Roman"/>
        </w:rPr>
      </w:pPr>
    </w:p>
    <w:p w14:paraId="791863F5" w14:textId="49B09420" w:rsidR="00032DCA" w:rsidRPr="00C8624D" w:rsidRDefault="007C6A8C" w:rsidP="00E53B94">
      <w:pPr>
        <w:spacing w:line="240" w:lineRule="auto"/>
        <w:jc w:val="left"/>
        <w:rPr>
          <w:rFonts w:ascii="Times New Roman" w:hAnsi="Times New Roman" w:cs="Times New Roman"/>
        </w:rPr>
      </w:pPr>
      <w:r w:rsidRPr="00C8624D">
        <w:rPr>
          <w:rFonts w:ascii="Times New Roman" w:hAnsi="Times New Roman" w:cs="Times New Roman"/>
        </w:rPr>
        <w:t xml:space="preserve">Whichever way we cut the pie, though, the </w:t>
      </w:r>
      <w:r w:rsidR="003F318E" w:rsidRPr="00C8624D">
        <w:rPr>
          <w:rFonts w:ascii="Times New Roman" w:hAnsi="Times New Roman" w:cs="Times New Roman"/>
        </w:rPr>
        <w:t>waiv</w:t>
      </w:r>
      <w:r w:rsidRPr="00C8624D">
        <w:rPr>
          <w:rFonts w:ascii="Times New Roman" w:hAnsi="Times New Roman" w:cs="Times New Roman"/>
        </w:rPr>
        <w:t xml:space="preserve">ability or otherwise a right to life does </w:t>
      </w:r>
      <w:r w:rsidR="005C3E4E">
        <w:rPr>
          <w:rFonts w:ascii="Times New Roman" w:hAnsi="Times New Roman" w:cs="Times New Roman"/>
        </w:rPr>
        <w:t xml:space="preserve">not </w:t>
      </w:r>
      <w:r w:rsidRPr="00C8624D">
        <w:rPr>
          <w:rFonts w:ascii="Times New Roman" w:hAnsi="Times New Roman" w:cs="Times New Roman"/>
        </w:rPr>
        <w:t xml:space="preserve">seem to be straightforwardly compatible with what the plaintiffs were asking in </w:t>
      </w:r>
      <w:r w:rsidRPr="00C8624D">
        <w:rPr>
          <w:rFonts w:ascii="Times New Roman" w:hAnsi="Times New Roman" w:cs="Times New Roman"/>
          <w:i/>
          <w:iCs/>
        </w:rPr>
        <w:t>Shanbaug</w:t>
      </w:r>
      <w:r w:rsidRPr="00C8624D">
        <w:rPr>
          <w:rFonts w:ascii="Times New Roman" w:hAnsi="Times New Roman" w:cs="Times New Roman"/>
        </w:rPr>
        <w:t xml:space="preserve">.  After all, </w:t>
      </w:r>
      <w:r w:rsidR="005D3647" w:rsidRPr="00C8624D">
        <w:rPr>
          <w:rFonts w:ascii="Times New Roman" w:hAnsi="Times New Roman" w:cs="Times New Roman"/>
        </w:rPr>
        <w:t>Ms Shanbaug had expressed no wish to die</w:t>
      </w:r>
      <w:r w:rsidR="00032DCA" w:rsidRPr="00C8624D">
        <w:rPr>
          <w:rFonts w:ascii="Times New Roman" w:hAnsi="Times New Roman" w:cs="Times New Roman"/>
        </w:rPr>
        <w:t xml:space="preserve"> or to have treatment removed, and so could not be said to have </w:t>
      </w:r>
      <w:r w:rsidR="003F318E" w:rsidRPr="00C8624D">
        <w:rPr>
          <w:rFonts w:ascii="Times New Roman" w:hAnsi="Times New Roman" w:cs="Times New Roman"/>
        </w:rPr>
        <w:t>waiv</w:t>
      </w:r>
      <w:r w:rsidR="00032DCA" w:rsidRPr="00C8624D">
        <w:rPr>
          <w:rFonts w:ascii="Times New Roman" w:hAnsi="Times New Roman" w:cs="Times New Roman"/>
        </w:rPr>
        <w:t>ed her right to life anyway.  And the fact that it was not the medical staff caring for Ms Shanbaug, but a third party, who had launched the case simply adds to the suspicions that one might plausibly have about how compatible withdrawing treatment would be with Ms Shanbaug’s constitutional rights</w:t>
      </w:r>
      <w:r w:rsidR="003D7B71" w:rsidRPr="00C8624D">
        <w:rPr>
          <w:rFonts w:ascii="Times New Roman" w:hAnsi="Times New Roman" w:cs="Times New Roman"/>
        </w:rPr>
        <w:t>.</w:t>
      </w:r>
      <w:r w:rsidR="00032DCA" w:rsidRPr="00C8624D">
        <w:rPr>
          <w:rFonts w:ascii="Times New Roman" w:hAnsi="Times New Roman" w:cs="Times New Roman"/>
        </w:rPr>
        <w:t xml:space="preserve"> </w:t>
      </w:r>
      <w:r w:rsidR="003D7B71" w:rsidRPr="00C8624D">
        <w:rPr>
          <w:rFonts w:ascii="Times New Roman" w:hAnsi="Times New Roman" w:cs="Times New Roman"/>
        </w:rPr>
        <w:t xml:space="preserve"> As such, </w:t>
      </w:r>
      <w:r w:rsidR="00A725EC" w:rsidRPr="00C8624D">
        <w:rPr>
          <w:rFonts w:ascii="Times New Roman" w:hAnsi="Times New Roman" w:cs="Times New Roman"/>
        </w:rPr>
        <w:t xml:space="preserve">an observer might plausibly expect that the case </w:t>
      </w:r>
      <w:r w:rsidR="003D7B71" w:rsidRPr="00C8624D">
        <w:rPr>
          <w:rFonts w:ascii="Times New Roman" w:hAnsi="Times New Roman" w:cs="Times New Roman"/>
        </w:rPr>
        <w:t>could have been dismissed reasonably quickly</w:t>
      </w:r>
      <w:r w:rsidR="00A725EC" w:rsidRPr="00C8624D">
        <w:rPr>
          <w:rFonts w:ascii="Times New Roman" w:hAnsi="Times New Roman" w:cs="Times New Roman"/>
        </w:rPr>
        <w:t>; and Katju J himself admitted that dismissal could have been warranted.</w:t>
      </w:r>
      <w:r w:rsidR="003C18AF" w:rsidRPr="00C8624D">
        <w:rPr>
          <w:rStyle w:val="FootnoteReference"/>
          <w:rFonts w:ascii="Times New Roman" w:hAnsi="Times New Roman" w:cs="Times New Roman"/>
        </w:rPr>
        <w:footnoteReference w:id="14"/>
      </w:r>
    </w:p>
    <w:p w14:paraId="4FCA3628" w14:textId="77777777" w:rsidR="00032DCA" w:rsidRPr="00C8624D" w:rsidRDefault="00032DCA" w:rsidP="00E53B94">
      <w:pPr>
        <w:spacing w:line="480" w:lineRule="auto"/>
        <w:jc w:val="left"/>
        <w:rPr>
          <w:rFonts w:ascii="Times New Roman" w:hAnsi="Times New Roman" w:cs="Times New Roman"/>
        </w:rPr>
      </w:pPr>
    </w:p>
    <w:p w14:paraId="30498E5B" w14:textId="6AE09E1C" w:rsidR="003D7B71" w:rsidRPr="00C8624D" w:rsidRDefault="00032DCA" w:rsidP="00E53B94">
      <w:pPr>
        <w:spacing w:line="240" w:lineRule="auto"/>
        <w:jc w:val="left"/>
        <w:rPr>
          <w:rFonts w:ascii="Times New Roman" w:hAnsi="Times New Roman" w:cs="Times New Roman"/>
        </w:rPr>
      </w:pPr>
      <w:r w:rsidRPr="00C8624D">
        <w:rPr>
          <w:rFonts w:ascii="Times New Roman" w:hAnsi="Times New Roman" w:cs="Times New Roman"/>
        </w:rPr>
        <w:t xml:space="preserve">That the case was not dismissed can be attributed to the recognition that it </w:t>
      </w:r>
      <w:r w:rsidR="003D7B71" w:rsidRPr="00C8624D">
        <w:rPr>
          <w:rFonts w:ascii="Times New Roman" w:hAnsi="Times New Roman" w:cs="Times New Roman"/>
        </w:rPr>
        <w:t xml:space="preserve">raised important </w:t>
      </w:r>
      <w:r w:rsidR="00040DB7" w:rsidRPr="00C8624D">
        <w:rPr>
          <w:rFonts w:ascii="Times New Roman" w:hAnsi="Times New Roman" w:cs="Times New Roman"/>
        </w:rPr>
        <w:t xml:space="preserve">general </w:t>
      </w:r>
      <w:r w:rsidR="003D7B71" w:rsidRPr="00C8624D">
        <w:rPr>
          <w:rFonts w:ascii="Times New Roman" w:hAnsi="Times New Roman" w:cs="Times New Roman"/>
        </w:rPr>
        <w:t>points about end-of-life treatment, particularly concerning treatment of patients not expected to recover, that merited further consideration.  Granted that Ms Shanbaug had a constitutional right to life, ought that to be taken to mean that others simply had a duty not to kill her</w:t>
      </w:r>
      <w:r w:rsidR="00815AED" w:rsidRPr="00C8624D">
        <w:rPr>
          <w:rFonts w:ascii="Times New Roman" w:hAnsi="Times New Roman" w:cs="Times New Roman"/>
        </w:rPr>
        <w:t xml:space="preserve"> (as would be implied by a soft reading of the right to life) </w:t>
      </w:r>
      <w:r w:rsidR="003D7B71" w:rsidRPr="00C8624D">
        <w:rPr>
          <w:rFonts w:ascii="Times New Roman" w:hAnsi="Times New Roman" w:cs="Times New Roman"/>
        </w:rPr>
        <w:t>or that others had a duty to take steps to preserve her life</w:t>
      </w:r>
      <w:r w:rsidR="00815AED" w:rsidRPr="00C8624D">
        <w:rPr>
          <w:rFonts w:ascii="Times New Roman" w:hAnsi="Times New Roman" w:cs="Times New Roman"/>
        </w:rPr>
        <w:t xml:space="preserve"> (as would be implied by a harder reading)</w:t>
      </w:r>
      <w:r w:rsidR="003D7B71" w:rsidRPr="00C8624D">
        <w:rPr>
          <w:rFonts w:ascii="Times New Roman" w:hAnsi="Times New Roman" w:cs="Times New Roman"/>
        </w:rPr>
        <w:t>?  And, if the latter, what would it be reasonable to expect people to do in the discharge of that duty</w:t>
      </w:r>
      <w:r w:rsidR="00770059" w:rsidRPr="00C8624D">
        <w:rPr>
          <w:rFonts w:ascii="Times New Roman" w:hAnsi="Times New Roman" w:cs="Times New Roman"/>
        </w:rPr>
        <w:t>, granted that it may not be reasonable to expect medical staff to do everything conceivably possible</w:t>
      </w:r>
      <w:r w:rsidR="003D7B71" w:rsidRPr="00C8624D">
        <w:rPr>
          <w:rFonts w:ascii="Times New Roman" w:hAnsi="Times New Roman" w:cs="Times New Roman"/>
        </w:rPr>
        <w:t xml:space="preserve">?  If </w:t>
      </w:r>
      <w:r w:rsidR="003D7B71" w:rsidRPr="00C8624D">
        <w:rPr>
          <w:rFonts w:ascii="Times New Roman" w:hAnsi="Times New Roman" w:cs="Times New Roman"/>
        </w:rPr>
        <w:lastRenderedPageBreak/>
        <w:t>there is no reasonable hope that a patient will recover, is there still a duty to treat?  What if the patient’s general wellbeing is deteriorating?</w:t>
      </w:r>
      <w:r w:rsidR="00815AED" w:rsidRPr="00C8624D">
        <w:rPr>
          <w:rFonts w:ascii="Times New Roman" w:hAnsi="Times New Roman" w:cs="Times New Roman"/>
        </w:rPr>
        <w:t xml:space="preserve">  That is: how hard is the hard reading to be?</w:t>
      </w:r>
    </w:p>
    <w:p w14:paraId="7C41725B" w14:textId="2ED7C085" w:rsidR="00CC2BF0" w:rsidRPr="00C8624D" w:rsidRDefault="003D7B71" w:rsidP="00E53B94">
      <w:pPr>
        <w:spacing w:line="480" w:lineRule="auto"/>
        <w:jc w:val="left"/>
        <w:rPr>
          <w:rFonts w:ascii="Times New Roman" w:hAnsi="Times New Roman" w:cs="Times New Roman"/>
        </w:rPr>
      </w:pPr>
      <w:r w:rsidRPr="00C8624D">
        <w:rPr>
          <w:rFonts w:ascii="Times New Roman" w:hAnsi="Times New Roman" w:cs="Times New Roman"/>
        </w:rPr>
        <w:t xml:space="preserve"> </w:t>
      </w:r>
    </w:p>
    <w:p w14:paraId="701B4C7D" w14:textId="37B8B31A" w:rsidR="00006FA2" w:rsidRPr="00C8624D" w:rsidRDefault="00AF0FBD" w:rsidP="00E53B94">
      <w:pPr>
        <w:spacing w:line="240" w:lineRule="auto"/>
        <w:jc w:val="left"/>
        <w:rPr>
          <w:rFonts w:ascii="Times New Roman" w:hAnsi="Times New Roman" w:cs="Times New Roman"/>
        </w:rPr>
      </w:pPr>
      <w:r w:rsidRPr="00C8624D">
        <w:rPr>
          <w:rFonts w:ascii="Times New Roman" w:hAnsi="Times New Roman" w:cs="Times New Roman"/>
        </w:rPr>
        <w:t>In trying to formulate its approach to these questions, t</w:t>
      </w:r>
      <w:r w:rsidR="005D3647" w:rsidRPr="00C8624D">
        <w:rPr>
          <w:rFonts w:ascii="Times New Roman" w:hAnsi="Times New Roman" w:cs="Times New Roman"/>
        </w:rPr>
        <w:t>he Bench spent a great deal of time considering euthanasia</w:t>
      </w:r>
      <w:r w:rsidR="00BA182C" w:rsidRPr="00C8624D">
        <w:rPr>
          <w:rFonts w:ascii="Times New Roman" w:hAnsi="Times New Roman" w:cs="Times New Roman"/>
        </w:rPr>
        <w:t>.  This is no small matter</w:t>
      </w:r>
      <w:r w:rsidR="005D3647" w:rsidRPr="00C8624D">
        <w:rPr>
          <w:rFonts w:ascii="Times New Roman" w:hAnsi="Times New Roman" w:cs="Times New Roman"/>
        </w:rPr>
        <w:t>.  That such considerations were deemed relevant at all indicates that the Court was inclined to accept Definition 3*</w:t>
      </w:r>
      <w:r w:rsidR="00BA182C" w:rsidRPr="00C8624D">
        <w:rPr>
          <w:rFonts w:ascii="Times New Roman" w:hAnsi="Times New Roman" w:cs="Times New Roman"/>
        </w:rPr>
        <w:t xml:space="preserve"> – that is, that they treated the question of when it might be reasonable not to treat as being, more or less, the same as a question of when euthanasia might be permissible</w:t>
      </w:r>
      <w:r w:rsidR="005D3647" w:rsidRPr="00C8624D">
        <w:rPr>
          <w:rFonts w:ascii="Times New Roman" w:hAnsi="Times New Roman" w:cs="Times New Roman"/>
        </w:rPr>
        <w:t xml:space="preserve">.  After all, while </w:t>
      </w:r>
      <w:r w:rsidR="00BA182C" w:rsidRPr="00C8624D">
        <w:rPr>
          <w:rFonts w:ascii="Times New Roman" w:hAnsi="Times New Roman" w:cs="Times New Roman"/>
        </w:rPr>
        <w:t xml:space="preserve">it was proposed that </w:t>
      </w:r>
      <w:r w:rsidR="005D3647" w:rsidRPr="00C8624D">
        <w:rPr>
          <w:rFonts w:ascii="Times New Roman" w:hAnsi="Times New Roman" w:cs="Times New Roman"/>
        </w:rPr>
        <w:t xml:space="preserve">Ms Shanbaug’s doctors </w:t>
      </w:r>
      <w:r w:rsidR="00BA182C" w:rsidRPr="00C8624D">
        <w:rPr>
          <w:rFonts w:ascii="Times New Roman" w:hAnsi="Times New Roman" w:cs="Times New Roman"/>
        </w:rPr>
        <w:t>should</w:t>
      </w:r>
      <w:r w:rsidR="005D3647" w:rsidRPr="00C8624D">
        <w:rPr>
          <w:rFonts w:ascii="Times New Roman" w:hAnsi="Times New Roman" w:cs="Times New Roman"/>
        </w:rPr>
        <w:t xml:space="preserve"> remove treatment, it does not follow from that that </w:t>
      </w:r>
      <w:r w:rsidR="00BA182C" w:rsidRPr="00C8624D">
        <w:rPr>
          <w:rFonts w:ascii="Times New Roman" w:hAnsi="Times New Roman" w:cs="Times New Roman"/>
        </w:rPr>
        <w:t xml:space="preserve">anyone </w:t>
      </w:r>
      <w:r w:rsidR="005D3647" w:rsidRPr="00C8624D">
        <w:rPr>
          <w:rFonts w:ascii="Times New Roman" w:hAnsi="Times New Roman" w:cs="Times New Roman"/>
        </w:rPr>
        <w:t xml:space="preserve">intended her death: </w:t>
      </w:r>
      <w:r w:rsidR="00BA182C" w:rsidRPr="00C8624D">
        <w:rPr>
          <w:rFonts w:ascii="Times New Roman" w:hAnsi="Times New Roman" w:cs="Times New Roman"/>
        </w:rPr>
        <w:t xml:space="preserve">the petition did not mention taking other means to kill her in the event that she </w:t>
      </w:r>
      <w:r w:rsidR="005D3647" w:rsidRPr="00C8624D">
        <w:rPr>
          <w:rFonts w:ascii="Times New Roman" w:hAnsi="Times New Roman" w:cs="Times New Roman"/>
        </w:rPr>
        <w:t xml:space="preserve">somehow survived the withholding of nutrition.  </w:t>
      </w:r>
      <w:r w:rsidR="00D63992" w:rsidRPr="00C8624D">
        <w:rPr>
          <w:rFonts w:ascii="Times New Roman" w:hAnsi="Times New Roman" w:cs="Times New Roman"/>
        </w:rPr>
        <w:t>T</w:t>
      </w:r>
      <w:r w:rsidR="005D3647" w:rsidRPr="00C8624D">
        <w:rPr>
          <w:rFonts w:ascii="Times New Roman" w:hAnsi="Times New Roman" w:cs="Times New Roman"/>
        </w:rPr>
        <w:t xml:space="preserve">here would be no reason to think about euthanasia at all were Definition 3 the </w:t>
      </w:r>
      <w:r w:rsidR="00CB6C1B" w:rsidRPr="00C8624D">
        <w:rPr>
          <w:rFonts w:ascii="Times New Roman" w:hAnsi="Times New Roman" w:cs="Times New Roman"/>
        </w:rPr>
        <w:t xml:space="preserve">moral and jurisprudential </w:t>
      </w:r>
      <w:r w:rsidR="005D3647" w:rsidRPr="00C8624D">
        <w:rPr>
          <w:rFonts w:ascii="Times New Roman" w:hAnsi="Times New Roman" w:cs="Times New Roman"/>
        </w:rPr>
        <w:t>lodestone.</w:t>
      </w:r>
      <w:r w:rsidR="00006FA2" w:rsidRPr="00C8624D">
        <w:rPr>
          <w:rFonts w:ascii="Times New Roman" w:hAnsi="Times New Roman" w:cs="Times New Roman"/>
        </w:rPr>
        <w:t xml:space="preserve">  And we do indeed find statements that c</w:t>
      </w:r>
      <w:r w:rsidR="00D63992" w:rsidRPr="00C8624D">
        <w:rPr>
          <w:rFonts w:ascii="Times New Roman" w:hAnsi="Times New Roman" w:cs="Times New Roman"/>
        </w:rPr>
        <w:t>ohere with Definition 3*, and that</w:t>
      </w:r>
      <w:r w:rsidR="00006FA2" w:rsidRPr="00C8624D">
        <w:rPr>
          <w:rFonts w:ascii="Times New Roman" w:hAnsi="Times New Roman" w:cs="Times New Roman"/>
        </w:rPr>
        <w:t xml:space="preserve"> lend weight to the supposition that the bench was inclined to accepting it, in Katju J’s speech</w:t>
      </w:r>
      <w:r w:rsidR="00D63992" w:rsidRPr="00C8624D">
        <w:rPr>
          <w:rFonts w:ascii="Times New Roman" w:hAnsi="Times New Roman" w:cs="Times New Roman"/>
        </w:rPr>
        <w:t>.  Thus</w:t>
      </w:r>
      <w:r w:rsidR="00006FA2" w:rsidRPr="00C8624D">
        <w:rPr>
          <w:rFonts w:ascii="Times New Roman" w:hAnsi="Times New Roman" w:cs="Times New Roman"/>
        </w:rPr>
        <w:t>:</w:t>
      </w:r>
    </w:p>
    <w:p w14:paraId="21D7D496" w14:textId="1A0EF568" w:rsidR="005D3647" w:rsidRPr="00C8624D" w:rsidRDefault="00006FA2"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P</w:t>
      </w:r>
      <w:r w:rsidR="005D3647" w:rsidRPr="00C8624D">
        <w:rPr>
          <w:rFonts w:ascii="Times New Roman" w:hAnsi="Times New Roman" w:cs="Times New Roman"/>
          <w:sz w:val="24"/>
          <w:szCs w:val="24"/>
        </w:rPr>
        <w:t>assive euthanasia entails withholding of medical treatment for continuance of life, e.g. withholding of antibiotics where without giving it a patient is likely to die, or removing the heart lung machine, from a patient in coma.</w:t>
      </w:r>
      <w:r w:rsidR="005D3647" w:rsidRPr="00C8624D">
        <w:rPr>
          <w:rStyle w:val="FootnoteReference"/>
          <w:rFonts w:ascii="Times New Roman" w:hAnsi="Times New Roman" w:cs="Times New Roman"/>
          <w:sz w:val="24"/>
          <w:szCs w:val="24"/>
        </w:rPr>
        <w:footnoteReference w:id="15"/>
      </w:r>
      <w:r w:rsidR="005D3647" w:rsidRPr="00C8624D">
        <w:rPr>
          <w:rFonts w:ascii="Times New Roman" w:hAnsi="Times New Roman" w:cs="Times New Roman"/>
          <w:sz w:val="24"/>
          <w:szCs w:val="24"/>
        </w:rPr>
        <w:t xml:space="preserve"> </w:t>
      </w:r>
    </w:p>
    <w:p w14:paraId="21394270" w14:textId="173B0FCB" w:rsidR="008B268D" w:rsidRPr="00C8624D" w:rsidRDefault="00D63992" w:rsidP="00E53B94">
      <w:pPr>
        <w:spacing w:line="240" w:lineRule="auto"/>
        <w:jc w:val="left"/>
        <w:rPr>
          <w:rFonts w:ascii="Times New Roman" w:hAnsi="Times New Roman" w:cs="Times New Roman"/>
        </w:rPr>
      </w:pPr>
      <w:r w:rsidRPr="00C8624D">
        <w:rPr>
          <w:rFonts w:ascii="Times New Roman" w:hAnsi="Times New Roman" w:cs="Times New Roman"/>
        </w:rPr>
        <w:t>and</w:t>
      </w:r>
    </w:p>
    <w:p w14:paraId="66F52998" w14:textId="77777777" w:rsidR="0000659B" w:rsidRPr="00C8624D" w:rsidRDefault="0000659B"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 xml:space="preserve">The difference between 'active' and 'passive' euthanasia is that in active euthanasia, something is done to end the patient's life while in passive euthanasia, something is not done that would have preserved the patient's life. </w:t>
      </w:r>
    </w:p>
    <w:p w14:paraId="66498E73" w14:textId="77777777" w:rsidR="0000659B" w:rsidRPr="00C8624D" w:rsidRDefault="0000659B"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An important idea behind this distinction is that in 'passive euthanasia' the doctors are not actively killing anyone; they are simply not saving him.</w:t>
      </w:r>
      <w:r w:rsidRPr="00C8624D">
        <w:rPr>
          <w:rStyle w:val="FootnoteReference"/>
          <w:rFonts w:ascii="Times New Roman" w:hAnsi="Times New Roman" w:cs="Times New Roman"/>
          <w:sz w:val="24"/>
          <w:szCs w:val="24"/>
        </w:rPr>
        <w:footnoteReference w:id="16"/>
      </w:r>
    </w:p>
    <w:p w14:paraId="1BEC7D41" w14:textId="4661B6BD" w:rsidR="00780224" w:rsidRPr="00C8624D" w:rsidRDefault="0000659B" w:rsidP="00E53B94">
      <w:pPr>
        <w:spacing w:line="240" w:lineRule="auto"/>
        <w:jc w:val="left"/>
        <w:rPr>
          <w:rFonts w:ascii="Times New Roman" w:hAnsi="Times New Roman" w:cs="Times New Roman"/>
          <w:color w:val="000000"/>
        </w:rPr>
      </w:pPr>
      <w:r w:rsidRPr="00C8624D">
        <w:rPr>
          <w:rFonts w:ascii="Times New Roman" w:hAnsi="Times New Roman" w:cs="Times New Roman"/>
        </w:rPr>
        <w:t>While he admitted that not everyone is persuaded by the distinction, he said that he was</w:t>
      </w:r>
      <w:r w:rsidR="00D63992" w:rsidRPr="00C8624D">
        <w:rPr>
          <w:rFonts w:ascii="Times New Roman" w:hAnsi="Times New Roman" w:cs="Times New Roman"/>
        </w:rPr>
        <w:t>.</w:t>
      </w:r>
      <w:r w:rsidRPr="00C8624D">
        <w:rPr>
          <w:rStyle w:val="FootnoteReference"/>
          <w:rFonts w:ascii="Times New Roman" w:hAnsi="Times New Roman" w:cs="Times New Roman"/>
        </w:rPr>
        <w:footnoteReference w:id="17"/>
      </w:r>
      <w:r w:rsidRPr="00C8624D">
        <w:rPr>
          <w:rFonts w:ascii="Times New Roman" w:hAnsi="Times New Roman" w:cs="Times New Roman"/>
        </w:rPr>
        <w:t xml:space="preserve">  </w:t>
      </w:r>
      <w:r w:rsidR="005D3647" w:rsidRPr="00C8624D">
        <w:rPr>
          <w:rFonts w:ascii="Times New Roman" w:hAnsi="Times New Roman" w:cs="Times New Roman"/>
        </w:rPr>
        <w:t xml:space="preserve">However, </w:t>
      </w:r>
      <w:r w:rsidR="00006FA2" w:rsidRPr="00C8624D">
        <w:rPr>
          <w:rFonts w:ascii="Times New Roman" w:hAnsi="Times New Roman" w:cs="Times New Roman"/>
        </w:rPr>
        <w:t>matters are complicated by statements Katju J made elsewhere in his speech.  A</w:t>
      </w:r>
      <w:r w:rsidR="005D3647" w:rsidRPr="00C8624D">
        <w:rPr>
          <w:rFonts w:ascii="Times New Roman" w:hAnsi="Times New Roman" w:cs="Times New Roman"/>
        </w:rPr>
        <w:t xml:space="preserve">t paragraph 51, </w:t>
      </w:r>
      <w:r w:rsidR="00006FA2" w:rsidRPr="00C8624D">
        <w:rPr>
          <w:rFonts w:ascii="Times New Roman" w:hAnsi="Times New Roman" w:cs="Times New Roman"/>
        </w:rPr>
        <w:t xml:space="preserve">for example, he </w:t>
      </w:r>
      <w:r w:rsidR="005D3647" w:rsidRPr="00C8624D">
        <w:rPr>
          <w:rFonts w:ascii="Times New Roman" w:hAnsi="Times New Roman" w:cs="Times New Roman"/>
        </w:rPr>
        <w:t xml:space="preserve">appeared to </w:t>
      </w:r>
      <w:r w:rsidR="005C3E4E">
        <w:rPr>
          <w:rFonts w:ascii="Times New Roman" w:hAnsi="Times New Roman" w:cs="Times New Roman"/>
        </w:rPr>
        <w:t>clea</w:t>
      </w:r>
      <w:r w:rsidR="00006FA2" w:rsidRPr="00C8624D">
        <w:rPr>
          <w:rFonts w:ascii="Times New Roman" w:hAnsi="Times New Roman" w:cs="Times New Roman"/>
        </w:rPr>
        <w:t xml:space="preserve">ve </w:t>
      </w:r>
      <w:r w:rsidR="005D3647" w:rsidRPr="00C8624D">
        <w:rPr>
          <w:rFonts w:ascii="Times New Roman" w:hAnsi="Times New Roman" w:cs="Times New Roman"/>
        </w:rPr>
        <w:t xml:space="preserve">to something much more like Definition 3, saying that “[p]assive euthanasia is usually defined as withdrawing medical treatment </w:t>
      </w:r>
      <w:r w:rsidR="005D3647" w:rsidRPr="00C8624D">
        <w:rPr>
          <w:rFonts w:ascii="Times New Roman" w:hAnsi="Times New Roman" w:cs="Times New Roman"/>
          <w:i/>
          <w:iCs/>
        </w:rPr>
        <w:t>with a deliberate intention of causing the patient's death</w:t>
      </w:r>
      <w:r w:rsidR="005D3647" w:rsidRPr="00C8624D">
        <w:rPr>
          <w:rFonts w:ascii="Times New Roman" w:hAnsi="Times New Roman" w:cs="Times New Roman"/>
        </w:rPr>
        <w:t>”</w:t>
      </w:r>
      <w:r w:rsidR="005D3647" w:rsidRPr="00C8624D">
        <w:rPr>
          <w:rStyle w:val="FootnoteReference"/>
          <w:rFonts w:ascii="Times New Roman" w:hAnsi="Times New Roman" w:cs="Times New Roman"/>
        </w:rPr>
        <w:footnoteReference w:id="18"/>
      </w:r>
      <w:r w:rsidR="00334C28" w:rsidRPr="00C8624D">
        <w:rPr>
          <w:rFonts w:ascii="Times New Roman" w:hAnsi="Times New Roman" w:cs="Times New Roman"/>
        </w:rPr>
        <w:t>; and in the statement later in the same paragraph that “[d]enying food to a person in coma or PVS may also amount to passive euthanasia”, the word “may” is important: withholding life-sustaining interventions might, but need not, be seen as passive euthanasia</w:t>
      </w:r>
      <w:r w:rsidR="005C3E4E">
        <w:rPr>
          <w:rFonts w:ascii="Times New Roman" w:hAnsi="Times New Roman" w:cs="Times New Roman"/>
        </w:rPr>
        <w:t>.  This “may” would be out of place if one were committed to Definition 3*</w:t>
      </w:r>
      <w:r w:rsidR="005D3647" w:rsidRPr="00C8624D">
        <w:rPr>
          <w:rFonts w:ascii="Times New Roman" w:hAnsi="Times New Roman" w:cs="Times New Roman"/>
          <w:color w:val="000000"/>
        </w:rPr>
        <w:t>.</w:t>
      </w:r>
      <w:r w:rsidR="00D63992" w:rsidRPr="00C8624D">
        <w:rPr>
          <w:rFonts w:ascii="Times New Roman" w:hAnsi="Times New Roman" w:cs="Times New Roman"/>
          <w:color w:val="000000"/>
        </w:rPr>
        <w:t xml:space="preserve">  Depending on which part of the speech one reads, then, Katju J’s understanding of the term “passive euthanasia” may appear to be different things – sometimes more like Definition 3, and sometimes more like Definition 3*.</w:t>
      </w:r>
    </w:p>
    <w:p w14:paraId="12A62B7B" w14:textId="77777777" w:rsidR="00780224" w:rsidRPr="00C8624D" w:rsidRDefault="00780224" w:rsidP="00E53B94">
      <w:pPr>
        <w:spacing w:line="480" w:lineRule="auto"/>
        <w:jc w:val="left"/>
        <w:rPr>
          <w:rFonts w:ascii="Times New Roman" w:hAnsi="Times New Roman" w:cs="Times New Roman"/>
          <w:color w:val="000000"/>
        </w:rPr>
      </w:pPr>
    </w:p>
    <w:p w14:paraId="308A388E" w14:textId="60DA79BC" w:rsidR="00E6303D" w:rsidRPr="00C8624D" w:rsidRDefault="00E6303D" w:rsidP="00E53B94">
      <w:pPr>
        <w:spacing w:line="240" w:lineRule="auto"/>
        <w:jc w:val="left"/>
        <w:rPr>
          <w:rFonts w:ascii="Times New Roman" w:hAnsi="Times New Roman" w:cs="Times New Roman"/>
          <w:color w:val="000000"/>
        </w:rPr>
      </w:pPr>
      <w:r w:rsidRPr="00C8624D">
        <w:rPr>
          <w:rFonts w:ascii="Times New Roman" w:hAnsi="Times New Roman" w:cs="Times New Roman"/>
          <w:color w:val="000000"/>
        </w:rPr>
        <w:t>But</w:t>
      </w:r>
      <w:r w:rsidR="00AD58FF" w:rsidRPr="00C8624D">
        <w:rPr>
          <w:rFonts w:ascii="Times New Roman" w:hAnsi="Times New Roman" w:cs="Times New Roman"/>
          <w:color w:val="000000"/>
        </w:rPr>
        <w:t>, as I noted a moment ago,</w:t>
      </w:r>
      <w:r w:rsidR="0093526B" w:rsidRPr="00C8624D">
        <w:rPr>
          <w:rFonts w:ascii="Times New Roman" w:hAnsi="Times New Roman" w:cs="Times New Roman"/>
          <w:color w:val="000000"/>
        </w:rPr>
        <w:t xml:space="preserve"> Definition 3 and Definition 3* are mutually incompatible; and this means that</w:t>
      </w:r>
      <w:r w:rsidRPr="00C8624D">
        <w:rPr>
          <w:rFonts w:ascii="Times New Roman" w:hAnsi="Times New Roman" w:cs="Times New Roman"/>
          <w:color w:val="000000"/>
        </w:rPr>
        <w:t xml:space="preserve"> we</w:t>
      </w:r>
      <w:r w:rsidR="00C86F38" w:rsidRPr="00C8624D">
        <w:rPr>
          <w:rFonts w:ascii="Times New Roman" w:hAnsi="Times New Roman" w:cs="Times New Roman"/>
          <w:color w:val="000000"/>
        </w:rPr>
        <w:t xml:space="preserve"> have to choose</w:t>
      </w:r>
      <w:r w:rsidR="0093526B" w:rsidRPr="00C8624D">
        <w:rPr>
          <w:rFonts w:ascii="Times New Roman" w:hAnsi="Times New Roman" w:cs="Times New Roman"/>
          <w:color w:val="000000"/>
        </w:rPr>
        <w:t xml:space="preserve"> to accept one or the other.  Correspondingly, </w:t>
      </w:r>
      <w:r w:rsidRPr="00C8624D">
        <w:rPr>
          <w:rFonts w:ascii="Times New Roman" w:hAnsi="Times New Roman" w:cs="Times New Roman"/>
          <w:color w:val="000000"/>
        </w:rPr>
        <w:t xml:space="preserve">moving between them </w:t>
      </w:r>
      <w:r w:rsidR="0093526B" w:rsidRPr="00C8624D">
        <w:rPr>
          <w:rFonts w:ascii="Times New Roman" w:hAnsi="Times New Roman" w:cs="Times New Roman"/>
          <w:color w:val="000000"/>
        </w:rPr>
        <w:t xml:space="preserve">without even acknowledging their incompatibility </w:t>
      </w:r>
      <w:r w:rsidRPr="00C8624D">
        <w:rPr>
          <w:rFonts w:ascii="Times New Roman" w:hAnsi="Times New Roman" w:cs="Times New Roman"/>
          <w:color w:val="000000"/>
        </w:rPr>
        <w:t xml:space="preserve">would seem to cast some doubt on the reliability of any reasoning concerning the nature of passive euthanasia.  And, of course, since reasoning about the </w:t>
      </w:r>
      <w:r w:rsidRPr="00C8624D">
        <w:rPr>
          <w:rFonts w:ascii="Times New Roman" w:hAnsi="Times New Roman" w:cs="Times New Roman"/>
          <w:i/>
          <w:iCs/>
          <w:color w:val="000000"/>
        </w:rPr>
        <w:t>lawfulness</w:t>
      </w:r>
      <w:r w:rsidRPr="00C8624D">
        <w:rPr>
          <w:rFonts w:ascii="Times New Roman" w:hAnsi="Times New Roman" w:cs="Times New Roman"/>
          <w:color w:val="000000"/>
        </w:rPr>
        <w:t xml:space="preserve"> of passive euthanasia depends on clarity concerning its nature, one might well expect there to be a knock-on effect there.</w:t>
      </w:r>
    </w:p>
    <w:p w14:paraId="48FF21F8" w14:textId="77777777" w:rsidR="005D3647" w:rsidRPr="00C8624D" w:rsidRDefault="005D3647" w:rsidP="00E53B94">
      <w:pPr>
        <w:spacing w:line="480" w:lineRule="auto"/>
        <w:jc w:val="left"/>
        <w:rPr>
          <w:rFonts w:ascii="Times New Roman" w:hAnsi="Times New Roman" w:cs="Times New Roman"/>
        </w:rPr>
      </w:pPr>
    </w:p>
    <w:p w14:paraId="36081FAE" w14:textId="6A46497C" w:rsidR="005D3647" w:rsidRPr="00C8624D" w:rsidRDefault="0000659B" w:rsidP="00E53B94">
      <w:pPr>
        <w:spacing w:line="240" w:lineRule="auto"/>
        <w:jc w:val="left"/>
        <w:rPr>
          <w:rFonts w:ascii="Times New Roman" w:hAnsi="Times New Roman" w:cs="Times New Roman"/>
        </w:rPr>
      </w:pPr>
      <w:r w:rsidRPr="00C8624D">
        <w:rPr>
          <w:rFonts w:ascii="Times New Roman" w:hAnsi="Times New Roman" w:cs="Times New Roman"/>
        </w:rPr>
        <w:lastRenderedPageBreak/>
        <w:t>That said, when considering the lawfulness of passive euthanasia, Katju J noted that</w:t>
      </w:r>
    </w:p>
    <w:p w14:paraId="70B41A78" w14:textId="77777777" w:rsidR="005D3647" w:rsidRPr="00C8624D" w:rsidRDefault="005D3647"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while we can debate whether active euthanasia should be legal, there can be no debate about passive euthanasia: You cannot prosecute someone for failing to save a life.  Even if you think it would be good for people to do X, you cannot make it illegal for people to not do X, or everyone in the country who did not do X today would have to be arrested.</w:t>
      </w:r>
      <w:r w:rsidRPr="00C8624D">
        <w:rPr>
          <w:rStyle w:val="FootnoteReference"/>
          <w:rFonts w:ascii="Times New Roman" w:hAnsi="Times New Roman" w:cs="Times New Roman"/>
          <w:sz w:val="24"/>
          <w:szCs w:val="24"/>
        </w:rPr>
        <w:footnoteReference w:id="19"/>
      </w:r>
    </w:p>
    <w:p w14:paraId="17212EC1" w14:textId="1ABD194A" w:rsidR="00F24F82" w:rsidRPr="00C8624D" w:rsidRDefault="00C57252" w:rsidP="00E53B94">
      <w:pPr>
        <w:spacing w:line="240" w:lineRule="auto"/>
        <w:jc w:val="left"/>
        <w:rPr>
          <w:rFonts w:ascii="Times New Roman" w:hAnsi="Times New Roman" w:cs="Times New Roman"/>
        </w:rPr>
      </w:pPr>
      <w:r w:rsidRPr="00C8624D">
        <w:rPr>
          <w:rFonts w:ascii="Times New Roman" w:hAnsi="Times New Roman" w:cs="Times New Roman"/>
        </w:rPr>
        <w:t>A</w:t>
      </w:r>
      <w:r w:rsidR="00C30D05" w:rsidRPr="00C8624D">
        <w:rPr>
          <w:rFonts w:ascii="Times New Roman" w:hAnsi="Times New Roman" w:cs="Times New Roman"/>
        </w:rPr>
        <w:t xml:space="preserve"> simple – perhaps simplistic – </w:t>
      </w:r>
      <w:r w:rsidRPr="00C8624D">
        <w:rPr>
          <w:rFonts w:ascii="Times New Roman" w:hAnsi="Times New Roman" w:cs="Times New Roman"/>
        </w:rPr>
        <w:t>readin</w:t>
      </w:r>
      <w:r w:rsidR="00AD58FF" w:rsidRPr="00C8624D">
        <w:rPr>
          <w:rFonts w:ascii="Times New Roman" w:hAnsi="Times New Roman" w:cs="Times New Roman"/>
        </w:rPr>
        <w:t xml:space="preserve">g of this would take it at face </w:t>
      </w:r>
      <w:r w:rsidRPr="00C8624D">
        <w:rPr>
          <w:rFonts w:ascii="Times New Roman" w:hAnsi="Times New Roman" w:cs="Times New Roman"/>
        </w:rPr>
        <w:t xml:space="preserve">value, and treat it as a claim that, since there are many instances in which it would be absurd to prosecute someone for not saving a life, and since passive euthanasia is not saving a life, it would be absurd to prosecute someone for </w:t>
      </w:r>
      <w:r w:rsidR="00AD58FF" w:rsidRPr="00C8624D">
        <w:rPr>
          <w:rFonts w:ascii="Times New Roman" w:hAnsi="Times New Roman" w:cs="Times New Roman"/>
        </w:rPr>
        <w:t xml:space="preserve">passive </w:t>
      </w:r>
      <w:r w:rsidRPr="00C8624D">
        <w:rPr>
          <w:rFonts w:ascii="Times New Roman" w:hAnsi="Times New Roman" w:cs="Times New Roman"/>
        </w:rPr>
        <w:t xml:space="preserve">euthanasia.  But </w:t>
      </w:r>
      <w:r w:rsidR="00C30D05" w:rsidRPr="00C8624D">
        <w:rPr>
          <w:rFonts w:ascii="Times New Roman" w:hAnsi="Times New Roman" w:cs="Times New Roman"/>
        </w:rPr>
        <w:t>such a reading would be fallacious.  After all, even if some instances of not sa</w:t>
      </w:r>
      <w:r w:rsidR="003558B8" w:rsidRPr="00C8624D">
        <w:rPr>
          <w:rFonts w:ascii="Times New Roman" w:hAnsi="Times New Roman" w:cs="Times New Roman"/>
        </w:rPr>
        <w:t>ving a life ought not to be prosecuted, it doesn’t follow that no instance should.  The fact that t</w:t>
      </w:r>
      <w:r w:rsidRPr="00C8624D">
        <w:rPr>
          <w:rFonts w:ascii="Times New Roman" w:hAnsi="Times New Roman" w:cs="Times New Roman"/>
        </w:rPr>
        <w:t xml:space="preserve">here are some – perhaps many – instances in which </w:t>
      </w:r>
      <w:r w:rsidR="0027181D" w:rsidRPr="00C8624D">
        <w:rPr>
          <w:rFonts w:ascii="Times New Roman" w:hAnsi="Times New Roman" w:cs="Times New Roman"/>
        </w:rPr>
        <w:t>Aisha</w:t>
      </w:r>
      <w:r w:rsidRPr="00C8624D">
        <w:rPr>
          <w:rFonts w:ascii="Times New Roman" w:hAnsi="Times New Roman" w:cs="Times New Roman"/>
        </w:rPr>
        <w:t xml:space="preserve"> is not and ought not to be prosecuted for not saving </w:t>
      </w:r>
      <w:r w:rsidR="00F24F82" w:rsidRPr="00C8624D">
        <w:rPr>
          <w:rFonts w:ascii="Times New Roman" w:hAnsi="Times New Roman" w:cs="Times New Roman"/>
        </w:rPr>
        <w:t>Arjun</w:t>
      </w:r>
      <w:r w:rsidRPr="00C8624D">
        <w:rPr>
          <w:rFonts w:ascii="Times New Roman" w:hAnsi="Times New Roman" w:cs="Times New Roman"/>
        </w:rPr>
        <w:t xml:space="preserve">’s life </w:t>
      </w:r>
      <w:r w:rsidR="00F24F82" w:rsidRPr="00C8624D">
        <w:rPr>
          <w:rFonts w:ascii="Times New Roman" w:hAnsi="Times New Roman" w:cs="Times New Roman"/>
        </w:rPr>
        <w:t>will not tell us about every possible Aisha and every possible Arjun.</w:t>
      </w:r>
      <w:r w:rsidR="00C30D05" w:rsidRPr="00C8624D">
        <w:rPr>
          <w:rFonts w:ascii="Times New Roman" w:hAnsi="Times New Roman" w:cs="Times New Roman"/>
        </w:rPr>
        <w:t xml:space="preserve">  A lot depends on the context in which we find them, Aisha’s capabilities, and so on.  More importantly, a lot seems to ride on whether we think that Aisha has an all-things-considered duty at least to try to save Arjun’s life.</w:t>
      </w:r>
      <w:r w:rsidR="00F24F82" w:rsidRPr="00C8624D">
        <w:rPr>
          <w:rFonts w:ascii="Times New Roman" w:hAnsi="Times New Roman" w:cs="Times New Roman"/>
        </w:rPr>
        <w:t xml:space="preserve">  Indeed, though it is not made explicit, the message a little later is fairly clear:</w:t>
      </w:r>
    </w:p>
    <w:p w14:paraId="6F0B6B77" w14:textId="77777777" w:rsidR="00F24F82" w:rsidRPr="00C8624D" w:rsidRDefault="00F24F82"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In fact we have many laws that penalize people for what they did not do.  A person cannot simply decide not to pay his income taxes, or to bother to send his/ her children to school (where the law requires sending them), or not to obey a policeman’s order to put down one’s [</w:t>
      </w:r>
      <w:r w:rsidRPr="00C8624D">
        <w:rPr>
          <w:rFonts w:ascii="Times New Roman" w:hAnsi="Times New Roman" w:cs="Times New Roman"/>
          <w:i/>
          <w:iCs/>
          <w:sz w:val="24"/>
          <w:szCs w:val="24"/>
        </w:rPr>
        <w:t>sic</w:t>
      </w:r>
      <w:r w:rsidRPr="00C8624D">
        <w:rPr>
          <w:rFonts w:ascii="Times New Roman" w:hAnsi="Times New Roman" w:cs="Times New Roman"/>
          <w:sz w:val="24"/>
          <w:szCs w:val="24"/>
        </w:rPr>
        <w:t>] gun.</w:t>
      </w:r>
      <w:r w:rsidRPr="00C8624D">
        <w:rPr>
          <w:rStyle w:val="FootnoteReference"/>
          <w:rFonts w:ascii="Times New Roman" w:hAnsi="Times New Roman" w:cs="Times New Roman"/>
          <w:sz w:val="24"/>
          <w:szCs w:val="24"/>
        </w:rPr>
        <w:footnoteReference w:id="20"/>
      </w:r>
    </w:p>
    <w:p w14:paraId="138CEB77" w14:textId="2E69CC6F" w:rsidR="00F24F82" w:rsidRPr="00C8624D" w:rsidRDefault="00F24F82" w:rsidP="00E53B94">
      <w:pPr>
        <w:spacing w:line="240" w:lineRule="auto"/>
        <w:jc w:val="left"/>
        <w:rPr>
          <w:rFonts w:ascii="Times New Roman" w:hAnsi="Times New Roman" w:cs="Times New Roman"/>
        </w:rPr>
      </w:pPr>
      <w:r w:rsidRPr="00C8624D">
        <w:rPr>
          <w:rFonts w:ascii="Times New Roman" w:hAnsi="Times New Roman" w:cs="Times New Roman"/>
        </w:rPr>
        <w:t>The subtext here is that it may be proper to prosecute someone for not having done something, provided that it is the sort of thing that one would be expected to have a duty to do in the normal run of things.  And so the question would still be one of whether the medical staff looking after a given patient had a duty to preserve that patient’s life, given that not everybody does</w:t>
      </w:r>
      <w:r w:rsidR="003558B8" w:rsidRPr="00C8624D">
        <w:rPr>
          <w:rFonts w:ascii="Times New Roman" w:hAnsi="Times New Roman" w:cs="Times New Roman"/>
        </w:rPr>
        <w:t>, given what is medically possible, and so on</w:t>
      </w:r>
      <w:r w:rsidRPr="00C8624D">
        <w:rPr>
          <w:rFonts w:ascii="Times New Roman" w:hAnsi="Times New Roman" w:cs="Times New Roman"/>
        </w:rPr>
        <w:t>.  However, if it is decided that it would be lawful for medical staff not to</w:t>
      </w:r>
      <w:r w:rsidR="00CA59BF" w:rsidRPr="00C8624D">
        <w:rPr>
          <w:rFonts w:ascii="Times New Roman" w:hAnsi="Times New Roman" w:cs="Times New Roman"/>
        </w:rPr>
        <w:t xml:space="preserve"> administer life-saving treatment to at least some of their patients</w:t>
      </w:r>
      <w:r w:rsidRPr="00C8624D">
        <w:rPr>
          <w:rFonts w:ascii="Times New Roman" w:hAnsi="Times New Roman" w:cs="Times New Roman"/>
        </w:rPr>
        <w:t xml:space="preserve">, and if not saving that life is passive euthanasia, it would follow that passive euthanasia would be (or, at least, could be) lawful in India.  It is worth repeating that much here depends on accepting Definition 3*; </w:t>
      </w:r>
      <w:r w:rsidR="00A51792" w:rsidRPr="00C8624D">
        <w:rPr>
          <w:rFonts w:ascii="Times New Roman" w:hAnsi="Times New Roman" w:cs="Times New Roman"/>
        </w:rPr>
        <w:t xml:space="preserve">if </w:t>
      </w:r>
      <w:r w:rsidR="00400B38" w:rsidRPr="00C8624D">
        <w:rPr>
          <w:rFonts w:ascii="Times New Roman" w:hAnsi="Times New Roman" w:cs="Times New Roman"/>
        </w:rPr>
        <w:t xml:space="preserve">one thinks that there is a class of withholding treatment that is not passive euthanasia, then the lawfulness of passive euthanasia cannot be deduced from the lawfulness of </w:t>
      </w:r>
      <w:r w:rsidR="006439EE" w:rsidRPr="00C8624D">
        <w:rPr>
          <w:rFonts w:ascii="Times New Roman" w:hAnsi="Times New Roman" w:cs="Times New Roman"/>
        </w:rPr>
        <w:t xml:space="preserve">a given instance of </w:t>
      </w:r>
      <w:r w:rsidR="00400B38" w:rsidRPr="00C8624D">
        <w:rPr>
          <w:rFonts w:ascii="Times New Roman" w:hAnsi="Times New Roman" w:cs="Times New Roman"/>
        </w:rPr>
        <w:t>withholding treatment</w:t>
      </w:r>
      <w:r w:rsidR="00C52453" w:rsidRPr="00C8624D">
        <w:rPr>
          <w:rFonts w:ascii="Times New Roman" w:hAnsi="Times New Roman" w:cs="Times New Roman"/>
        </w:rPr>
        <w:t xml:space="preserve"> w</w:t>
      </w:r>
      <w:r w:rsidR="006439EE" w:rsidRPr="00C8624D">
        <w:rPr>
          <w:rFonts w:ascii="Times New Roman" w:hAnsi="Times New Roman" w:cs="Times New Roman"/>
        </w:rPr>
        <w:t>ithout further specifying that this is the kind of withholding that is properly classed as passive euthanasia</w:t>
      </w:r>
      <w:r w:rsidR="00400B38" w:rsidRPr="00C8624D">
        <w:rPr>
          <w:rFonts w:ascii="Times New Roman" w:hAnsi="Times New Roman" w:cs="Times New Roman"/>
        </w:rPr>
        <w:t>.</w:t>
      </w:r>
    </w:p>
    <w:p w14:paraId="362B3593" w14:textId="77777777" w:rsidR="00F24F82" w:rsidRPr="00C8624D" w:rsidRDefault="00F24F82" w:rsidP="00E53B94">
      <w:pPr>
        <w:spacing w:line="480" w:lineRule="auto"/>
        <w:jc w:val="left"/>
        <w:rPr>
          <w:rFonts w:ascii="Times New Roman" w:hAnsi="Times New Roman" w:cs="Times New Roman"/>
        </w:rPr>
      </w:pPr>
    </w:p>
    <w:p w14:paraId="04C4C433" w14:textId="60BD667F" w:rsidR="003136FF" w:rsidRPr="00C8624D" w:rsidRDefault="006439EE" w:rsidP="00E53B94">
      <w:pPr>
        <w:spacing w:line="240" w:lineRule="auto"/>
        <w:jc w:val="left"/>
        <w:rPr>
          <w:rFonts w:ascii="Times New Roman" w:hAnsi="Times New Roman" w:cs="Times New Roman"/>
        </w:rPr>
      </w:pPr>
      <w:r w:rsidRPr="00C8624D">
        <w:rPr>
          <w:rFonts w:ascii="Times New Roman" w:hAnsi="Times New Roman" w:cs="Times New Roman"/>
        </w:rPr>
        <w:t>But h</w:t>
      </w:r>
      <w:r w:rsidR="00F24F82" w:rsidRPr="00C8624D">
        <w:rPr>
          <w:rFonts w:ascii="Times New Roman" w:hAnsi="Times New Roman" w:cs="Times New Roman"/>
        </w:rPr>
        <w:t xml:space="preserve">aving satisfied </w:t>
      </w:r>
      <w:r w:rsidR="00A14342" w:rsidRPr="00C8624D">
        <w:rPr>
          <w:rFonts w:ascii="Times New Roman" w:hAnsi="Times New Roman" w:cs="Times New Roman"/>
        </w:rPr>
        <w:t xml:space="preserve">itself </w:t>
      </w:r>
      <w:r w:rsidR="00F24F82" w:rsidRPr="00C8624D">
        <w:rPr>
          <w:rFonts w:ascii="Times New Roman" w:hAnsi="Times New Roman" w:cs="Times New Roman"/>
        </w:rPr>
        <w:t xml:space="preserve">that a medic who does not treat in order to preserve life </w:t>
      </w:r>
      <w:r w:rsidR="00F24F82" w:rsidRPr="00C8624D">
        <w:rPr>
          <w:rFonts w:ascii="Times New Roman" w:hAnsi="Times New Roman" w:cs="Times New Roman"/>
          <w:i/>
          <w:iCs/>
        </w:rPr>
        <w:t>is</w:t>
      </w:r>
      <w:r w:rsidR="00F24F82" w:rsidRPr="00C8624D">
        <w:rPr>
          <w:rFonts w:ascii="Times New Roman" w:hAnsi="Times New Roman" w:cs="Times New Roman"/>
        </w:rPr>
        <w:t xml:space="preserve"> engaged in providing passive euthanasia, </w:t>
      </w:r>
      <w:r w:rsidR="00A14342" w:rsidRPr="00C8624D">
        <w:rPr>
          <w:rFonts w:ascii="Times New Roman" w:hAnsi="Times New Roman" w:cs="Times New Roman"/>
        </w:rPr>
        <w:t xml:space="preserve">the Court </w:t>
      </w:r>
      <w:r w:rsidR="00BD0B28" w:rsidRPr="00C8624D">
        <w:rPr>
          <w:rFonts w:ascii="Times New Roman" w:hAnsi="Times New Roman" w:cs="Times New Roman"/>
        </w:rPr>
        <w:t>decide</w:t>
      </w:r>
      <w:r w:rsidR="00D63B4C">
        <w:rPr>
          <w:rFonts w:ascii="Times New Roman" w:hAnsi="Times New Roman" w:cs="Times New Roman"/>
        </w:rPr>
        <w:t>d</w:t>
      </w:r>
      <w:r w:rsidRPr="00C8624D">
        <w:rPr>
          <w:rFonts w:ascii="Times New Roman" w:hAnsi="Times New Roman" w:cs="Times New Roman"/>
        </w:rPr>
        <w:t xml:space="preserve"> that </w:t>
      </w:r>
      <w:r w:rsidR="00BD0B28" w:rsidRPr="00C8624D">
        <w:rPr>
          <w:rFonts w:ascii="Times New Roman" w:hAnsi="Times New Roman" w:cs="Times New Roman"/>
        </w:rPr>
        <w:t xml:space="preserve">passive euthanasia, </w:t>
      </w:r>
      <w:r w:rsidR="00BD0B28" w:rsidRPr="00C8624D">
        <w:rPr>
          <w:rFonts w:ascii="Times New Roman" w:hAnsi="Times New Roman" w:cs="Times New Roman"/>
          <w:i/>
          <w:iCs/>
        </w:rPr>
        <w:t>qua</w:t>
      </w:r>
      <w:r w:rsidR="00BD0B28" w:rsidRPr="00C8624D">
        <w:rPr>
          <w:rFonts w:ascii="Times New Roman" w:hAnsi="Times New Roman" w:cs="Times New Roman"/>
        </w:rPr>
        <w:t xml:space="preserve"> withdrawing </w:t>
      </w:r>
      <w:r w:rsidR="003C18AF" w:rsidRPr="00C8624D">
        <w:rPr>
          <w:rFonts w:ascii="Times New Roman" w:hAnsi="Times New Roman" w:cs="Times New Roman"/>
        </w:rPr>
        <w:t xml:space="preserve">life-sustaining </w:t>
      </w:r>
      <w:r w:rsidR="00BD0B28" w:rsidRPr="00C8624D">
        <w:rPr>
          <w:rFonts w:ascii="Times New Roman" w:hAnsi="Times New Roman" w:cs="Times New Roman"/>
        </w:rPr>
        <w:t>treatment from Ms Shanbaug, was</w:t>
      </w:r>
      <w:r w:rsidR="00652E74" w:rsidRPr="00C8624D">
        <w:rPr>
          <w:rFonts w:ascii="Times New Roman" w:hAnsi="Times New Roman" w:cs="Times New Roman"/>
        </w:rPr>
        <w:t xml:space="preserve"> potentially</w:t>
      </w:r>
      <w:r w:rsidR="003C18AF" w:rsidRPr="00C8624D">
        <w:rPr>
          <w:rFonts w:ascii="Times New Roman" w:hAnsi="Times New Roman" w:cs="Times New Roman"/>
        </w:rPr>
        <w:t xml:space="preserve"> lawful, provided the medical staff caring for her sought and obtained the permission of the Bombay High Court.</w:t>
      </w:r>
      <w:r w:rsidR="003C18AF" w:rsidRPr="00C8624D">
        <w:rPr>
          <w:rStyle w:val="FootnoteReference"/>
          <w:rFonts w:ascii="Times New Roman" w:hAnsi="Times New Roman" w:cs="Times New Roman"/>
        </w:rPr>
        <w:footnoteReference w:id="21"/>
      </w:r>
    </w:p>
    <w:p w14:paraId="33AD6B51" w14:textId="77777777" w:rsidR="003136FF" w:rsidRPr="00C8624D" w:rsidRDefault="003136FF" w:rsidP="00E53B94">
      <w:pPr>
        <w:spacing w:line="480" w:lineRule="auto"/>
        <w:jc w:val="left"/>
        <w:rPr>
          <w:rFonts w:ascii="Times New Roman" w:hAnsi="Times New Roman" w:cs="Times New Roman"/>
        </w:rPr>
      </w:pPr>
    </w:p>
    <w:p w14:paraId="19EBAD26" w14:textId="5004FB0C" w:rsidR="000C6797" w:rsidRPr="00C8624D" w:rsidRDefault="00A14342" w:rsidP="00E53B94">
      <w:pPr>
        <w:spacing w:line="240" w:lineRule="auto"/>
        <w:jc w:val="left"/>
        <w:rPr>
          <w:rFonts w:ascii="Times New Roman" w:hAnsi="Times New Roman" w:cs="Times New Roman"/>
        </w:rPr>
      </w:pPr>
      <w:r w:rsidRPr="00C8624D">
        <w:rPr>
          <w:rFonts w:ascii="Times New Roman" w:hAnsi="Times New Roman" w:cs="Times New Roman"/>
        </w:rPr>
        <w:t>I</w:t>
      </w:r>
      <w:r w:rsidR="00BD0B28" w:rsidRPr="00C8624D">
        <w:rPr>
          <w:rFonts w:ascii="Times New Roman" w:hAnsi="Times New Roman" w:cs="Times New Roman"/>
        </w:rPr>
        <w:t xml:space="preserve">n </w:t>
      </w:r>
      <w:r w:rsidRPr="00C8624D">
        <w:rPr>
          <w:rFonts w:ascii="Times New Roman" w:hAnsi="Times New Roman" w:cs="Times New Roman"/>
        </w:rPr>
        <w:t xml:space="preserve">articulating the Court’s decision, Katju J </w:t>
      </w:r>
      <w:r w:rsidR="00BD0B28" w:rsidRPr="00C8624D">
        <w:rPr>
          <w:rFonts w:ascii="Times New Roman" w:hAnsi="Times New Roman" w:cs="Times New Roman"/>
        </w:rPr>
        <w:t>opined that this was entirely in line with the legal position in other countries:</w:t>
      </w:r>
    </w:p>
    <w:p w14:paraId="6643BFB8" w14:textId="5B7F6275" w:rsidR="005D3647" w:rsidRPr="00C8624D" w:rsidRDefault="00BD0B28"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lastRenderedPageBreak/>
        <w:t>T</w:t>
      </w:r>
      <w:r w:rsidR="005D3647" w:rsidRPr="00C8624D">
        <w:rPr>
          <w:rFonts w:ascii="Times New Roman" w:hAnsi="Times New Roman" w:cs="Times New Roman"/>
          <w:sz w:val="24"/>
          <w:szCs w:val="24"/>
        </w:rPr>
        <w:t>he general legal position all over the world seems to be that while active euthanasia is illegal unless there is legislation permitting it, passive euthanasia is legal even without legislation provided certain conditions and safeguards are maintained.</w:t>
      </w:r>
      <w:r w:rsidR="005D3647" w:rsidRPr="00C8624D">
        <w:rPr>
          <w:rStyle w:val="FootnoteReference"/>
          <w:rFonts w:ascii="Times New Roman" w:hAnsi="Times New Roman" w:cs="Times New Roman"/>
          <w:sz w:val="24"/>
          <w:szCs w:val="24"/>
        </w:rPr>
        <w:footnoteReference w:id="22"/>
      </w:r>
    </w:p>
    <w:p w14:paraId="7A18AFFC" w14:textId="25F6E4D9" w:rsidR="006439EE" w:rsidRPr="00C8624D" w:rsidRDefault="003136FF" w:rsidP="00E53B94">
      <w:pPr>
        <w:spacing w:line="240" w:lineRule="auto"/>
        <w:jc w:val="left"/>
        <w:rPr>
          <w:rFonts w:ascii="Times New Roman" w:hAnsi="Times New Roman" w:cs="Times New Roman"/>
          <w:lang w:eastAsia="zh-CN"/>
        </w:rPr>
      </w:pPr>
      <w:r w:rsidRPr="00C8624D">
        <w:rPr>
          <w:rFonts w:ascii="Times New Roman" w:hAnsi="Times New Roman" w:cs="Times New Roman"/>
        </w:rPr>
        <w:t>G</w:t>
      </w:r>
      <w:r w:rsidR="005D3647" w:rsidRPr="00C8624D">
        <w:rPr>
          <w:rFonts w:ascii="Times New Roman" w:hAnsi="Times New Roman" w:cs="Times New Roman"/>
        </w:rPr>
        <w:t>iven that relatively few states permit the intentional ending of patients’ lives, this could only be true granted Definition 3*.</w:t>
      </w:r>
      <w:r w:rsidRPr="00C8624D">
        <w:rPr>
          <w:rFonts w:ascii="Times New Roman" w:hAnsi="Times New Roman" w:cs="Times New Roman"/>
        </w:rPr>
        <w:t xml:space="preserve">  </w:t>
      </w:r>
      <w:r w:rsidR="000F4A10" w:rsidRPr="00C8624D">
        <w:rPr>
          <w:rFonts w:ascii="Times New Roman" w:hAnsi="Times New Roman" w:cs="Times New Roman"/>
        </w:rPr>
        <w:t>And</w:t>
      </w:r>
      <w:r w:rsidRPr="00C8624D">
        <w:rPr>
          <w:rFonts w:ascii="Times New Roman" w:hAnsi="Times New Roman" w:cs="Times New Roman"/>
        </w:rPr>
        <w:t xml:space="preserve"> </w:t>
      </w:r>
      <w:r w:rsidR="006439EE" w:rsidRPr="00C8624D">
        <w:rPr>
          <w:rFonts w:ascii="Times New Roman" w:hAnsi="Times New Roman" w:cs="Times New Roman"/>
        </w:rPr>
        <w:t xml:space="preserve">there is a reasonable number of people who would go along with the supposition that </w:t>
      </w:r>
      <w:r w:rsidR="00AD780B" w:rsidRPr="00C8624D">
        <w:rPr>
          <w:rFonts w:ascii="Times New Roman" w:hAnsi="Times New Roman" w:cs="Times New Roman"/>
        </w:rPr>
        <w:t xml:space="preserve">it is not uncommon to find </w:t>
      </w:r>
      <w:r w:rsidR="00BE70EB" w:rsidRPr="00C8624D">
        <w:rPr>
          <w:rFonts w:ascii="Times New Roman" w:hAnsi="Times New Roman" w:cs="Times New Roman"/>
        </w:rPr>
        <w:t xml:space="preserve">regimes in which </w:t>
      </w:r>
      <w:r w:rsidR="006439EE" w:rsidRPr="00C8624D">
        <w:rPr>
          <w:rFonts w:ascii="Times New Roman" w:hAnsi="Times New Roman" w:cs="Times New Roman"/>
        </w:rPr>
        <w:t>passive euthanasia</w:t>
      </w:r>
      <w:r w:rsidR="00BE70EB" w:rsidRPr="00C8624D">
        <w:rPr>
          <w:rFonts w:ascii="Times New Roman" w:hAnsi="Times New Roman" w:cs="Times New Roman"/>
        </w:rPr>
        <w:t xml:space="preserve">, </w:t>
      </w:r>
      <w:r w:rsidRPr="00C8624D">
        <w:rPr>
          <w:rFonts w:ascii="Times New Roman" w:hAnsi="Times New Roman" w:cs="Times New Roman"/>
        </w:rPr>
        <w:t xml:space="preserve">so long as it is </w:t>
      </w:r>
      <w:r w:rsidR="00BE70EB" w:rsidRPr="00C8624D">
        <w:rPr>
          <w:rFonts w:ascii="Times New Roman" w:hAnsi="Times New Roman" w:cs="Times New Roman"/>
        </w:rPr>
        <w:t>understood in accordance with Definition 3*, is</w:t>
      </w:r>
      <w:r w:rsidR="006439EE" w:rsidRPr="00C8624D">
        <w:rPr>
          <w:rFonts w:ascii="Times New Roman" w:hAnsi="Times New Roman" w:cs="Times New Roman"/>
        </w:rPr>
        <w:t xml:space="preserve"> legal</w:t>
      </w:r>
      <w:r w:rsidR="006439EE" w:rsidRPr="00C8624D">
        <w:rPr>
          <w:rFonts w:ascii="Times New Roman" w:hAnsi="Times New Roman" w:cs="Times New Roman"/>
          <w:lang w:eastAsia="zh-CN"/>
        </w:rPr>
        <w:t>.</w:t>
      </w:r>
      <w:r w:rsidR="00AD780B" w:rsidRPr="00C8624D">
        <w:rPr>
          <w:rFonts w:ascii="Times New Roman" w:hAnsi="Times New Roman" w:cs="Times New Roman"/>
          <w:lang w:eastAsia="zh-CN"/>
        </w:rPr>
        <w:t xml:space="preserve">  For example, i</w:t>
      </w:r>
      <w:r w:rsidR="006439EE" w:rsidRPr="00C8624D">
        <w:rPr>
          <w:rFonts w:ascii="Times New Roman" w:hAnsi="Times New Roman" w:cs="Times New Roman"/>
          <w:lang w:eastAsia="zh-CN"/>
        </w:rPr>
        <w:t xml:space="preserve">n his hugely influential </w:t>
      </w:r>
      <w:r w:rsidR="006439EE" w:rsidRPr="00C8624D">
        <w:rPr>
          <w:rFonts w:ascii="Times New Roman" w:hAnsi="Times New Roman" w:cs="Times New Roman"/>
          <w:i/>
          <w:iCs/>
          <w:lang w:eastAsia="zh-CN"/>
        </w:rPr>
        <w:t>The Value of Life</w:t>
      </w:r>
      <w:r w:rsidR="006439EE" w:rsidRPr="00C8624D">
        <w:rPr>
          <w:rFonts w:ascii="Times New Roman" w:hAnsi="Times New Roman" w:cs="Times New Roman"/>
          <w:lang w:eastAsia="zh-CN"/>
        </w:rPr>
        <w:t>, John Harris writes that “The law […] forbids active euthanasia, but passive euthanasia is outlawed only where there is a positive duty to save life”</w:t>
      </w:r>
      <w:r w:rsidR="006439EE" w:rsidRPr="00C8624D">
        <w:rPr>
          <w:rStyle w:val="FootnoteReference"/>
          <w:rFonts w:ascii="Times New Roman" w:hAnsi="Times New Roman" w:cs="Times New Roman"/>
          <w:lang w:eastAsia="zh-CN"/>
        </w:rPr>
        <w:footnoteReference w:id="23"/>
      </w:r>
      <w:r w:rsidR="006439EE" w:rsidRPr="00C8624D">
        <w:rPr>
          <w:rFonts w:ascii="Times New Roman" w:hAnsi="Times New Roman" w:cs="Times New Roman"/>
          <w:lang w:eastAsia="zh-CN"/>
        </w:rPr>
        <w:t xml:space="preserve"> – which implies that passive euthanasia is legal except where it is expressly forbidden. Leanne Bell writes in her 2012 textbook </w:t>
      </w:r>
      <w:r w:rsidR="006439EE" w:rsidRPr="00C8624D">
        <w:rPr>
          <w:rFonts w:ascii="Times New Roman" w:hAnsi="Times New Roman" w:cs="Times New Roman"/>
          <w:i/>
          <w:iCs/>
          <w:lang w:eastAsia="zh-CN"/>
        </w:rPr>
        <w:t>Medical Law and Ethics</w:t>
      </w:r>
      <w:r w:rsidR="006439EE" w:rsidRPr="00C8624D">
        <w:rPr>
          <w:rFonts w:ascii="Times New Roman" w:hAnsi="Times New Roman" w:cs="Times New Roman"/>
          <w:lang w:eastAsia="zh-CN"/>
        </w:rPr>
        <w:t xml:space="preserve"> that “</w:t>
      </w:r>
      <w:r w:rsidR="006439EE" w:rsidRPr="00C8624D">
        <w:rPr>
          <w:rFonts w:ascii="Times New Roman" w:hAnsi="Times New Roman" w:cs="Times New Roman"/>
        </w:rPr>
        <w:t xml:space="preserve">passive euthanasia involves the withholding or withdrawing of treatment from the patient, i.e. an omission rather than an act, and, in certain circumstances, </w:t>
      </w:r>
      <w:r w:rsidR="006439EE" w:rsidRPr="00C8624D">
        <w:rPr>
          <w:rFonts w:ascii="Times New Roman" w:hAnsi="Times New Roman" w:cs="Times New Roman"/>
          <w:i/>
          <w:iCs/>
        </w:rPr>
        <w:t>can be legal</w:t>
      </w:r>
      <w:r w:rsidR="006439EE" w:rsidRPr="00C8624D">
        <w:rPr>
          <w:rFonts w:ascii="Times New Roman" w:hAnsi="Times New Roman" w:cs="Times New Roman"/>
        </w:rPr>
        <w:t>”</w:t>
      </w:r>
      <w:r w:rsidR="006439EE" w:rsidRPr="00C8624D">
        <w:rPr>
          <w:rStyle w:val="FootnoteReference"/>
          <w:rFonts w:ascii="Times New Roman" w:hAnsi="Times New Roman" w:cs="Times New Roman"/>
        </w:rPr>
        <w:footnoteReference w:id="24"/>
      </w:r>
      <w:r w:rsidR="006439EE" w:rsidRPr="00C8624D">
        <w:rPr>
          <w:rFonts w:ascii="Times New Roman" w:hAnsi="Times New Roman" w:cs="Times New Roman"/>
        </w:rPr>
        <w:t xml:space="preserve">.  Similarly, Banović </w:t>
      </w:r>
      <w:r w:rsidR="006439EE" w:rsidRPr="00C8624D">
        <w:rPr>
          <w:rFonts w:ascii="Times New Roman" w:hAnsi="Times New Roman" w:cs="Times New Roman"/>
          <w:i/>
          <w:iCs/>
        </w:rPr>
        <w:t>et al</w:t>
      </w:r>
      <w:r w:rsidR="006439EE" w:rsidRPr="00C8624D">
        <w:rPr>
          <w:rFonts w:ascii="Times New Roman" w:hAnsi="Times New Roman" w:cs="Times New Roman"/>
        </w:rPr>
        <w:t xml:space="preserve"> assert confidently that “active direct euthanasia is a forbidden way of the deprivation of the patients’ life, while its passive form is commonly accepted”</w:t>
      </w:r>
      <w:r w:rsidR="006439EE" w:rsidRPr="00C8624D">
        <w:rPr>
          <w:rStyle w:val="FootnoteReference"/>
          <w:rFonts w:ascii="Times New Roman" w:hAnsi="Times New Roman" w:cs="Times New Roman"/>
        </w:rPr>
        <w:footnoteReference w:id="25"/>
      </w:r>
      <w:r w:rsidR="006439EE" w:rsidRPr="00C8624D">
        <w:rPr>
          <w:rFonts w:ascii="Times New Roman" w:hAnsi="Times New Roman" w:cs="Times New Roman"/>
        </w:rPr>
        <w:t xml:space="preserve">.  Likewise, with an emphasis on Germany, Trappe asserts that </w:t>
      </w:r>
    </w:p>
    <w:p w14:paraId="20244478" w14:textId="77777777" w:rsidR="006439EE" w:rsidRPr="00C8624D" w:rsidRDefault="006439EE"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[p]assive euthanasia is the omission or reduction of possibly life-prolonging treatment measures.  Passive euthanasia requires the patient’s consent and is legally and ethically permissible.</w:t>
      </w:r>
      <w:r w:rsidRPr="00C8624D">
        <w:rPr>
          <w:rStyle w:val="FootnoteReference"/>
          <w:rFonts w:ascii="Times New Roman" w:hAnsi="Times New Roman" w:cs="Times New Roman"/>
          <w:sz w:val="24"/>
          <w:szCs w:val="24"/>
        </w:rPr>
        <w:footnoteReference w:id="26"/>
      </w:r>
    </w:p>
    <w:p w14:paraId="2C7AB258" w14:textId="2A63750E" w:rsidR="006439EE" w:rsidRPr="00C8624D" w:rsidRDefault="006439EE" w:rsidP="00E53B94">
      <w:pPr>
        <w:spacing w:line="240" w:lineRule="auto"/>
        <w:jc w:val="left"/>
        <w:rPr>
          <w:rFonts w:ascii="Times New Roman" w:hAnsi="Times New Roman" w:cs="Times New Roman"/>
        </w:rPr>
      </w:pPr>
      <w:r w:rsidRPr="00C8624D">
        <w:rPr>
          <w:rFonts w:ascii="Times New Roman" w:hAnsi="Times New Roman" w:cs="Times New Roman"/>
        </w:rPr>
        <w:t>For their part, Khader and Mrayyan argue for the legal permissibility of passive euthanasia in Jordan, based on their understanding of the term to cover “allowing a patient to die by withholding treatment”</w:t>
      </w:r>
      <w:r w:rsidRPr="00C8624D">
        <w:rPr>
          <w:rStyle w:val="FootnoteReference"/>
          <w:rFonts w:ascii="Times New Roman" w:hAnsi="Times New Roman" w:cs="Times New Roman"/>
        </w:rPr>
        <w:footnoteReference w:id="27"/>
      </w:r>
      <w:r w:rsidRPr="00C8624D">
        <w:rPr>
          <w:rFonts w:ascii="Times New Roman" w:hAnsi="Times New Roman" w:cs="Times New Roman"/>
        </w:rPr>
        <w:t xml:space="preserve"> – that is, based on having accepted a version of Definition 3*.</w:t>
      </w:r>
    </w:p>
    <w:p w14:paraId="77155A2E" w14:textId="77777777" w:rsidR="006439EE" w:rsidRPr="00C8624D" w:rsidRDefault="006439EE" w:rsidP="00E53B94">
      <w:pPr>
        <w:spacing w:line="480" w:lineRule="auto"/>
        <w:jc w:val="left"/>
        <w:rPr>
          <w:rFonts w:ascii="Times New Roman" w:hAnsi="Times New Roman" w:cs="Times New Roman"/>
        </w:rPr>
      </w:pPr>
    </w:p>
    <w:p w14:paraId="501ED933" w14:textId="19673AD8" w:rsidR="005D3647" w:rsidRPr="00C8624D" w:rsidRDefault="00D63B4C" w:rsidP="004D01B8">
      <w:pPr>
        <w:spacing w:line="240" w:lineRule="auto"/>
        <w:jc w:val="left"/>
        <w:rPr>
          <w:rFonts w:ascii="Times New Roman" w:hAnsi="Times New Roman" w:cs="Times New Roman"/>
        </w:rPr>
      </w:pPr>
      <w:r>
        <w:rPr>
          <w:rFonts w:ascii="Times New Roman" w:hAnsi="Times New Roman" w:cs="Times New Roman"/>
        </w:rPr>
        <w:t>Nevertheless, t</w:t>
      </w:r>
      <w:r w:rsidR="004D01B8">
        <w:rPr>
          <w:rFonts w:ascii="Times New Roman" w:hAnsi="Times New Roman" w:cs="Times New Roman"/>
        </w:rPr>
        <w:t>he problem should be clear.  A</w:t>
      </w:r>
      <w:r w:rsidR="003136FF" w:rsidRPr="00C8624D">
        <w:rPr>
          <w:rFonts w:ascii="Times New Roman" w:hAnsi="Times New Roman" w:cs="Times New Roman"/>
        </w:rPr>
        <w:t xml:space="preserve">s </w:t>
      </w:r>
      <w:r w:rsidR="00C8624D" w:rsidRPr="00C8624D">
        <w:rPr>
          <w:rFonts w:ascii="Times New Roman" w:hAnsi="Times New Roman" w:cs="Times New Roman"/>
        </w:rPr>
        <w:t xml:space="preserve">we have seen, Katju </w:t>
      </w:r>
      <w:r w:rsidR="0097370E" w:rsidRPr="00C8624D">
        <w:rPr>
          <w:rFonts w:ascii="Times New Roman" w:hAnsi="Times New Roman" w:cs="Times New Roman"/>
        </w:rPr>
        <w:t xml:space="preserve">J’s </w:t>
      </w:r>
      <w:r w:rsidR="003136FF" w:rsidRPr="00C8624D">
        <w:rPr>
          <w:rFonts w:ascii="Times New Roman" w:hAnsi="Times New Roman" w:cs="Times New Roman"/>
        </w:rPr>
        <w:t xml:space="preserve">speech </w:t>
      </w:r>
      <w:r w:rsidR="00C8624D" w:rsidRPr="00C8624D">
        <w:rPr>
          <w:rFonts w:ascii="Times New Roman" w:hAnsi="Times New Roman" w:cs="Times New Roman"/>
        </w:rPr>
        <w:t>appears sometimes to cohere with Definition 3, and sometimes with Definition 3*</w:t>
      </w:r>
      <w:r w:rsidR="003136FF" w:rsidRPr="00C8624D">
        <w:rPr>
          <w:rFonts w:ascii="Times New Roman" w:hAnsi="Times New Roman" w:cs="Times New Roman"/>
        </w:rPr>
        <w:t xml:space="preserve">.  </w:t>
      </w:r>
      <w:r w:rsidR="00C8624D" w:rsidRPr="00C8624D">
        <w:rPr>
          <w:rFonts w:ascii="Times New Roman" w:hAnsi="Times New Roman" w:cs="Times New Roman"/>
        </w:rPr>
        <w:t>Since the two are incompatible – intention to end life either is or isn’t part of the concept of passive euthanasia, and can’t be both – t</w:t>
      </w:r>
      <w:r w:rsidR="003136FF" w:rsidRPr="00C8624D">
        <w:rPr>
          <w:rFonts w:ascii="Times New Roman" w:hAnsi="Times New Roman" w:cs="Times New Roman"/>
        </w:rPr>
        <w:t>his</w:t>
      </w:r>
      <w:r w:rsidR="0097370E" w:rsidRPr="00C8624D">
        <w:rPr>
          <w:rFonts w:ascii="Times New Roman" w:hAnsi="Times New Roman" w:cs="Times New Roman"/>
        </w:rPr>
        <w:t xml:space="preserve"> must be seen as a potential </w:t>
      </w:r>
      <w:r w:rsidR="003136FF" w:rsidRPr="00C8624D">
        <w:rPr>
          <w:rFonts w:ascii="Times New Roman" w:hAnsi="Times New Roman" w:cs="Times New Roman"/>
        </w:rPr>
        <w:t>weakness</w:t>
      </w:r>
      <w:r w:rsidR="0097370E" w:rsidRPr="00C8624D">
        <w:rPr>
          <w:rFonts w:ascii="Times New Roman" w:hAnsi="Times New Roman" w:cs="Times New Roman"/>
        </w:rPr>
        <w:t xml:space="preserve"> in the </w:t>
      </w:r>
      <w:r w:rsidR="003136FF" w:rsidRPr="00C8624D">
        <w:rPr>
          <w:rFonts w:ascii="Times New Roman" w:hAnsi="Times New Roman" w:cs="Times New Roman"/>
        </w:rPr>
        <w:t>ruling</w:t>
      </w:r>
      <w:r w:rsidR="0097370E" w:rsidRPr="00C8624D">
        <w:rPr>
          <w:rFonts w:ascii="Times New Roman" w:hAnsi="Times New Roman" w:cs="Times New Roman"/>
        </w:rPr>
        <w:t>.</w:t>
      </w:r>
    </w:p>
    <w:p w14:paraId="43817458" w14:textId="77777777" w:rsidR="00845ECE" w:rsidRPr="00C8624D" w:rsidRDefault="00845ECE" w:rsidP="00E53B94">
      <w:pPr>
        <w:spacing w:line="480" w:lineRule="auto"/>
        <w:jc w:val="left"/>
        <w:rPr>
          <w:rFonts w:ascii="Times New Roman" w:hAnsi="Times New Roman" w:cs="Times New Roman"/>
        </w:rPr>
      </w:pPr>
    </w:p>
    <w:p w14:paraId="58593407" w14:textId="430FD979" w:rsidR="00845ECE" w:rsidRPr="00C8624D" w:rsidRDefault="00845ECE" w:rsidP="00E53B94">
      <w:pPr>
        <w:pStyle w:val="Heading2"/>
        <w:spacing w:line="240" w:lineRule="auto"/>
        <w:jc w:val="left"/>
        <w:rPr>
          <w:rFonts w:ascii="Times New Roman" w:hAnsi="Times New Roman"/>
        </w:rPr>
      </w:pPr>
      <w:r w:rsidRPr="00C8624D">
        <w:rPr>
          <w:rFonts w:ascii="Times New Roman" w:hAnsi="Times New Roman"/>
        </w:rPr>
        <w:t xml:space="preserve">Passive Euthanasia after </w:t>
      </w:r>
      <w:r w:rsidRPr="00C8624D">
        <w:rPr>
          <w:rFonts w:ascii="Times New Roman" w:hAnsi="Times New Roman"/>
          <w:i w:val="0"/>
          <w:iCs w:val="0"/>
        </w:rPr>
        <w:t>Shanbaug</w:t>
      </w:r>
    </w:p>
    <w:p w14:paraId="10D95865" w14:textId="26131BDF" w:rsidR="005D3647" w:rsidRPr="00C8624D" w:rsidRDefault="005D3647" w:rsidP="00C8624D">
      <w:pPr>
        <w:spacing w:line="240" w:lineRule="auto"/>
        <w:jc w:val="left"/>
        <w:rPr>
          <w:rFonts w:ascii="Times New Roman" w:hAnsi="Times New Roman" w:cs="Times New Roman"/>
        </w:rPr>
      </w:pPr>
      <w:r w:rsidRPr="00C8624D">
        <w:rPr>
          <w:rFonts w:ascii="Times New Roman" w:hAnsi="Times New Roman" w:cs="Times New Roman"/>
        </w:rPr>
        <w:t>In</w:t>
      </w:r>
      <w:r w:rsidR="00C8624D" w:rsidRPr="00C8624D">
        <w:rPr>
          <w:rFonts w:ascii="Times New Roman" w:hAnsi="Times New Roman" w:cs="Times New Roman"/>
        </w:rPr>
        <w:t xml:space="preserve"> 2012, in</w:t>
      </w:r>
      <w:r w:rsidRPr="00C8624D">
        <w:rPr>
          <w:rFonts w:ascii="Times New Roman" w:hAnsi="Times New Roman" w:cs="Times New Roman"/>
        </w:rPr>
        <w:t xml:space="preserve"> the light of </w:t>
      </w:r>
      <w:r w:rsidRPr="00C8624D">
        <w:rPr>
          <w:rFonts w:ascii="Times New Roman" w:hAnsi="Times New Roman" w:cs="Times New Roman"/>
          <w:i/>
          <w:iCs/>
        </w:rPr>
        <w:t>Shanbaug</w:t>
      </w:r>
      <w:r w:rsidRPr="00C8624D">
        <w:rPr>
          <w:rFonts w:ascii="Times New Roman" w:hAnsi="Times New Roman" w:cs="Times New Roman"/>
        </w:rPr>
        <w:t>, the Law Commission of India published a review of the law on passive euthanasia, which proceeded on the understanding that passive euthanasia</w:t>
      </w:r>
    </w:p>
    <w:p w14:paraId="7D20CBC4" w14:textId="0D835C55" w:rsidR="005D3647" w:rsidRPr="00C8624D" w:rsidRDefault="005D3647" w:rsidP="00E53B94">
      <w:pPr>
        <w:pStyle w:val="ExtendedQuotation"/>
        <w:spacing w:line="240" w:lineRule="auto"/>
        <w:rPr>
          <w:rFonts w:ascii="Times New Roman" w:hAnsi="Times New Roman" w:cs="Times New Roman"/>
          <w:sz w:val="24"/>
          <w:szCs w:val="24"/>
          <w:lang w:eastAsia="zh-CN"/>
        </w:rPr>
      </w:pPr>
      <w:r w:rsidRPr="00C8624D">
        <w:rPr>
          <w:rFonts w:ascii="Times New Roman" w:hAnsi="Times New Roman" w:cs="Times New Roman"/>
          <w:sz w:val="24"/>
          <w:szCs w:val="24"/>
          <w:lang w:eastAsia="zh-CN"/>
        </w:rPr>
        <w:t xml:space="preserve">involves withholding of medical treatment or withholding life-support system[s] for continuance of life […].  The core point of distinction between active and passive euthanasia as noted by </w:t>
      </w:r>
      <w:r w:rsidR="002C4BCD" w:rsidRPr="00C8624D">
        <w:rPr>
          <w:rFonts w:ascii="Times New Roman" w:hAnsi="Times New Roman" w:cs="Times New Roman"/>
          <w:sz w:val="24"/>
          <w:szCs w:val="24"/>
          <w:lang w:eastAsia="zh-CN"/>
        </w:rPr>
        <w:t xml:space="preserve">[the] </w:t>
      </w:r>
      <w:r w:rsidRPr="00C8624D">
        <w:rPr>
          <w:rFonts w:ascii="Times New Roman" w:hAnsi="Times New Roman" w:cs="Times New Roman"/>
          <w:sz w:val="24"/>
          <w:szCs w:val="24"/>
          <w:lang w:eastAsia="zh-CN"/>
        </w:rPr>
        <w:t>Supreme Court is that in active euthanasia, something is done to end the patient’s life while in passive euthanasia something is not done that would have preserved the patient’s life.</w:t>
      </w:r>
      <w:r w:rsidRPr="00C8624D">
        <w:rPr>
          <w:rStyle w:val="FootnoteReference"/>
          <w:rFonts w:ascii="Times New Roman" w:hAnsi="Times New Roman" w:cs="Times New Roman"/>
          <w:sz w:val="24"/>
          <w:szCs w:val="24"/>
          <w:lang w:eastAsia="zh-CN"/>
        </w:rPr>
        <w:footnoteReference w:id="28"/>
      </w:r>
    </w:p>
    <w:p w14:paraId="6E361D6E" w14:textId="55F32AD7" w:rsidR="005D3647" w:rsidRPr="00C8624D" w:rsidRDefault="005D3647" w:rsidP="00C8624D">
      <w:pPr>
        <w:spacing w:line="240" w:lineRule="auto"/>
        <w:jc w:val="left"/>
        <w:rPr>
          <w:rFonts w:ascii="Times New Roman" w:hAnsi="Times New Roman" w:cs="Times New Roman"/>
        </w:rPr>
      </w:pPr>
      <w:r w:rsidRPr="00C8624D">
        <w:rPr>
          <w:rFonts w:ascii="Times New Roman" w:hAnsi="Times New Roman" w:cs="Times New Roman"/>
          <w:lang w:eastAsia="zh-CN"/>
        </w:rPr>
        <w:t>This is clearly reflective of Definition 3*.</w:t>
      </w:r>
      <w:r w:rsidR="00845ECE" w:rsidRPr="00C8624D">
        <w:rPr>
          <w:rFonts w:ascii="Times New Roman" w:hAnsi="Times New Roman" w:cs="Times New Roman"/>
          <w:lang w:eastAsia="zh-CN"/>
        </w:rPr>
        <w:t xml:space="preserve">  And even if there had been weaknesses in the </w:t>
      </w:r>
      <w:r w:rsidR="00845ECE" w:rsidRPr="00C8624D">
        <w:rPr>
          <w:rFonts w:ascii="Times New Roman" w:hAnsi="Times New Roman" w:cs="Times New Roman"/>
          <w:i/>
          <w:iCs/>
          <w:lang w:eastAsia="zh-CN"/>
        </w:rPr>
        <w:t>Shanbaug</w:t>
      </w:r>
      <w:r w:rsidR="00845ECE" w:rsidRPr="00C8624D">
        <w:rPr>
          <w:rFonts w:ascii="Times New Roman" w:hAnsi="Times New Roman" w:cs="Times New Roman"/>
          <w:lang w:eastAsia="zh-CN"/>
        </w:rPr>
        <w:t xml:space="preserve"> decision, statements like this would stand a de</w:t>
      </w:r>
      <w:r w:rsidR="00C8624D">
        <w:rPr>
          <w:rFonts w:ascii="Times New Roman" w:hAnsi="Times New Roman" w:cs="Times New Roman"/>
          <w:lang w:eastAsia="zh-CN"/>
        </w:rPr>
        <w:t xml:space="preserve">cent chance of mitigating them: </w:t>
      </w:r>
      <w:r w:rsidR="00845ECE" w:rsidRPr="00C8624D">
        <w:rPr>
          <w:rFonts w:ascii="Times New Roman" w:hAnsi="Times New Roman" w:cs="Times New Roman"/>
          <w:lang w:eastAsia="zh-CN"/>
        </w:rPr>
        <w:lastRenderedPageBreak/>
        <w:t>stipulating that, henceforward, a particular phrase or concept is to be interpreted thus and so is a perfectly workaday piece of positive lawmaking.</w:t>
      </w:r>
      <w:r w:rsidRPr="00C8624D">
        <w:rPr>
          <w:rFonts w:ascii="Times New Roman" w:hAnsi="Times New Roman" w:cs="Times New Roman"/>
        </w:rPr>
        <w:t xml:space="preserve">  The Commission asserted further that “[t]he Supreme Court [made] it clear that passive euthanasia is permissible in our country as in other countries”</w:t>
      </w:r>
      <w:r w:rsidRPr="00C8624D">
        <w:rPr>
          <w:rStyle w:val="FootnoteReference"/>
          <w:rFonts w:ascii="Times New Roman" w:hAnsi="Times New Roman" w:cs="Times New Roman"/>
        </w:rPr>
        <w:footnoteReference w:id="29"/>
      </w:r>
      <w:r w:rsidR="00845ECE" w:rsidRPr="00C8624D">
        <w:rPr>
          <w:rFonts w:ascii="Times New Roman" w:hAnsi="Times New Roman" w:cs="Times New Roman"/>
        </w:rPr>
        <w:t>.</w:t>
      </w:r>
      <w:r w:rsidR="00C066B4" w:rsidRPr="00C8624D">
        <w:rPr>
          <w:rFonts w:ascii="Times New Roman" w:hAnsi="Times New Roman" w:cs="Times New Roman"/>
        </w:rPr>
        <w:t xml:space="preserve">  Again, even if one does not agree with those who think that passive euthanasia really is as obviously permissible in other countries as it is made out to be here, that does not really matter.  After all, sovereign legislatures are free to define terms as they see fit.</w:t>
      </w:r>
      <w:r w:rsidR="00845ECE" w:rsidRPr="00C8624D">
        <w:rPr>
          <w:rFonts w:ascii="Times New Roman" w:hAnsi="Times New Roman" w:cs="Times New Roman"/>
        </w:rPr>
        <w:t xml:space="preserve"> </w:t>
      </w:r>
    </w:p>
    <w:p w14:paraId="2D13EF49" w14:textId="77777777" w:rsidR="005D3647" w:rsidRPr="00C8624D" w:rsidRDefault="005D3647" w:rsidP="00E53B94">
      <w:pPr>
        <w:spacing w:line="480" w:lineRule="auto"/>
        <w:jc w:val="left"/>
        <w:rPr>
          <w:rFonts w:ascii="Times New Roman" w:hAnsi="Times New Roman" w:cs="Times New Roman"/>
          <w:lang w:eastAsia="zh-CN"/>
        </w:rPr>
      </w:pPr>
    </w:p>
    <w:p w14:paraId="718C38A5" w14:textId="6CBF59DD" w:rsidR="001F7269" w:rsidRPr="00C8624D" w:rsidRDefault="00847BAB" w:rsidP="00E53B94">
      <w:pPr>
        <w:spacing w:line="240" w:lineRule="auto"/>
        <w:jc w:val="left"/>
        <w:rPr>
          <w:rFonts w:ascii="Times New Roman" w:hAnsi="Times New Roman" w:cs="Times New Roman"/>
        </w:rPr>
      </w:pPr>
      <w:r w:rsidRPr="00C8624D">
        <w:rPr>
          <w:rFonts w:ascii="Times New Roman" w:hAnsi="Times New Roman" w:cs="Times New Roman"/>
          <w:i/>
          <w:iCs/>
          <w:lang w:eastAsia="zh-CN"/>
        </w:rPr>
        <w:t>Shanbaug</w:t>
      </w:r>
      <w:r w:rsidRPr="00C8624D">
        <w:rPr>
          <w:rFonts w:ascii="Times New Roman" w:hAnsi="Times New Roman" w:cs="Times New Roman"/>
          <w:lang w:eastAsia="zh-CN"/>
        </w:rPr>
        <w:t>’s influence was felt</w:t>
      </w:r>
      <w:r w:rsidR="00C8624D">
        <w:rPr>
          <w:rFonts w:ascii="Times New Roman" w:hAnsi="Times New Roman" w:cs="Times New Roman"/>
          <w:lang w:eastAsia="zh-CN"/>
        </w:rPr>
        <w:t xml:space="preserve"> again</w:t>
      </w:r>
      <w:r w:rsidRPr="00C8624D">
        <w:rPr>
          <w:rFonts w:ascii="Times New Roman" w:hAnsi="Times New Roman" w:cs="Times New Roman"/>
          <w:lang w:eastAsia="zh-CN"/>
        </w:rPr>
        <w:t xml:space="preserve"> in 2018, when the </w:t>
      </w:r>
      <w:r w:rsidR="005D3647" w:rsidRPr="00C8624D">
        <w:rPr>
          <w:rFonts w:ascii="Times New Roman" w:hAnsi="Times New Roman" w:cs="Times New Roman"/>
          <w:lang w:eastAsia="zh-CN"/>
        </w:rPr>
        <w:t xml:space="preserve">Indian Supreme Court ruled in the case of </w:t>
      </w:r>
      <w:r w:rsidR="005D3647" w:rsidRPr="00C8624D">
        <w:rPr>
          <w:rFonts w:ascii="Times New Roman" w:hAnsi="Times New Roman" w:cs="Times New Roman"/>
          <w:i/>
          <w:iCs/>
          <w:lang w:eastAsia="zh-CN"/>
        </w:rPr>
        <w:t>Common Cause</w:t>
      </w:r>
      <w:r w:rsidR="005D3647" w:rsidRPr="00C8624D">
        <w:rPr>
          <w:rStyle w:val="FootnoteReference"/>
          <w:rFonts w:ascii="Times New Roman" w:hAnsi="Times New Roman" w:cs="Times New Roman"/>
          <w:lang w:eastAsia="zh-CN"/>
        </w:rPr>
        <w:footnoteReference w:id="30"/>
      </w:r>
      <w:r w:rsidR="005D3647" w:rsidRPr="00C8624D">
        <w:rPr>
          <w:rFonts w:ascii="Times New Roman" w:hAnsi="Times New Roman" w:cs="Times New Roman"/>
          <w:lang w:eastAsia="zh-CN"/>
        </w:rPr>
        <w:t>, which considered whether there was a Constitutionally-guaranteed right to die with dignity</w:t>
      </w:r>
      <w:r w:rsidR="005C5076" w:rsidRPr="00C8624D">
        <w:rPr>
          <w:rFonts w:ascii="Times New Roman" w:hAnsi="Times New Roman" w:cs="Times New Roman"/>
          <w:lang w:eastAsia="zh-CN"/>
        </w:rPr>
        <w:t xml:space="preserve">, and in which </w:t>
      </w:r>
      <w:r w:rsidR="005D3647" w:rsidRPr="00C8624D">
        <w:rPr>
          <w:rFonts w:ascii="Times New Roman" w:hAnsi="Times New Roman" w:cs="Times New Roman"/>
          <w:lang w:eastAsia="zh-CN"/>
        </w:rPr>
        <w:t xml:space="preserve">the Bench spent a great deal of time considering the jurisprudence of passive euthanasia and end-of-life treatment both in India and </w:t>
      </w:r>
      <w:r w:rsidR="005216CE" w:rsidRPr="00C8624D">
        <w:rPr>
          <w:rFonts w:ascii="Times New Roman" w:hAnsi="Times New Roman" w:cs="Times New Roman"/>
          <w:lang w:eastAsia="zh-CN"/>
        </w:rPr>
        <w:t>around the world</w:t>
      </w:r>
      <w:r w:rsidR="005D3647" w:rsidRPr="00C8624D">
        <w:rPr>
          <w:rFonts w:ascii="Times New Roman" w:hAnsi="Times New Roman" w:cs="Times New Roman"/>
          <w:lang w:eastAsia="zh-CN"/>
        </w:rPr>
        <w:t xml:space="preserve">.  </w:t>
      </w:r>
      <w:r w:rsidR="00B70932" w:rsidRPr="00C8624D">
        <w:rPr>
          <w:rFonts w:ascii="Times New Roman" w:hAnsi="Times New Roman" w:cs="Times New Roman"/>
          <w:lang w:eastAsia="zh-CN"/>
        </w:rPr>
        <w:t xml:space="preserve">Whatever progress had been made by the Law Commission in shoring up a clear definition of “passive euthanasia”, however, seems not to have been quite enough: </w:t>
      </w:r>
      <w:r w:rsidR="002D7546" w:rsidRPr="00C8624D">
        <w:rPr>
          <w:rFonts w:ascii="Times New Roman" w:hAnsi="Times New Roman" w:cs="Times New Roman"/>
          <w:lang w:eastAsia="zh-CN"/>
        </w:rPr>
        <w:t xml:space="preserve">when the judgment was handed down in early 2019, there was, </w:t>
      </w:r>
      <w:r w:rsidR="00B70932" w:rsidRPr="00C8624D">
        <w:rPr>
          <w:rFonts w:ascii="Times New Roman" w:hAnsi="Times New Roman" w:cs="Times New Roman"/>
          <w:lang w:eastAsia="zh-CN"/>
        </w:rPr>
        <w:t>o</w:t>
      </w:r>
      <w:r w:rsidR="005D3647" w:rsidRPr="00C8624D">
        <w:rPr>
          <w:rFonts w:ascii="Times New Roman" w:hAnsi="Times New Roman" w:cs="Times New Roman"/>
          <w:lang w:eastAsia="zh-CN"/>
        </w:rPr>
        <w:t>nce again, inconsistency concerning the definition of terms</w:t>
      </w:r>
      <w:r w:rsidR="0097370E" w:rsidRPr="00C8624D">
        <w:rPr>
          <w:rFonts w:ascii="Times New Roman" w:hAnsi="Times New Roman" w:cs="Times New Roman"/>
          <w:lang w:eastAsia="zh-CN"/>
        </w:rPr>
        <w:t xml:space="preserve"> – if anything, more flagrant than there had been in </w:t>
      </w:r>
      <w:r w:rsidR="0097370E" w:rsidRPr="00C8624D">
        <w:rPr>
          <w:rFonts w:ascii="Times New Roman" w:hAnsi="Times New Roman" w:cs="Times New Roman"/>
          <w:i/>
          <w:iCs/>
          <w:lang w:eastAsia="zh-CN"/>
        </w:rPr>
        <w:t>Shanbaug</w:t>
      </w:r>
      <w:r w:rsidR="005D3647" w:rsidRPr="00C8624D">
        <w:rPr>
          <w:rFonts w:ascii="Times New Roman" w:hAnsi="Times New Roman" w:cs="Times New Roman"/>
          <w:lang w:eastAsia="zh-CN"/>
        </w:rPr>
        <w:t xml:space="preserve">.  Misra CJI, referring to </w:t>
      </w:r>
      <w:r w:rsidR="005D3647" w:rsidRPr="00C8624D">
        <w:rPr>
          <w:rFonts w:ascii="Times New Roman" w:hAnsi="Times New Roman" w:cs="Times New Roman"/>
          <w:i/>
          <w:iCs/>
          <w:lang w:eastAsia="zh-CN"/>
        </w:rPr>
        <w:t>Shanbaug</w:t>
      </w:r>
      <w:r w:rsidR="005D3647" w:rsidRPr="00C8624D">
        <w:rPr>
          <w:rFonts w:ascii="Times New Roman" w:hAnsi="Times New Roman" w:cs="Times New Roman"/>
          <w:lang w:eastAsia="zh-CN"/>
        </w:rPr>
        <w:t>, repeated the claim that “</w:t>
      </w:r>
      <w:r w:rsidR="005D3647" w:rsidRPr="00C8624D">
        <w:rPr>
          <w:rFonts w:ascii="Times New Roman" w:hAnsi="Times New Roman" w:cs="Times New Roman"/>
        </w:rPr>
        <w:t xml:space="preserve">passive euthanasia is usually defined as withdrawing medical treatment </w:t>
      </w:r>
      <w:r w:rsidR="005D3647" w:rsidRPr="00C8624D">
        <w:rPr>
          <w:rFonts w:ascii="Times New Roman" w:hAnsi="Times New Roman" w:cs="Times New Roman"/>
          <w:i/>
          <w:iCs/>
        </w:rPr>
        <w:t>with a deliberate intention of causing the patient’s death</w:t>
      </w:r>
      <w:r w:rsidR="005D3647" w:rsidRPr="00C8624D">
        <w:rPr>
          <w:rFonts w:ascii="Times New Roman" w:hAnsi="Times New Roman" w:cs="Times New Roman"/>
        </w:rPr>
        <w:t>”</w:t>
      </w:r>
      <w:r w:rsidR="006B66F5" w:rsidRPr="00C8624D">
        <w:rPr>
          <w:rStyle w:val="FootnoteReference"/>
          <w:rFonts w:ascii="Times New Roman" w:hAnsi="Times New Roman" w:cs="Times New Roman"/>
        </w:rPr>
        <w:footnoteReference w:id="31"/>
      </w:r>
      <w:r w:rsidR="005D3647" w:rsidRPr="00C8624D">
        <w:rPr>
          <w:rFonts w:ascii="Times New Roman" w:hAnsi="Times New Roman" w:cs="Times New Roman"/>
        </w:rPr>
        <w:t xml:space="preserve"> – which reflects Definition 3</w:t>
      </w:r>
      <w:r w:rsidR="001F7269" w:rsidRPr="00C8624D">
        <w:rPr>
          <w:rFonts w:ascii="Times New Roman" w:hAnsi="Times New Roman" w:cs="Times New Roman"/>
        </w:rPr>
        <w:t>.  This understanding is apparently confirmed at the beginning of paragraph 44:</w:t>
      </w:r>
    </w:p>
    <w:p w14:paraId="799476CF" w14:textId="1FC8C9A7" w:rsidR="001F7269" w:rsidRPr="00C8624D" w:rsidRDefault="001F7269"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 xml:space="preserve">Euthanasia is basically an </w:t>
      </w:r>
      <w:r w:rsidRPr="00C8624D">
        <w:rPr>
          <w:rFonts w:ascii="Times New Roman" w:hAnsi="Times New Roman" w:cs="Times New Roman"/>
          <w:i/>
          <w:iCs/>
          <w:sz w:val="24"/>
          <w:szCs w:val="24"/>
        </w:rPr>
        <w:t>intentional</w:t>
      </w:r>
      <w:r w:rsidRPr="00C8624D">
        <w:rPr>
          <w:rFonts w:ascii="Times New Roman" w:hAnsi="Times New Roman" w:cs="Times New Roman"/>
          <w:sz w:val="24"/>
          <w:szCs w:val="24"/>
        </w:rPr>
        <w:t xml:space="preserve"> premature termination of another person</w:t>
      </w:r>
      <w:r w:rsidR="00B70932" w:rsidRPr="00C8624D">
        <w:rPr>
          <w:rFonts w:ascii="Times New Roman" w:hAnsi="Times New Roman" w:cs="Times New Roman"/>
          <w:sz w:val="24"/>
          <w:szCs w:val="24"/>
        </w:rPr>
        <w:t xml:space="preserve">’s </w:t>
      </w:r>
      <w:r w:rsidRPr="00C8624D">
        <w:rPr>
          <w:rFonts w:ascii="Times New Roman" w:hAnsi="Times New Roman" w:cs="Times New Roman"/>
          <w:sz w:val="24"/>
          <w:szCs w:val="24"/>
        </w:rPr>
        <w:t>life either by direct intervention (active euthanasia) or by withholding life-prolonging measures and resources (passive euthanasia) either at the express or implied request of that person (voluntary euthanasia) or in the absence of such approval/consent (non-voluntary euthanasia).</w:t>
      </w:r>
      <w:r w:rsidRPr="00C8624D">
        <w:rPr>
          <w:rStyle w:val="FootnoteReference"/>
          <w:rFonts w:ascii="Times New Roman" w:hAnsi="Times New Roman" w:cs="Times New Roman"/>
          <w:sz w:val="24"/>
          <w:szCs w:val="24"/>
        </w:rPr>
        <w:footnoteReference w:id="32"/>
      </w:r>
    </w:p>
    <w:p w14:paraId="70CF93C4" w14:textId="68754CC8" w:rsidR="005D3647" w:rsidRPr="00C8624D" w:rsidRDefault="005D3647" w:rsidP="00E53B94">
      <w:pPr>
        <w:spacing w:line="240" w:lineRule="auto"/>
        <w:jc w:val="left"/>
        <w:rPr>
          <w:rFonts w:ascii="Times New Roman" w:hAnsi="Times New Roman" w:cs="Times New Roman"/>
        </w:rPr>
      </w:pPr>
      <w:r w:rsidRPr="00C8624D">
        <w:rPr>
          <w:rFonts w:ascii="Times New Roman" w:hAnsi="Times New Roman" w:cs="Times New Roman"/>
        </w:rPr>
        <w:t>However,</w:t>
      </w:r>
      <w:r w:rsidR="006B66F5" w:rsidRPr="00C8624D">
        <w:rPr>
          <w:rFonts w:ascii="Times New Roman" w:hAnsi="Times New Roman" w:cs="Times New Roman"/>
        </w:rPr>
        <w:t xml:space="preserve"> </w:t>
      </w:r>
      <w:r w:rsidR="001F7269" w:rsidRPr="00C8624D">
        <w:rPr>
          <w:rFonts w:ascii="Times New Roman" w:hAnsi="Times New Roman" w:cs="Times New Roman"/>
        </w:rPr>
        <w:t>at the end of that same paragraph</w:t>
      </w:r>
      <w:r w:rsidRPr="00C8624D">
        <w:rPr>
          <w:rFonts w:ascii="Times New Roman" w:hAnsi="Times New Roman" w:cs="Times New Roman"/>
        </w:rPr>
        <w:t>, he stated that</w:t>
      </w:r>
    </w:p>
    <w:p w14:paraId="6664B4A5" w14:textId="2BBA6E80" w:rsidR="005D3647" w:rsidRPr="00C8624D" w:rsidRDefault="005D3647"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 xml:space="preserve">[t]he main idea behind the distinction [between active and passive euthanasia], as observed by the Bench [in </w:t>
      </w:r>
      <w:r w:rsidRPr="00C8624D">
        <w:rPr>
          <w:rFonts w:ascii="Times New Roman" w:hAnsi="Times New Roman" w:cs="Times New Roman"/>
          <w:i/>
          <w:iCs/>
          <w:sz w:val="24"/>
          <w:szCs w:val="24"/>
        </w:rPr>
        <w:t>Shanbaug</w:t>
      </w:r>
      <w:r w:rsidRPr="00C8624D">
        <w:rPr>
          <w:rFonts w:ascii="Times New Roman" w:hAnsi="Times New Roman" w:cs="Times New Roman"/>
          <w:sz w:val="24"/>
          <w:szCs w:val="24"/>
        </w:rPr>
        <w:t>], is that in passive euthanasia, the doctors are not actively killing the patient, they are merely not saving him and only accelerating the conclusion of the process of natural death which has already commenced</w:t>
      </w:r>
      <w:r w:rsidRPr="00C8624D">
        <w:rPr>
          <w:rFonts w:ascii="Times New Roman" w:eastAsia="MS Mincho" w:hAnsi="Times New Roman" w:cs="Times New Roman"/>
          <w:sz w:val="24"/>
          <w:szCs w:val="24"/>
        </w:rPr>
        <w:t>.</w:t>
      </w:r>
      <w:r w:rsidR="006B66F5" w:rsidRPr="00C8624D">
        <w:rPr>
          <w:rStyle w:val="FootnoteReference"/>
          <w:rFonts w:ascii="Times New Roman" w:eastAsia="MS Mincho" w:hAnsi="Times New Roman" w:cs="Times New Roman"/>
          <w:sz w:val="24"/>
          <w:szCs w:val="24"/>
        </w:rPr>
        <w:footnoteReference w:id="33"/>
      </w:r>
    </w:p>
    <w:p w14:paraId="40731441" w14:textId="1A22D089" w:rsidR="005D3647" w:rsidRPr="00C8624D" w:rsidRDefault="005D3647"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This represents a slide to Definition 3*</w:t>
      </w:r>
      <w:r w:rsidR="001F7269" w:rsidRPr="00C8624D">
        <w:rPr>
          <w:rFonts w:ascii="Times New Roman" w:hAnsi="Times New Roman" w:cs="Times New Roman"/>
          <w:lang w:eastAsia="zh-CN"/>
        </w:rPr>
        <w:t xml:space="preserve">: an intent to end life is no longer apparently important.  This is a </w:t>
      </w:r>
      <w:r w:rsidRPr="00C8624D">
        <w:rPr>
          <w:rFonts w:ascii="Times New Roman" w:hAnsi="Times New Roman" w:cs="Times New Roman"/>
          <w:lang w:eastAsia="zh-CN"/>
        </w:rPr>
        <w:t>slide that Misra CJI appears not to have noticed or tried to halt, but confirmed at paragraph 196(vi):</w:t>
      </w:r>
    </w:p>
    <w:p w14:paraId="19DCD430" w14:textId="7FEAA173" w:rsidR="005D3647" w:rsidRPr="00C8624D" w:rsidRDefault="005D3647"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lang w:eastAsia="zh-CN"/>
        </w:rPr>
        <w:t>I</w:t>
      </w:r>
      <w:r w:rsidRPr="00C8624D">
        <w:rPr>
          <w:rFonts w:ascii="Times New Roman" w:hAnsi="Times New Roman" w:cs="Times New Roman"/>
          <w:sz w:val="24"/>
          <w:szCs w:val="24"/>
        </w:rPr>
        <w:t>n active euthanasia, a specific overt act is done to end the patient‘s life whereas in passive euthanasia, something is not done which is necessary for preserving a patient's life.</w:t>
      </w:r>
      <w:r w:rsidR="00BF064D" w:rsidRPr="00C8624D">
        <w:rPr>
          <w:rStyle w:val="FootnoteReference"/>
          <w:rFonts w:ascii="Times New Roman" w:hAnsi="Times New Roman" w:cs="Times New Roman"/>
          <w:sz w:val="24"/>
          <w:szCs w:val="24"/>
        </w:rPr>
        <w:footnoteReference w:id="34"/>
      </w:r>
    </w:p>
    <w:p w14:paraId="47C4EF5B" w14:textId="19706707" w:rsidR="005D3647" w:rsidRPr="00C8624D" w:rsidRDefault="005D3647" w:rsidP="00E53B94">
      <w:pPr>
        <w:spacing w:line="240" w:lineRule="auto"/>
        <w:jc w:val="left"/>
        <w:rPr>
          <w:rFonts w:ascii="Times New Roman" w:hAnsi="Times New Roman" w:cs="Times New Roman"/>
        </w:rPr>
      </w:pPr>
      <w:r w:rsidRPr="00C8624D">
        <w:rPr>
          <w:rFonts w:ascii="Times New Roman" w:hAnsi="Times New Roman" w:cs="Times New Roman"/>
          <w:lang w:eastAsia="zh-CN"/>
        </w:rPr>
        <w:t>Neither was it a slide resisted by the o</w:t>
      </w:r>
      <w:r w:rsidR="00E9260E" w:rsidRPr="00C8624D">
        <w:rPr>
          <w:rFonts w:ascii="Times New Roman" w:hAnsi="Times New Roman" w:cs="Times New Roman"/>
          <w:lang w:eastAsia="zh-CN"/>
        </w:rPr>
        <w:t xml:space="preserve">ther judges hearing the case.  </w:t>
      </w:r>
      <w:r w:rsidRPr="00C8624D">
        <w:rPr>
          <w:rFonts w:ascii="Times New Roman" w:hAnsi="Times New Roman" w:cs="Times New Roman"/>
          <w:lang w:eastAsia="zh-CN"/>
        </w:rPr>
        <w:t xml:space="preserve">Indeed, at paragraph 98 of his </w:t>
      </w:r>
      <w:r w:rsidR="000376BD" w:rsidRPr="00C8624D">
        <w:rPr>
          <w:rFonts w:ascii="Times New Roman" w:hAnsi="Times New Roman" w:cs="Times New Roman"/>
          <w:lang w:eastAsia="zh-CN"/>
        </w:rPr>
        <w:t>opinion</w:t>
      </w:r>
      <w:r w:rsidRPr="00C8624D">
        <w:rPr>
          <w:rFonts w:ascii="Times New Roman" w:hAnsi="Times New Roman" w:cs="Times New Roman"/>
          <w:lang w:eastAsia="zh-CN"/>
        </w:rPr>
        <w:t>, Chandrachud J said explicitly that “</w:t>
      </w:r>
      <w:r w:rsidR="00D63B4C">
        <w:rPr>
          <w:rFonts w:ascii="Times New Roman" w:hAnsi="Times New Roman" w:cs="Times New Roman"/>
        </w:rPr>
        <w:t>[i]</w:t>
      </w:r>
      <w:r w:rsidRPr="00C8624D">
        <w:rPr>
          <w:rFonts w:ascii="Times New Roman" w:hAnsi="Times New Roman" w:cs="Times New Roman"/>
        </w:rPr>
        <w:t>n a case involving passive euthanasia, [t]here is neither an animus nor an intent to cause d</w:t>
      </w:r>
      <w:r w:rsidR="00E9260E" w:rsidRPr="00C8624D">
        <w:rPr>
          <w:rFonts w:ascii="Times New Roman" w:hAnsi="Times New Roman" w:cs="Times New Roman"/>
        </w:rPr>
        <w:t>eath.”</w:t>
      </w:r>
      <w:r w:rsidR="00BF064D" w:rsidRPr="00C8624D">
        <w:rPr>
          <w:rStyle w:val="FootnoteReference"/>
          <w:rFonts w:ascii="Times New Roman" w:hAnsi="Times New Roman" w:cs="Times New Roman"/>
        </w:rPr>
        <w:footnoteReference w:id="35"/>
      </w:r>
    </w:p>
    <w:p w14:paraId="691F5F8E" w14:textId="77777777" w:rsidR="005D3647" w:rsidRPr="00C8624D" w:rsidRDefault="005D3647" w:rsidP="00E53B94">
      <w:pPr>
        <w:spacing w:line="480" w:lineRule="auto"/>
        <w:jc w:val="left"/>
        <w:rPr>
          <w:rFonts w:ascii="Times New Roman" w:hAnsi="Times New Roman" w:cs="Times New Roman"/>
        </w:rPr>
      </w:pPr>
    </w:p>
    <w:p w14:paraId="73A1C132" w14:textId="0A6DB6E3" w:rsidR="005D3647" w:rsidRPr="00C8624D" w:rsidRDefault="005D3647"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lastRenderedPageBreak/>
        <w:t xml:space="preserve">However, the slide from Definition 3 to Definition 3* was important, since it informed the Bench’s pronouncements about the legality of passive euthanasia, which largely echoed those made in </w:t>
      </w:r>
      <w:r w:rsidRPr="00C8624D">
        <w:rPr>
          <w:rFonts w:ascii="Times New Roman" w:hAnsi="Times New Roman" w:cs="Times New Roman"/>
          <w:i/>
          <w:iCs/>
          <w:lang w:eastAsia="zh-CN"/>
        </w:rPr>
        <w:t>Shanbaug</w:t>
      </w:r>
      <w:r w:rsidR="00054517" w:rsidRPr="00C8624D">
        <w:rPr>
          <w:rFonts w:ascii="Times New Roman" w:hAnsi="Times New Roman" w:cs="Times New Roman"/>
          <w:lang w:eastAsia="zh-CN"/>
        </w:rPr>
        <w:t xml:space="preserve">.  </w:t>
      </w:r>
      <w:r w:rsidRPr="00C8624D">
        <w:rPr>
          <w:rFonts w:ascii="Times New Roman" w:hAnsi="Times New Roman" w:cs="Times New Roman"/>
          <w:lang w:eastAsia="zh-CN"/>
        </w:rPr>
        <w:t>Misra CJI asserted repeatedly that passive euthanasia is legal in several countries – for example, he said that</w:t>
      </w:r>
    </w:p>
    <w:p w14:paraId="1F7D899C" w14:textId="30F12A22" w:rsidR="005D3647" w:rsidRPr="00C8624D" w:rsidRDefault="005D3647"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[i]t is perhaps due to the distinction evolved between [active and passive] euthanasia, which has gained moral and legal sanctity all over, that most of the countries today have legalized passive euthanasia either by way of legislations or through judicial interpretation but there remains uncertainty whether active euthanasia should be granted legal status.</w:t>
      </w:r>
      <w:r w:rsidR="00054517" w:rsidRPr="00C8624D">
        <w:rPr>
          <w:rStyle w:val="FootnoteReference"/>
          <w:rFonts w:ascii="Times New Roman" w:hAnsi="Times New Roman" w:cs="Times New Roman"/>
          <w:sz w:val="24"/>
          <w:szCs w:val="24"/>
        </w:rPr>
        <w:footnoteReference w:id="36"/>
      </w:r>
    </w:p>
    <w:p w14:paraId="5A634829" w14:textId="70BE461C" w:rsidR="005D3647" w:rsidRPr="00C8624D" w:rsidRDefault="005D3647"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Versions of this statement can be found throughout the opinion – and, again, attracted no demurral from other judges.</w:t>
      </w:r>
      <w:r w:rsidRPr="00C8624D">
        <w:rPr>
          <w:rStyle w:val="FootnoteReference"/>
          <w:rFonts w:ascii="Times New Roman" w:hAnsi="Times New Roman" w:cs="Times New Roman"/>
          <w:lang w:eastAsia="zh-CN"/>
        </w:rPr>
        <w:footnoteReference w:id="37"/>
      </w:r>
      <w:r w:rsidR="003075F2" w:rsidRPr="00C8624D">
        <w:rPr>
          <w:rFonts w:ascii="Times New Roman" w:hAnsi="Times New Roman" w:cs="Times New Roman"/>
          <w:lang w:eastAsia="zh-CN"/>
        </w:rPr>
        <w:t xml:space="preserve">  Once again, the statement can only be true if we accept Definition 3*.</w:t>
      </w:r>
      <w:r w:rsidR="00B70932" w:rsidRPr="00C8624D">
        <w:rPr>
          <w:rFonts w:ascii="Times New Roman" w:hAnsi="Times New Roman" w:cs="Times New Roman"/>
          <w:lang w:eastAsia="zh-CN"/>
        </w:rPr>
        <w:t xml:space="preserve">  But it is worth noting that, in making this statement</w:t>
      </w:r>
      <w:r w:rsidRPr="00C8624D">
        <w:rPr>
          <w:rFonts w:ascii="Times New Roman" w:hAnsi="Times New Roman" w:cs="Times New Roman"/>
          <w:lang w:eastAsia="zh-CN"/>
        </w:rPr>
        <w:t xml:space="preserve">, Misra CJI – like Katju J in </w:t>
      </w:r>
      <w:r w:rsidRPr="00C8624D">
        <w:rPr>
          <w:rFonts w:ascii="Times New Roman" w:hAnsi="Times New Roman" w:cs="Times New Roman"/>
          <w:i/>
          <w:iCs/>
          <w:lang w:eastAsia="zh-CN"/>
        </w:rPr>
        <w:t>Shanbaug</w:t>
      </w:r>
      <w:r w:rsidRPr="00C8624D">
        <w:rPr>
          <w:rFonts w:ascii="Times New Roman" w:hAnsi="Times New Roman" w:cs="Times New Roman"/>
          <w:lang w:eastAsia="zh-CN"/>
        </w:rPr>
        <w:t xml:space="preserve"> – drew significant support</w:t>
      </w:r>
      <w:r w:rsidR="00054517" w:rsidRPr="00C8624D">
        <w:rPr>
          <w:rFonts w:ascii="Times New Roman" w:hAnsi="Times New Roman" w:cs="Times New Roman"/>
          <w:lang w:eastAsia="zh-CN"/>
        </w:rPr>
        <w:t xml:space="preserve"> for this claim</w:t>
      </w:r>
      <w:r w:rsidRPr="00C8624D">
        <w:rPr>
          <w:rFonts w:ascii="Times New Roman" w:hAnsi="Times New Roman" w:cs="Times New Roman"/>
          <w:lang w:eastAsia="zh-CN"/>
        </w:rPr>
        <w:t xml:space="preserve"> from Lord Goff’s speech in </w:t>
      </w:r>
      <w:r w:rsidR="00B70932" w:rsidRPr="00C8624D">
        <w:rPr>
          <w:rFonts w:ascii="Times New Roman" w:hAnsi="Times New Roman" w:cs="Times New Roman"/>
          <w:lang w:eastAsia="zh-CN"/>
        </w:rPr>
        <w:t xml:space="preserve">the English </w:t>
      </w:r>
      <w:r w:rsidRPr="00C8624D">
        <w:rPr>
          <w:rFonts w:ascii="Times New Roman" w:hAnsi="Times New Roman" w:cs="Times New Roman"/>
          <w:i/>
          <w:iCs/>
          <w:lang w:eastAsia="zh-CN"/>
        </w:rPr>
        <w:t>Bland</w:t>
      </w:r>
      <w:r w:rsidR="00B70932" w:rsidRPr="00C8624D">
        <w:rPr>
          <w:rFonts w:ascii="Times New Roman" w:hAnsi="Times New Roman" w:cs="Times New Roman"/>
          <w:lang w:eastAsia="zh-CN"/>
        </w:rPr>
        <w:t xml:space="preserve"> case.</w:t>
      </w:r>
      <w:r w:rsidRPr="00C8624D">
        <w:rPr>
          <w:rFonts w:ascii="Times New Roman" w:hAnsi="Times New Roman" w:cs="Times New Roman"/>
          <w:lang w:eastAsia="zh-CN"/>
        </w:rPr>
        <w:t xml:space="preserve"> </w:t>
      </w:r>
      <w:r w:rsidR="00B70932" w:rsidRPr="00C8624D">
        <w:rPr>
          <w:rFonts w:ascii="Times New Roman" w:hAnsi="Times New Roman" w:cs="Times New Roman"/>
          <w:lang w:eastAsia="zh-CN"/>
        </w:rPr>
        <w:t xml:space="preserve"> He advanced the claim </w:t>
      </w:r>
      <w:r w:rsidRPr="00C8624D">
        <w:rPr>
          <w:rFonts w:ascii="Times New Roman" w:hAnsi="Times New Roman" w:cs="Times New Roman"/>
          <w:lang w:eastAsia="zh-CN"/>
        </w:rPr>
        <w:t>that</w:t>
      </w:r>
    </w:p>
    <w:p w14:paraId="2DD43678" w14:textId="5365558D" w:rsidR="005D3647" w:rsidRPr="00C8624D" w:rsidRDefault="005D3647" w:rsidP="00E53B94">
      <w:pPr>
        <w:pStyle w:val="ExtendedQuotation"/>
        <w:spacing w:line="240" w:lineRule="auto"/>
        <w:rPr>
          <w:rFonts w:ascii="Times New Roman" w:hAnsi="Times New Roman" w:cs="Times New Roman"/>
          <w:sz w:val="24"/>
          <w:szCs w:val="24"/>
        </w:rPr>
      </w:pPr>
      <w:r w:rsidRPr="00C8624D">
        <w:rPr>
          <w:rFonts w:ascii="Times New Roman" w:hAnsi="Times New Roman" w:cs="Times New Roman"/>
          <w:sz w:val="24"/>
          <w:szCs w:val="24"/>
        </w:rPr>
        <w:t>Lord Goff observed that passive euthanasia includes cases in which a doctor decides not to provide, or to continue to provide, for his patient, treatment or care which could prolong his life and active euthanasia involves actively ending a patient’s life, for example, by administer</w:t>
      </w:r>
      <w:r w:rsidR="00D310BE" w:rsidRPr="00C8624D">
        <w:rPr>
          <w:rFonts w:ascii="Times New Roman" w:hAnsi="Times New Roman" w:cs="Times New Roman"/>
          <w:sz w:val="24"/>
          <w:szCs w:val="24"/>
        </w:rPr>
        <w:t>ing a lethal drug.</w:t>
      </w:r>
      <w:r w:rsidR="00D310BE" w:rsidRPr="00C8624D">
        <w:rPr>
          <w:rStyle w:val="FootnoteReference"/>
          <w:rFonts w:ascii="Times New Roman" w:hAnsi="Times New Roman" w:cs="Times New Roman"/>
          <w:sz w:val="24"/>
          <w:szCs w:val="24"/>
        </w:rPr>
        <w:footnoteReference w:id="38"/>
      </w:r>
    </w:p>
    <w:p w14:paraId="70313301" w14:textId="600992C7" w:rsidR="00D87CA5" w:rsidRPr="00C8624D" w:rsidRDefault="00B70932" w:rsidP="00E53B94">
      <w:pPr>
        <w:spacing w:line="240" w:lineRule="auto"/>
        <w:jc w:val="left"/>
        <w:rPr>
          <w:rFonts w:ascii="Times New Roman" w:hAnsi="Times New Roman" w:cs="Times New Roman"/>
          <w:i/>
          <w:iCs/>
          <w:lang w:eastAsia="zh-CN"/>
        </w:rPr>
      </w:pPr>
      <w:r w:rsidRPr="00C8624D">
        <w:rPr>
          <w:rFonts w:ascii="Times New Roman" w:hAnsi="Times New Roman" w:cs="Times New Roman"/>
          <w:lang w:eastAsia="zh-CN"/>
        </w:rPr>
        <w:t xml:space="preserve">The problem with this is that </w:t>
      </w:r>
      <w:r w:rsidR="000376BD" w:rsidRPr="00C8624D">
        <w:rPr>
          <w:rFonts w:ascii="Times New Roman" w:hAnsi="Times New Roman" w:cs="Times New Roman"/>
          <w:lang w:eastAsia="zh-CN"/>
        </w:rPr>
        <w:t>Misra CJI</w:t>
      </w:r>
      <w:r w:rsidRPr="00C8624D">
        <w:rPr>
          <w:rFonts w:ascii="Times New Roman" w:hAnsi="Times New Roman" w:cs="Times New Roman"/>
          <w:lang w:eastAsia="zh-CN"/>
        </w:rPr>
        <w:t xml:space="preserve"> is flat-out wrong</w:t>
      </w:r>
      <w:r w:rsidR="00B84E46" w:rsidRPr="00C8624D">
        <w:rPr>
          <w:rFonts w:ascii="Times New Roman" w:hAnsi="Times New Roman" w:cs="Times New Roman"/>
          <w:lang w:eastAsia="zh-CN"/>
        </w:rPr>
        <w:t>.</w:t>
      </w:r>
    </w:p>
    <w:p w14:paraId="67F6C41C" w14:textId="77777777" w:rsidR="00D310BE" w:rsidRPr="00C8624D" w:rsidRDefault="00D310BE" w:rsidP="00E53B94">
      <w:pPr>
        <w:spacing w:line="480" w:lineRule="auto"/>
        <w:jc w:val="left"/>
        <w:rPr>
          <w:rFonts w:ascii="Times New Roman" w:hAnsi="Times New Roman" w:cs="Times New Roman"/>
          <w:lang w:eastAsia="zh-CN"/>
        </w:rPr>
      </w:pPr>
    </w:p>
    <w:p w14:paraId="413A70CF" w14:textId="26A40353" w:rsidR="005D3647" w:rsidRPr="00C8624D" w:rsidRDefault="00D310BE"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In </w:t>
      </w:r>
      <w:r w:rsidRPr="00C8624D">
        <w:rPr>
          <w:rFonts w:ascii="Times New Roman" w:hAnsi="Times New Roman" w:cs="Times New Roman"/>
          <w:i/>
          <w:iCs/>
          <w:lang w:eastAsia="zh-CN"/>
        </w:rPr>
        <w:t>Bland</w:t>
      </w:r>
      <w:r w:rsidRPr="00C8624D">
        <w:rPr>
          <w:rFonts w:ascii="Times New Roman" w:hAnsi="Times New Roman" w:cs="Times New Roman"/>
          <w:lang w:eastAsia="zh-CN"/>
        </w:rPr>
        <w:t>, Lord Goff did point out that</w:t>
      </w:r>
    </w:p>
    <w:p w14:paraId="7A069F85" w14:textId="77777777" w:rsidR="005D3647" w:rsidRPr="00C8624D" w:rsidRDefault="005D3647" w:rsidP="00E53B94">
      <w:pPr>
        <w:pStyle w:val="ExtendedQuotation"/>
        <w:spacing w:line="240" w:lineRule="auto"/>
        <w:rPr>
          <w:rFonts w:ascii="Times New Roman" w:hAnsi="Times New Roman" w:cs="Times New Roman"/>
          <w:sz w:val="24"/>
          <w:szCs w:val="24"/>
          <w:lang w:eastAsia="zh-CN"/>
        </w:rPr>
      </w:pPr>
      <w:r w:rsidRPr="00C8624D">
        <w:rPr>
          <w:rFonts w:ascii="Times New Roman" w:hAnsi="Times New Roman" w:cs="Times New Roman"/>
          <w:sz w:val="24"/>
          <w:szCs w:val="24"/>
        </w:rPr>
        <w:t>the law draws a crucial distinction between cases in which a doctor decides not to provide, or to continue to provide for his patient treatment or care which could or might prolong his life and those in which he decides, for example by administering a lethal drug, actively to bring his patient's life to an end.</w:t>
      </w:r>
      <w:r w:rsidRPr="00C8624D">
        <w:rPr>
          <w:rStyle w:val="FootnoteReference"/>
          <w:rFonts w:ascii="Times New Roman" w:hAnsi="Times New Roman" w:cs="Times New Roman"/>
          <w:sz w:val="24"/>
          <w:szCs w:val="24"/>
        </w:rPr>
        <w:footnoteReference w:id="39"/>
      </w:r>
    </w:p>
    <w:p w14:paraId="7D205753" w14:textId="663BA0F8" w:rsidR="00D310BE" w:rsidRPr="00C8624D" w:rsidRDefault="00D310BE" w:rsidP="00351D21">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The latter is clearly illegal; the former may be legal.  </w:t>
      </w:r>
      <w:r w:rsidR="00B70932" w:rsidRPr="00C8624D">
        <w:rPr>
          <w:rFonts w:ascii="Times New Roman" w:hAnsi="Times New Roman" w:cs="Times New Roman"/>
          <w:lang w:eastAsia="zh-CN"/>
        </w:rPr>
        <w:t>In fairness to Misra CJI, i</w:t>
      </w:r>
      <w:r w:rsidRPr="00C8624D">
        <w:rPr>
          <w:rFonts w:ascii="Times New Roman" w:hAnsi="Times New Roman" w:cs="Times New Roman"/>
          <w:lang w:eastAsia="zh-CN"/>
        </w:rPr>
        <w:t>f we adhere to Definition 3*, then this would allow us to deduce that</w:t>
      </w:r>
      <w:r w:rsidR="00351D21" w:rsidRPr="00C8624D">
        <w:rPr>
          <w:rFonts w:ascii="Times New Roman" w:hAnsi="Times New Roman" w:cs="Times New Roman"/>
          <w:lang w:eastAsia="zh-CN"/>
        </w:rPr>
        <w:t xml:space="preserve"> passive euthanasia would be legal</w:t>
      </w:r>
      <w:r w:rsidRPr="00C8624D">
        <w:rPr>
          <w:rFonts w:ascii="Times New Roman" w:hAnsi="Times New Roman" w:cs="Times New Roman"/>
          <w:lang w:eastAsia="zh-CN"/>
        </w:rPr>
        <w:t xml:space="preserve">, </w:t>
      </w:r>
      <w:r w:rsidR="001B53C0" w:rsidRPr="00C8624D">
        <w:rPr>
          <w:rFonts w:ascii="Times New Roman" w:hAnsi="Times New Roman" w:cs="Times New Roman"/>
          <w:lang w:eastAsia="zh-CN"/>
        </w:rPr>
        <w:t xml:space="preserve">in line with </w:t>
      </w:r>
      <w:r w:rsidR="00351D21">
        <w:rPr>
          <w:rFonts w:ascii="Times New Roman" w:hAnsi="Times New Roman" w:cs="Times New Roman"/>
          <w:lang w:eastAsia="zh-CN"/>
        </w:rPr>
        <w:t xml:space="preserve">its </w:t>
      </w:r>
      <w:r w:rsidRPr="00C8624D">
        <w:rPr>
          <w:rFonts w:ascii="Times New Roman" w:hAnsi="Times New Roman" w:cs="Times New Roman"/>
          <w:lang w:eastAsia="zh-CN"/>
        </w:rPr>
        <w:t>being nothing but the non-provision of life-sustaining treatment.  However, there is no reason to suppose that Lord Goff had anything like Definition 3* in mind.  Contrary to Misra CJI’s assertion, Lord Goff made no direct reference to passive euthanasia at all</w:t>
      </w:r>
      <w:r w:rsidR="003D460B" w:rsidRPr="00C8624D">
        <w:rPr>
          <w:rFonts w:ascii="Times New Roman" w:hAnsi="Times New Roman" w:cs="Times New Roman"/>
          <w:lang w:eastAsia="zh-CN"/>
        </w:rPr>
        <w:t>.  What he did suggest was that</w:t>
      </w:r>
    </w:p>
    <w:p w14:paraId="51DBA2FB" w14:textId="7CCBCF86" w:rsidR="003D460B" w:rsidRPr="00C8624D" w:rsidRDefault="003D460B" w:rsidP="00E53B94">
      <w:pPr>
        <w:pStyle w:val="ExtendedQuotation"/>
        <w:spacing w:line="240" w:lineRule="auto"/>
        <w:rPr>
          <w:rFonts w:ascii="Times New Roman" w:hAnsi="Times New Roman" w:cs="Times New Roman"/>
          <w:sz w:val="24"/>
          <w:szCs w:val="24"/>
          <w:lang w:eastAsia="zh-CN"/>
        </w:rPr>
      </w:pPr>
      <w:r w:rsidRPr="00C8624D">
        <w:rPr>
          <w:rFonts w:ascii="Times New Roman" w:hAnsi="Times New Roman" w:cs="Times New Roman"/>
          <w:sz w:val="24"/>
          <w:szCs w:val="24"/>
        </w:rPr>
        <w:t>it is not lawful for a doctor to administer a drug to his patient to bring about his death, even though that course is prompted by a humanitarian desire to end his suffering, howe</w:t>
      </w:r>
      <w:r w:rsidR="00B70932" w:rsidRPr="00C8624D">
        <w:rPr>
          <w:rFonts w:ascii="Times New Roman" w:hAnsi="Times New Roman" w:cs="Times New Roman"/>
          <w:sz w:val="24"/>
          <w:szCs w:val="24"/>
        </w:rPr>
        <w:t>ver great that suffering may be</w:t>
      </w:r>
      <w:r w:rsidRPr="00C8624D">
        <w:rPr>
          <w:rFonts w:ascii="Times New Roman" w:hAnsi="Times New Roman" w:cs="Times New Roman"/>
          <w:sz w:val="24"/>
          <w:szCs w:val="24"/>
        </w:rPr>
        <w:t xml:space="preserve">[…].  So to act is to cross the Rubicon which runs between on the one hand the care of the living patient and on </w:t>
      </w:r>
      <w:r w:rsidR="00716A21" w:rsidRPr="00C8624D">
        <w:rPr>
          <w:rFonts w:ascii="Times New Roman" w:hAnsi="Times New Roman" w:cs="Times New Roman"/>
          <w:sz w:val="24"/>
          <w:szCs w:val="24"/>
        </w:rPr>
        <w:t xml:space="preserve">the other hand euthanasia – </w:t>
      </w:r>
      <w:r w:rsidRPr="00C8624D">
        <w:rPr>
          <w:rFonts w:ascii="Times New Roman" w:hAnsi="Times New Roman" w:cs="Times New Roman"/>
          <w:sz w:val="24"/>
          <w:szCs w:val="24"/>
        </w:rPr>
        <w:t>actively causing his death to avoid or to end his suffering. Euthanasia is not lawful at common law.</w:t>
      </w:r>
      <w:r w:rsidR="00D87DCF" w:rsidRPr="00C8624D">
        <w:rPr>
          <w:rStyle w:val="FootnoteReference"/>
          <w:rFonts w:ascii="Times New Roman" w:hAnsi="Times New Roman" w:cs="Times New Roman"/>
          <w:sz w:val="24"/>
          <w:szCs w:val="24"/>
        </w:rPr>
        <w:footnoteReference w:id="40"/>
      </w:r>
    </w:p>
    <w:p w14:paraId="55A16A6B" w14:textId="77245A28" w:rsidR="00AE0A8C" w:rsidRPr="00C8624D" w:rsidRDefault="00D87DCF"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The final clause of the penultimate sentence here is, I think, important: Lord Goff understands euthanasi</w:t>
      </w:r>
      <w:r w:rsidR="000376BD" w:rsidRPr="00C8624D">
        <w:rPr>
          <w:rFonts w:ascii="Times New Roman" w:hAnsi="Times New Roman" w:cs="Times New Roman"/>
          <w:lang w:eastAsia="zh-CN"/>
        </w:rPr>
        <w:t>a to be nothing but actively</w:t>
      </w:r>
      <w:r w:rsidRPr="00C8624D">
        <w:rPr>
          <w:rFonts w:ascii="Times New Roman" w:hAnsi="Times New Roman" w:cs="Times New Roman"/>
          <w:lang w:eastAsia="zh-CN"/>
        </w:rPr>
        <w:t xml:space="preserve"> causing death with a motivation to end suffering</w:t>
      </w:r>
      <w:r w:rsidR="00D64476" w:rsidRPr="00C8624D">
        <w:rPr>
          <w:rFonts w:ascii="Times New Roman" w:hAnsi="Times New Roman" w:cs="Times New Roman"/>
          <w:lang w:eastAsia="zh-CN"/>
        </w:rPr>
        <w:t>.</w:t>
      </w:r>
      <w:r w:rsidR="00673A97" w:rsidRPr="00C8624D">
        <w:rPr>
          <w:rFonts w:ascii="Times New Roman" w:hAnsi="Times New Roman" w:cs="Times New Roman"/>
          <w:lang w:eastAsia="zh-CN"/>
        </w:rPr>
        <w:t xml:space="preserve"> </w:t>
      </w:r>
      <w:r w:rsidR="00FC3A0F" w:rsidRPr="00C8624D">
        <w:rPr>
          <w:rFonts w:ascii="Times New Roman" w:hAnsi="Times New Roman" w:cs="Times New Roman"/>
          <w:lang w:eastAsia="zh-CN"/>
        </w:rPr>
        <w:t xml:space="preserve"> </w:t>
      </w:r>
      <w:r w:rsidR="00D64476" w:rsidRPr="00C8624D">
        <w:rPr>
          <w:rFonts w:ascii="Times New Roman" w:hAnsi="Times New Roman" w:cs="Times New Roman"/>
          <w:lang w:eastAsia="zh-CN"/>
        </w:rPr>
        <w:t>He does not make any statement about the legality of passive euthanasia because, simply put, it never appears to occur to him that there might be something to say.</w:t>
      </w:r>
      <w:r w:rsidR="00FC3A0F" w:rsidRPr="00C8624D">
        <w:rPr>
          <w:rFonts w:ascii="Times New Roman" w:hAnsi="Times New Roman" w:cs="Times New Roman"/>
          <w:lang w:eastAsia="zh-CN"/>
        </w:rPr>
        <w:t xml:space="preserve">  (This understanding was repeated 2017 by Sir Ernest Ryder in his speech in </w:t>
      </w:r>
      <w:r w:rsidR="00FC3A0F" w:rsidRPr="00C8624D">
        <w:rPr>
          <w:rFonts w:ascii="Times New Roman" w:hAnsi="Times New Roman" w:cs="Times New Roman"/>
          <w:i/>
          <w:iCs/>
          <w:lang w:eastAsia="zh-CN"/>
        </w:rPr>
        <w:t>Conway</w:t>
      </w:r>
      <w:r w:rsidR="00FC3A0F" w:rsidRPr="00C8624D">
        <w:rPr>
          <w:rFonts w:ascii="Times New Roman" w:hAnsi="Times New Roman" w:cs="Times New Roman"/>
          <w:lang w:eastAsia="zh-CN"/>
        </w:rPr>
        <w:t>.</w:t>
      </w:r>
      <w:r w:rsidR="00FC3A0F" w:rsidRPr="00C8624D">
        <w:rPr>
          <w:rStyle w:val="FootnoteReference"/>
          <w:rFonts w:ascii="Times New Roman" w:hAnsi="Times New Roman" w:cs="Times New Roman"/>
          <w:lang w:eastAsia="zh-CN"/>
        </w:rPr>
        <w:footnoteReference w:id="41"/>
      </w:r>
      <w:r w:rsidR="00FC3A0F" w:rsidRPr="00C8624D">
        <w:rPr>
          <w:rFonts w:ascii="Times New Roman" w:hAnsi="Times New Roman" w:cs="Times New Roman"/>
          <w:lang w:eastAsia="zh-CN"/>
        </w:rPr>
        <w:t>)</w:t>
      </w:r>
      <w:r w:rsidR="000376BD" w:rsidRPr="00C8624D">
        <w:rPr>
          <w:rFonts w:ascii="Times New Roman" w:hAnsi="Times New Roman" w:cs="Times New Roman"/>
          <w:lang w:eastAsia="zh-CN"/>
        </w:rPr>
        <w:t xml:space="preserve"> </w:t>
      </w:r>
      <w:r w:rsidR="00D64476" w:rsidRPr="00C8624D">
        <w:rPr>
          <w:rFonts w:ascii="Times New Roman" w:hAnsi="Times New Roman" w:cs="Times New Roman"/>
          <w:lang w:eastAsia="zh-CN"/>
        </w:rPr>
        <w:t xml:space="preserve"> </w:t>
      </w:r>
      <w:r w:rsidR="000376BD" w:rsidRPr="00C8624D">
        <w:rPr>
          <w:rFonts w:ascii="Times New Roman" w:hAnsi="Times New Roman" w:cs="Times New Roman"/>
          <w:lang w:eastAsia="zh-CN"/>
        </w:rPr>
        <w:t>He</w:t>
      </w:r>
      <w:r w:rsidR="00D64476" w:rsidRPr="00C8624D">
        <w:rPr>
          <w:rFonts w:ascii="Times New Roman" w:hAnsi="Times New Roman" w:cs="Times New Roman"/>
          <w:lang w:eastAsia="zh-CN"/>
        </w:rPr>
        <w:t xml:space="preserve"> </w:t>
      </w:r>
      <w:r w:rsidR="000376BD" w:rsidRPr="00C8624D">
        <w:rPr>
          <w:rFonts w:ascii="Times New Roman" w:hAnsi="Times New Roman" w:cs="Times New Roman"/>
          <w:lang w:eastAsia="zh-CN"/>
        </w:rPr>
        <w:t xml:space="preserve">does </w:t>
      </w:r>
      <w:r w:rsidR="000376BD" w:rsidRPr="00C8624D">
        <w:rPr>
          <w:rFonts w:ascii="Times New Roman" w:hAnsi="Times New Roman" w:cs="Times New Roman"/>
          <w:lang w:eastAsia="zh-CN"/>
        </w:rPr>
        <w:lastRenderedPageBreak/>
        <w:t xml:space="preserve">talk </w:t>
      </w:r>
      <w:r w:rsidR="00D64476" w:rsidRPr="00C8624D">
        <w:rPr>
          <w:rFonts w:ascii="Times New Roman" w:hAnsi="Times New Roman" w:cs="Times New Roman"/>
          <w:lang w:eastAsia="zh-CN"/>
        </w:rPr>
        <w:t xml:space="preserve">a little later about a doctor who “is simply allowing his patient to die of his pre-existing condition”, but </w:t>
      </w:r>
      <w:r w:rsidR="000376BD" w:rsidRPr="00C8624D">
        <w:rPr>
          <w:rFonts w:ascii="Times New Roman" w:hAnsi="Times New Roman" w:cs="Times New Roman"/>
          <w:lang w:eastAsia="zh-CN"/>
        </w:rPr>
        <w:t xml:space="preserve">he </w:t>
      </w:r>
      <w:r w:rsidR="00D64476" w:rsidRPr="00C8624D">
        <w:rPr>
          <w:rFonts w:ascii="Times New Roman" w:hAnsi="Times New Roman" w:cs="Times New Roman"/>
          <w:lang w:eastAsia="zh-CN"/>
        </w:rPr>
        <w:t>does not refer to that as killing – and therefore not as euthanasia.  This doctor is, in fact, contrasted to an interloper who switches off a life-support machine and who does, nefariously in this case, intend the patient’s death.</w:t>
      </w:r>
      <w:r w:rsidR="008B58E3" w:rsidRPr="00C8624D">
        <w:rPr>
          <w:rStyle w:val="FootnoteReference"/>
          <w:rFonts w:ascii="Times New Roman" w:hAnsi="Times New Roman" w:cs="Times New Roman"/>
          <w:lang w:eastAsia="zh-CN"/>
        </w:rPr>
        <w:footnoteReference w:id="42"/>
      </w:r>
      <w:r w:rsidR="008B58E3" w:rsidRPr="00C8624D">
        <w:rPr>
          <w:rFonts w:ascii="Times New Roman" w:hAnsi="Times New Roman" w:cs="Times New Roman"/>
          <w:lang w:eastAsia="zh-CN"/>
        </w:rPr>
        <w:t xml:space="preserve">  </w:t>
      </w:r>
      <w:r w:rsidR="000376BD" w:rsidRPr="00C8624D">
        <w:rPr>
          <w:rFonts w:ascii="Times New Roman" w:hAnsi="Times New Roman" w:cs="Times New Roman"/>
          <w:lang w:eastAsia="zh-CN"/>
        </w:rPr>
        <w:t xml:space="preserve">In other words, though </w:t>
      </w:r>
      <w:r w:rsidR="008B58E3" w:rsidRPr="00C8624D">
        <w:rPr>
          <w:rFonts w:ascii="Times New Roman" w:hAnsi="Times New Roman" w:cs="Times New Roman"/>
          <w:lang w:eastAsia="zh-CN"/>
        </w:rPr>
        <w:t>Lord Goff gave himself the opportunity to say that withdrawing treatment would be passive euthanasia</w:t>
      </w:r>
      <w:r w:rsidR="000376BD" w:rsidRPr="00C8624D">
        <w:rPr>
          <w:rFonts w:ascii="Times New Roman" w:hAnsi="Times New Roman" w:cs="Times New Roman"/>
          <w:lang w:eastAsia="zh-CN"/>
        </w:rPr>
        <w:t>, he did not actually say it</w:t>
      </w:r>
      <w:r w:rsidR="008B58E3" w:rsidRPr="00C8624D">
        <w:rPr>
          <w:rFonts w:ascii="Times New Roman" w:hAnsi="Times New Roman" w:cs="Times New Roman"/>
          <w:lang w:eastAsia="zh-CN"/>
        </w:rPr>
        <w:t xml:space="preserve">.  </w:t>
      </w:r>
      <w:r w:rsidR="000376BD" w:rsidRPr="00C8624D">
        <w:rPr>
          <w:rFonts w:ascii="Times New Roman" w:hAnsi="Times New Roman" w:cs="Times New Roman"/>
          <w:lang w:eastAsia="zh-CN"/>
        </w:rPr>
        <w:t xml:space="preserve">On this basis, </w:t>
      </w:r>
      <w:r w:rsidR="008B58E3" w:rsidRPr="00C8624D">
        <w:rPr>
          <w:rFonts w:ascii="Times New Roman" w:hAnsi="Times New Roman" w:cs="Times New Roman"/>
          <w:lang w:eastAsia="zh-CN"/>
        </w:rPr>
        <w:t xml:space="preserve">we may infer that he did not understand all withdrawal or withholding </w:t>
      </w:r>
      <w:r w:rsidR="00601D36" w:rsidRPr="00C8624D">
        <w:rPr>
          <w:rFonts w:ascii="Times New Roman" w:hAnsi="Times New Roman" w:cs="Times New Roman"/>
          <w:lang w:eastAsia="zh-CN"/>
        </w:rPr>
        <w:t>to be</w:t>
      </w:r>
      <w:r w:rsidR="008B58E3" w:rsidRPr="00C8624D">
        <w:rPr>
          <w:rFonts w:ascii="Times New Roman" w:hAnsi="Times New Roman" w:cs="Times New Roman"/>
          <w:lang w:eastAsia="zh-CN"/>
        </w:rPr>
        <w:t xml:space="preserve"> such.</w:t>
      </w:r>
      <w:r w:rsidR="0051401E" w:rsidRPr="00C8624D">
        <w:rPr>
          <w:rFonts w:ascii="Times New Roman" w:hAnsi="Times New Roman" w:cs="Times New Roman"/>
          <w:lang w:eastAsia="zh-CN"/>
        </w:rPr>
        <w:t xml:space="preserve">  In other words, the Bench in </w:t>
      </w:r>
      <w:r w:rsidR="0051401E" w:rsidRPr="00C8624D">
        <w:rPr>
          <w:rFonts w:ascii="Times New Roman" w:hAnsi="Times New Roman" w:cs="Times New Roman"/>
          <w:i/>
          <w:iCs/>
          <w:lang w:eastAsia="zh-CN"/>
        </w:rPr>
        <w:t>Common Cause</w:t>
      </w:r>
      <w:r w:rsidR="0051401E" w:rsidRPr="00C8624D">
        <w:rPr>
          <w:rFonts w:ascii="Times New Roman" w:hAnsi="Times New Roman" w:cs="Times New Roman"/>
          <w:lang w:eastAsia="zh-CN"/>
        </w:rPr>
        <w:t xml:space="preserve"> appears to have been inaccurate in its use of the precedent from </w:t>
      </w:r>
      <w:r w:rsidR="0051401E" w:rsidRPr="00C8624D">
        <w:rPr>
          <w:rFonts w:ascii="Times New Roman" w:hAnsi="Times New Roman" w:cs="Times New Roman"/>
          <w:i/>
          <w:iCs/>
          <w:lang w:eastAsia="zh-CN"/>
        </w:rPr>
        <w:t>Bland</w:t>
      </w:r>
      <w:r w:rsidR="0051401E" w:rsidRPr="00C8624D">
        <w:rPr>
          <w:rFonts w:ascii="Times New Roman" w:hAnsi="Times New Roman" w:cs="Times New Roman"/>
          <w:lang w:eastAsia="zh-CN"/>
        </w:rPr>
        <w:t xml:space="preserve">.  </w:t>
      </w:r>
      <w:r w:rsidR="00D87CA5" w:rsidRPr="00C8624D">
        <w:rPr>
          <w:rFonts w:ascii="Times New Roman" w:hAnsi="Times New Roman" w:cs="Times New Roman"/>
          <w:lang w:eastAsia="zh-CN"/>
        </w:rPr>
        <w:t xml:space="preserve">Indeed, the term “passive euthanasia” is used only once in the entire </w:t>
      </w:r>
      <w:r w:rsidR="00D87CA5" w:rsidRPr="00C8624D">
        <w:rPr>
          <w:rFonts w:ascii="Times New Roman" w:hAnsi="Times New Roman" w:cs="Times New Roman"/>
          <w:i/>
          <w:iCs/>
          <w:lang w:eastAsia="zh-CN"/>
        </w:rPr>
        <w:t>Bland</w:t>
      </w:r>
      <w:r w:rsidR="00D87CA5" w:rsidRPr="00C8624D">
        <w:rPr>
          <w:rFonts w:ascii="Times New Roman" w:hAnsi="Times New Roman" w:cs="Times New Roman"/>
          <w:lang w:eastAsia="zh-CN"/>
        </w:rPr>
        <w:t xml:space="preserve"> judgement, </w:t>
      </w:r>
      <w:r w:rsidR="00E252AD" w:rsidRPr="00C8624D">
        <w:rPr>
          <w:rFonts w:ascii="Times New Roman" w:hAnsi="Times New Roman" w:cs="Times New Roman"/>
          <w:lang w:eastAsia="zh-CN"/>
        </w:rPr>
        <w:t xml:space="preserve">and </w:t>
      </w:r>
      <w:r w:rsidR="00D87CA5" w:rsidRPr="00C8624D">
        <w:rPr>
          <w:rFonts w:ascii="Times New Roman" w:hAnsi="Times New Roman" w:cs="Times New Roman"/>
          <w:lang w:eastAsia="zh-CN"/>
        </w:rPr>
        <w:t>by Lord Mustill</w:t>
      </w:r>
      <w:r w:rsidR="00E252AD" w:rsidRPr="00C8624D">
        <w:rPr>
          <w:rFonts w:ascii="Times New Roman" w:hAnsi="Times New Roman" w:cs="Times New Roman"/>
          <w:lang w:eastAsia="zh-CN"/>
        </w:rPr>
        <w:t>, not Lord Goff; in this context, the term is</w:t>
      </w:r>
      <w:r w:rsidR="0051401E" w:rsidRPr="00C8624D">
        <w:rPr>
          <w:rFonts w:ascii="Times New Roman" w:hAnsi="Times New Roman" w:cs="Times New Roman"/>
          <w:lang w:eastAsia="zh-CN"/>
        </w:rPr>
        <w:t xml:space="preserve"> once again</w:t>
      </w:r>
      <w:r w:rsidR="00E252AD" w:rsidRPr="00C8624D">
        <w:rPr>
          <w:rFonts w:ascii="Times New Roman" w:hAnsi="Times New Roman" w:cs="Times New Roman"/>
          <w:lang w:eastAsia="zh-CN"/>
        </w:rPr>
        <w:t xml:space="preserve"> understood according to Definition 3, and – though this part of the speech is a little unclear – there is no clear claim made that it would be lawful</w:t>
      </w:r>
      <w:r w:rsidR="0051401E" w:rsidRPr="00C8624D">
        <w:rPr>
          <w:rFonts w:ascii="Times New Roman" w:hAnsi="Times New Roman" w:cs="Times New Roman"/>
          <w:lang w:eastAsia="zh-CN"/>
        </w:rPr>
        <w:t xml:space="preserve"> </w:t>
      </w:r>
      <w:r w:rsidR="00D10CD3" w:rsidRPr="00C8624D">
        <w:rPr>
          <w:rFonts w:ascii="Times New Roman" w:hAnsi="Times New Roman" w:cs="Times New Roman"/>
          <w:lang w:eastAsia="zh-CN"/>
        </w:rPr>
        <w:t>either way</w:t>
      </w:r>
      <w:r w:rsidR="00E252AD" w:rsidRPr="00C8624D">
        <w:rPr>
          <w:rFonts w:ascii="Times New Roman" w:hAnsi="Times New Roman" w:cs="Times New Roman"/>
          <w:lang w:eastAsia="zh-CN"/>
        </w:rPr>
        <w:t>.</w:t>
      </w:r>
      <w:r w:rsidR="00E252AD" w:rsidRPr="00C8624D">
        <w:rPr>
          <w:rStyle w:val="FootnoteReference"/>
          <w:rFonts w:ascii="Times New Roman" w:hAnsi="Times New Roman" w:cs="Times New Roman"/>
          <w:lang w:eastAsia="zh-CN"/>
        </w:rPr>
        <w:footnoteReference w:id="43"/>
      </w:r>
      <w:r w:rsidR="00867F43" w:rsidRPr="00C8624D">
        <w:rPr>
          <w:rFonts w:ascii="Times New Roman" w:hAnsi="Times New Roman" w:cs="Times New Roman"/>
          <w:lang w:eastAsia="zh-CN"/>
        </w:rPr>
        <w:t xml:space="preserve">  In other words, in looking for an authority to back up their decisions, it would seem that the Indian judges had seriously misunderstood </w:t>
      </w:r>
      <w:r w:rsidR="002C4BCD" w:rsidRPr="00C8624D">
        <w:rPr>
          <w:rFonts w:ascii="Times New Roman" w:hAnsi="Times New Roman" w:cs="Times New Roman"/>
          <w:lang w:eastAsia="zh-CN"/>
        </w:rPr>
        <w:t xml:space="preserve">a case that was central to their own reasoning, and upon which they </w:t>
      </w:r>
      <w:r w:rsidR="00867F43" w:rsidRPr="00C8624D">
        <w:rPr>
          <w:rFonts w:ascii="Times New Roman" w:hAnsi="Times New Roman" w:cs="Times New Roman"/>
          <w:lang w:eastAsia="zh-CN"/>
        </w:rPr>
        <w:t>relied</w:t>
      </w:r>
      <w:r w:rsidR="002C4BCD" w:rsidRPr="00C8624D">
        <w:rPr>
          <w:rFonts w:ascii="Times New Roman" w:hAnsi="Times New Roman" w:cs="Times New Roman"/>
          <w:lang w:eastAsia="zh-CN"/>
        </w:rPr>
        <w:t xml:space="preserve"> heavily</w:t>
      </w:r>
      <w:r w:rsidR="00867F43" w:rsidRPr="00C8624D">
        <w:rPr>
          <w:rFonts w:ascii="Times New Roman" w:hAnsi="Times New Roman" w:cs="Times New Roman"/>
          <w:lang w:eastAsia="zh-CN"/>
        </w:rPr>
        <w:t>.</w:t>
      </w:r>
      <w:r w:rsidR="009D7D51" w:rsidRPr="00C8624D">
        <w:rPr>
          <w:rFonts w:ascii="Times New Roman" w:hAnsi="Times New Roman" w:cs="Times New Roman"/>
          <w:lang w:eastAsia="zh-CN"/>
        </w:rPr>
        <w:t xml:space="preserve">  This ought to trouble us, because it suggests that there may be cracks in the legal edifice.</w:t>
      </w:r>
    </w:p>
    <w:p w14:paraId="1FE71E90" w14:textId="77777777" w:rsidR="009D7D51" w:rsidRPr="00C8624D" w:rsidRDefault="009D7D51" w:rsidP="00E53B94">
      <w:pPr>
        <w:spacing w:line="480" w:lineRule="auto"/>
        <w:jc w:val="left"/>
        <w:rPr>
          <w:rFonts w:ascii="Times New Roman" w:hAnsi="Times New Roman" w:cs="Times New Roman"/>
          <w:i/>
          <w:iCs/>
          <w:lang w:eastAsia="zh-CN"/>
        </w:rPr>
      </w:pPr>
    </w:p>
    <w:p w14:paraId="62B65926" w14:textId="3B0E5879" w:rsidR="00AE0A8C" w:rsidRPr="00C8624D" w:rsidRDefault="00AE0A8C" w:rsidP="00E53B94">
      <w:pPr>
        <w:pStyle w:val="Heading2"/>
        <w:spacing w:line="240" w:lineRule="auto"/>
        <w:jc w:val="left"/>
        <w:rPr>
          <w:rFonts w:ascii="Times New Roman" w:hAnsi="Times New Roman"/>
        </w:rPr>
      </w:pPr>
      <w:r w:rsidRPr="00C8624D">
        <w:rPr>
          <w:rFonts w:ascii="Times New Roman" w:hAnsi="Times New Roman"/>
        </w:rPr>
        <w:t>Why this Matters</w:t>
      </w:r>
    </w:p>
    <w:p w14:paraId="4413CC1F" w14:textId="1FAFD85E" w:rsidR="008B7518" w:rsidRPr="00C8624D" w:rsidRDefault="009D7D51"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To recap: </w:t>
      </w:r>
      <w:r w:rsidRPr="00C8624D">
        <w:rPr>
          <w:rFonts w:ascii="Times New Roman" w:hAnsi="Times New Roman" w:cs="Times New Roman"/>
          <w:i/>
          <w:iCs/>
          <w:lang w:eastAsia="zh-CN"/>
        </w:rPr>
        <w:t>Shanbaug</w:t>
      </w:r>
      <w:r w:rsidRPr="00C8624D">
        <w:rPr>
          <w:rFonts w:ascii="Times New Roman" w:hAnsi="Times New Roman" w:cs="Times New Roman"/>
          <w:lang w:eastAsia="zh-CN"/>
        </w:rPr>
        <w:t xml:space="preserve"> concerned the withdrawal of life-sustaining treatment; in the course of deciding that it would be permissible in principle to withdraw life-sustaining treatment in this case, </w:t>
      </w:r>
      <w:r w:rsidR="004257BB" w:rsidRPr="00C8624D">
        <w:rPr>
          <w:rFonts w:ascii="Times New Roman" w:hAnsi="Times New Roman" w:cs="Times New Roman"/>
          <w:lang w:eastAsia="zh-CN"/>
        </w:rPr>
        <w:t>K</w:t>
      </w:r>
      <w:r w:rsidR="000A5B6F" w:rsidRPr="00C8624D">
        <w:rPr>
          <w:rFonts w:ascii="Times New Roman" w:hAnsi="Times New Roman" w:cs="Times New Roman"/>
          <w:lang w:eastAsia="zh-CN"/>
        </w:rPr>
        <w:t>at</w:t>
      </w:r>
      <w:r w:rsidRPr="00C8624D">
        <w:rPr>
          <w:rFonts w:ascii="Times New Roman" w:hAnsi="Times New Roman" w:cs="Times New Roman"/>
          <w:lang w:eastAsia="zh-CN"/>
        </w:rPr>
        <w:t>ju J saw fit to declare that, therefore, passive euthanasia was lawful in Ind</w:t>
      </w:r>
      <w:r w:rsidR="003372A4" w:rsidRPr="00C8624D">
        <w:rPr>
          <w:rFonts w:ascii="Times New Roman" w:hAnsi="Times New Roman" w:cs="Times New Roman"/>
          <w:lang w:eastAsia="zh-CN"/>
        </w:rPr>
        <w:t>ia</w:t>
      </w:r>
      <w:r w:rsidR="00C46920">
        <w:rPr>
          <w:rFonts w:ascii="Times New Roman" w:hAnsi="Times New Roman" w:cs="Times New Roman"/>
          <w:lang w:eastAsia="zh-CN"/>
        </w:rPr>
        <w:t>.  Yet this declaration rests on two incompatible definitions of passive euthanasia, and so it is not clear how his words should be interpreted</w:t>
      </w:r>
      <w:r w:rsidR="003372A4" w:rsidRPr="00C8624D">
        <w:rPr>
          <w:rFonts w:ascii="Times New Roman" w:hAnsi="Times New Roman" w:cs="Times New Roman"/>
          <w:lang w:eastAsia="zh-CN"/>
        </w:rPr>
        <w:t>.</w:t>
      </w:r>
      <w:r w:rsidRPr="00C8624D">
        <w:rPr>
          <w:rFonts w:ascii="Times New Roman" w:hAnsi="Times New Roman" w:cs="Times New Roman"/>
          <w:lang w:eastAsia="zh-CN"/>
        </w:rPr>
        <w:t xml:space="preserve">  </w:t>
      </w:r>
      <w:r w:rsidR="00C46920">
        <w:rPr>
          <w:rFonts w:ascii="Times New Roman" w:hAnsi="Times New Roman" w:cs="Times New Roman"/>
          <w:lang w:eastAsia="zh-CN"/>
        </w:rPr>
        <w:t>H</w:t>
      </w:r>
      <w:r w:rsidRPr="00C8624D">
        <w:rPr>
          <w:rFonts w:ascii="Times New Roman" w:hAnsi="Times New Roman" w:cs="Times New Roman"/>
          <w:lang w:eastAsia="zh-CN"/>
        </w:rPr>
        <w:t xml:space="preserve">is opinion was incorporated into the review of the law published in 2012 by the Law Commission of India, and restated in 2018 in the </w:t>
      </w:r>
      <w:r w:rsidRPr="00C8624D">
        <w:rPr>
          <w:rFonts w:ascii="Times New Roman" w:hAnsi="Times New Roman" w:cs="Times New Roman"/>
          <w:i/>
          <w:iCs/>
          <w:lang w:eastAsia="zh-CN"/>
        </w:rPr>
        <w:t>Common Cause</w:t>
      </w:r>
      <w:r w:rsidRPr="00C8624D">
        <w:rPr>
          <w:rFonts w:ascii="Times New Roman" w:hAnsi="Times New Roman" w:cs="Times New Roman"/>
          <w:lang w:eastAsia="zh-CN"/>
        </w:rPr>
        <w:t xml:space="preserve"> ruling</w:t>
      </w:r>
      <w:r w:rsidR="000349B0" w:rsidRPr="00C8624D">
        <w:rPr>
          <w:rFonts w:ascii="Times New Roman" w:hAnsi="Times New Roman" w:cs="Times New Roman"/>
          <w:lang w:eastAsia="zh-CN"/>
        </w:rPr>
        <w:t>, which – again – obscured the question of whether passive euthanasia required the intent to end life</w:t>
      </w:r>
      <w:r w:rsidRPr="00C8624D">
        <w:rPr>
          <w:rFonts w:ascii="Times New Roman" w:hAnsi="Times New Roman" w:cs="Times New Roman"/>
          <w:lang w:eastAsia="zh-CN"/>
        </w:rPr>
        <w:t xml:space="preserve">.  I have suggested that a large part of this chain of legal reasoning can be attributed to a misunderstanding of elements of the English </w:t>
      </w:r>
      <w:r w:rsidRPr="00C8624D">
        <w:rPr>
          <w:rFonts w:ascii="Times New Roman" w:hAnsi="Times New Roman" w:cs="Times New Roman"/>
          <w:i/>
          <w:iCs/>
          <w:lang w:eastAsia="zh-CN"/>
        </w:rPr>
        <w:t>Bland</w:t>
      </w:r>
      <w:r w:rsidRPr="00C8624D">
        <w:rPr>
          <w:rFonts w:ascii="Times New Roman" w:hAnsi="Times New Roman" w:cs="Times New Roman"/>
          <w:lang w:eastAsia="zh-CN"/>
        </w:rPr>
        <w:t xml:space="preserve"> case; and that, even putting that aside, there is a potential </w:t>
      </w:r>
      <w:r w:rsidR="00B42625" w:rsidRPr="00C8624D">
        <w:rPr>
          <w:rFonts w:ascii="Times New Roman" w:hAnsi="Times New Roman" w:cs="Times New Roman"/>
          <w:lang w:eastAsia="zh-CN"/>
        </w:rPr>
        <w:t xml:space="preserve">difficulty in working out what the </w:t>
      </w:r>
      <w:r w:rsidR="00CE09A3" w:rsidRPr="00C8624D">
        <w:rPr>
          <w:rFonts w:ascii="Times New Roman" w:hAnsi="Times New Roman" w:cs="Times New Roman"/>
          <w:lang w:eastAsia="zh-CN"/>
        </w:rPr>
        <w:t>findings are supposed to mean, given that they allowed for ambiguity in respect of whether the intention to end the life of the patient was a necessary part of an action’s c</w:t>
      </w:r>
      <w:r w:rsidR="00075B38" w:rsidRPr="00C8624D">
        <w:rPr>
          <w:rFonts w:ascii="Times New Roman" w:hAnsi="Times New Roman" w:cs="Times New Roman"/>
          <w:lang w:eastAsia="zh-CN"/>
        </w:rPr>
        <w:t>ounting as passive euthanasia</w:t>
      </w:r>
      <w:r w:rsidR="00E71D8A" w:rsidRPr="00C8624D">
        <w:rPr>
          <w:rFonts w:ascii="Times New Roman" w:hAnsi="Times New Roman" w:cs="Times New Roman"/>
          <w:lang w:eastAsia="zh-CN"/>
        </w:rPr>
        <w:t>.</w:t>
      </w:r>
      <w:r w:rsidR="003372A4" w:rsidRPr="00C8624D">
        <w:rPr>
          <w:rFonts w:ascii="Times New Roman" w:hAnsi="Times New Roman" w:cs="Times New Roman"/>
          <w:lang w:eastAsia="zh-CN"/>
        </w:rPr>
        <w:t xml:space="preserve"> </w:t>
      </w:r>
    </w:p>
    <w:p w14:paraId="6613C984" w14:textId="77777777" w:rsidR="00CD369A" w:rsidRPr="00C8624D" w:rsidRDefault="00CD369A" w:rsidP="00E53B94">
      <w:pPr>
        <w:spacing w:line="480" w:lineRule="auto"/>
        <w:jc w:val="left"/>
        <w:rPr>
          <w:rFonts w:ascii="Times New Roman" w:hAnsi="Times New Roman" w:cs="Times New Roman"/>
          <w:lang w:eastAsia="zh-CN"/>
        </w:rPr>
      </w:pPr>
    </w:p>
    <w:p w14:paraId="2026BD46" w14:textId="14441644" w:rsidR="00CD369A" w:rsidRPr="00C8624D" w:rsidRDefault="00CA21D3"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There is a number of reasons why this might be a concern.</w:t>
      </w:r>
    </w:p>
    <w:p w14:paraId="1316F2E4" w14:textId="77777777" w:rsidR="00CA21D3" w:rsidRPr="00C8624D" w:rsidRDefault="00CA21D3" w:rsidP="00E53B94">
      <w:pPr>
        <w:spacing w:line="480" w:lineRule="auto"/>
        <w:jc w:val="left"/>
        <w:rPr>
          <w:rFonts w:ascii="Times New Roman" w:hAnsi="Times New Roman" w:cs="Times New Roman"/>
          <w:lang w:eastAsia="zh-CN"/>
        </w:rPr>
      </w:pPr>
    </w:p>
    <w:p w14:paraId="16C50771" w14:textId="0A756D0E" w:rsidR="00FF7013" w:rsidRPr="00C8624D" w:rsidRDefault="00CA21D3"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In the first place, there is a general point to be made that a</w:t>
      </w:r>
      <w:r w:rsidR="000376BD" w:rsidRPr="00C8624D">
        <w:rPr>
          <w:rFonts w:ascii="Times New Roman" w:hAnsi="Times New Roman" w:cs="Times New Roman"/>
          <w:lang w:eastAsia="zh-CN"/>
        </w:rPr>
        <w:t>ny set of laws</w:t>
      </w:r>
      <w:r w:rsidRPr="00C8624D">
        <w:rPr>
          <w:rFonts w:ascii="Times New Roman" w:hAnsi="Times New Roman" w:cs="Times New Roman"/>
          <w:lang w:eastAsia="zh-CN"/>
        </w:rPr>
        <w:t xml:space="preserve"> in which the definition of a central term is unclear is likely to be vulner</w:t>
      </w:r>
      <w:r w:rsidR="00FF7013" w:rsidRPr="00C8624D">
        <w:rPr>
          <w:rFonts w:ascii="Times New Roman" w:hAnsi="Times New Roman" w:cs="Times New Roman"/>
          <w:lang w:eastAsia="zh-CN"/>
        </w:rPr>
        <w:t>able to all manner of objection as a matter of principle.  In addition, though, there are reasons why we may be concerned in practice.</w:t>
      </w:r>
    </w:p>
    <w:p w14:paraId="6C1BD6B6" w14:textId="77777777" w:rsidR="00FF7013" w:rsidRPr="00C8624D" w:rsidRDefault="00FF7013" w:rsidP="00E53B94">
      <w:pPr>
        <w:spacing w:line="480" w:lineRule="auto"/>
        <w:jc w:val="left"/>
        <w:rPr>
          <w:rFonts w:ascii="Times New Roman" w:hAnsi="Times New Roman" w:cs="Times New Roman"/>
          <w:lang w:eastAsia="zh-CN"/>
        </w:rPr>
      </w:pPr>
    </w:p>
    <w:p w14:paraId="7270D38A" w14:textId="6902E566" w:rsidR="00CA21D3" w:rsidRPr="00C8624D" w:rsidRDefault="00FF7013"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 xml:space="preserve">Had the decision in </w:t>
      </w:r>
      <w:r w:rsidRPr="00C8624D">
        <w:rPr>
          <w:rFonts w:ascii="Times New Roman" w:hAnsi="Times New Roman" w:cs="Times New Roman"/>
          <w:i/>
          <w:iCs/>
          <w:lang w:eastAsia="zh-CN"/>
        </w:rPr>
        <w:t>Shanbaug</w:t>
      </w:r>
      <w:r w:rsidRPr="00C8624D">
        <w:rPr>
          <w:rFonts w:ascii="Times New Roman" w:hAnsi="Times New Roman" w:cs="Times New Roman"/>
          <w:lang w:eastAsia="zh-CN"/>
        </w:rPr>
        <w:t xml:space="preserve"> been that it was unlawful to withhold treatment because withholding treatment is euthanasia and euthanasia is illegal, a possible consequence would have been to require that people – even those capable of making decisions for themselves – be given treatment against their will; distinguishing between actions in which death is </w:t>
      </w:r>
      <w:r w:rsidRPr="00C8624D">
        <w:rPr>
          <w:rFonts w:ascii="Times New Roman" w:hAnsi="Times New Roman" w:cs="Times New Roman"/>
          <w:lang w:eastAsia="zh-CN"/>
        </w:rPr>
        <w:lastRenderedPageBreak/>
        <w:t xml:space="preserve">intended </w:t>
      </w:r>
      <w:r w:rsidR="00E71D8A" w:rsidRPr="00C8624D">
        <w:rPr>
          <w:rFonts w:ascii="Times New Roman" w:hAnsi="Times New Roman" w:cs="Times New Roman"/>
          <w:lang w:eastAsia="zh-CN"/>
        </w:rPr>
        <w:t xml:space="preserve">by medical staff </w:t>
      </w:r>
      <w:r w:rsidRPr="00C8624D">
        <w:rPr>
          <w:rFonts w:ascii="Times New Roman" w:hAnsi="Times New Roman" w:cs="Times New Roman"/>
          <w:lang w:eastAsia="zh-CN"/>
        </w:rPr>
        <w:t>and in which it is merely foreseen would have avoided that.</w:t>
      </w:r>
      <w:r w:rsidR="0028726E" w:rsidRPr="00C8624D">
        <w:rPr>
          <w:rStyle w:val="FootnoteReference"/>
          <w:rFonts w:ascii="Times New Roman" w:hAnsi="Times New Roman" w:cs="Times New Roman"/>
          <w:lang w:eastAsia="zh-CN"/>
        </w:rPr>
        <w:footnoteReference w:id="44"/>
      </w:r>
      <w:r w:rsidRPr="00C8624D">
        <w:rPr>
          <w:rFonts w:ascii="Times New Roman" w:hAnsi="Times New Roman" w:cs="Times New Roman"/>
          <w:lang w:eastAsia="zh-CN"/>
        </w:rPr>
        <w:t xml:space="preserve">  As things stand, the Indian law escapes this particular oddity.  However, the possibility that, in avoiding this particular bear-trap, Indian judges have taken a step that is very much bigger than they thought they were taking cannot be discounted.</w:t>
      </w:r>
    </w:p>
    <w:p w14:paraId="0308F231" w14:textId="77777777" w:rsidR="00FF7013" w:rsidRPr="00C8624D" w:rsidRDefault="00FF7013" w:rsidP="00E53B94">
      <w:pPr>
        <w:spacing w:line="480" w:lineRule="auto"/>
        <w:jc w:val="left"/>
        <w:rPr>
          <w:rFonts w:ascii="Times New Roman" w:hAnsi="Times New Roman" w:cs="Times New Roman"/>
          <w:lang w:eastAsia="zh-CN"/>
        </w:rPr>
      </w:pPr>
    </w:p>
    <w:p w14:paraId="06F40145" w14:textId="701FE481" w:rsidR="008A13F0" w:rsidRPr="00C8624D" w:rsidRDefault="00B83FA3" w:rsidP="00E53B94">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N</w:t>
      </w:r>
      <w:r w:rsidR="008A13F0" w:rsidRPr="00C8624D">
        <w:rPr>
          <w:rFonts w:ascii="Times New Roman" w:hAnsi="Times New Roman" w:cs="Times New Roman"/>
          <w:lang w:eastAsia="zh-CN"/>
        </w:rPr>
        <w:t xml:space="preserve">either </w:t>
      </w:r>
      <w:r w:rsidR="008A13F0" w:rsidRPr="00C8624D">
        <w:rPr>
          <w:rFonts w:ascii="Times New Roman" w:hAnsi="Times New Roman" w:cs="Times New Roman"/>
          <w:i/>
          <w:iCs/>
          <w:lang w:eastAsia="zh-CN"/>
        </w:rPr>
        <w:t>Shanbaug</w:t>
      </w:r>
      <w:r w:rsidR="008A13F0" w:rsidRPr="00C8624D">
        <w:rPr>
          <w:rFonts w:ascii="Times New Roman" w:hAnsi="Times New Roman" w:cs="Times New Roman"/>
          <w:lang w:eastAsia="zh-CN"/>
        </w:rPr>
        <w:t xml:space="preserve"> nor </w:t>
      </w:r>
      <w:r w:rsidR="008A13F0" w:rsidRPr="00C8624D">
        <w:rPr>
          <w:rFonts w:ascii="Times New Roman" w:hAnsi="Times New Roman" w:cs="Times New Roman"/>
          <w:i/>
          <w:iCs/>
          <w:lang w:eastAsia="zh-CN"/>
        </w:rPr>
        <w:t>Common Cause</w:t>
      </w:r>
      <w:r w:rsidR="008A13F0" w:rsidRPr="00C8624D">
        <w:rPr>
          <w:rFonts w:ascii="Times New Roman" w:hAnsi="Times New Roman" w:cs="Times New Roman"/>
          <w:lang w:eastAsia="zh-CN"/>
        </w:rPr>
        <w:t xml:space="preserve"> was a case </w:t>
      </w:r>
      <w:r w:rsidR="00053A05" w:rsidRPr="00C8624D">
        <w:rPr>
          <w:rFonts w:ascii="Times New Roman" w:hAnsi="Times New Roman" w:cs="Times New Roman"/>
          <w:lang w:eastAsia="zh-CN"/>
        </w:rPr>
        <w:t>that sought to establish that medical staff may set out to end life.  Neither did the Bill proposed at the end of the report of the Law Commission deal with that possibility: it was concerned with a patient’s right to refuse treatment.</w:t>
      </w:r>
      <w:r w:rsidR="00053A05" w:rsidRPr="00C8624D">
        <w:rPr>
          <w:rStyle w:val="FootnoteReference"/>
          <w:rFonts w:ascii="Times New Roman" w:hAnsi="Times New Roman" w:cs="Times New Roman"/>
          <w:lang w:eastAsia="zh-CN"/>
        </w:rPr>
        <w:footnoteReference w:id="45"/>
      </w:r>
      <w:r w:rsidR="00E35C73" w:rsidRPr="00C8624D">
        <w:rPr>
          <w:rFonts w:ascii="Times New Roman" w:hAnsi="Times New Roman" w:cs="Times New Roman"/>
          <w:lang w:eastAsia="zh-CN"/>
        </w:rPr>
        <w:t xml:space="preserve">  We may assume, then, that the judges who ruled in the cases, and the Commissioners, intended their comments and proposals to refer solely to those patients from whom it was proposed to withhold life-sustaining treatment.</w:t>
      </w:r>
      <w:r w:rsidR="00780385" w:rsidRPr="00C8624D">
        <w:rPr>
          <w:rFonts w:ascii="Times New Roman" w:hAnsi="Times New Roman" w:cs="Times New Roman"/>
          <w:lang w:eastAsia="zh-CN"/>
        </w:rPr>
        <w:t xml:space="preserve">  And yet by defining this as “passive euthanasia”, and by failing to differentiate between the intentional and merely foreseen ending of a life, the door was</w:t>
      </w:r>
      <w:r w:rsidR="00EE3CC7">
        <w:rPr>
          <w:rFonts w:ascii="Times New Roman" w:hAnsi="Times New Roman" w:cs="Times New Roman"/>
          <w:lang w:eastAsia="zh-CN"/>
        </w:rPr>
        <w:t>,</w:t>
      </w:r>
      <w:r w:rsidR="00670447" w:rsidRPr="00C8624D">
        <w:rPr>
          <w:rFonts w:ascii="Times New Roman" w:hAnsi="Times New Roman" w:cs="Times New Roman"/>
          <w:lang w:eastAsia="zh-CN"/>
        </w:rPr>
        <w:t xml:space="preserve"> apparently unwittingly</w:t>
      </w:r>
      <w:r w:rsidR="00EE3CC7">
        <w:rPr>
          <w:rFonts w:ascii="Times New Roman" w:hAnsi="Times New Roman" w:cs="Times New Roman"/>
          <w:lang w:eastAsia="zh-CN"/>
        </w:rPr>
        <w:t>,</w:t>
      </w:r>
      <w:r w:rsidR="00780385" w:rsidRPr="00C8624D">
        <w:rPr>
          <w:rFonts w:ascii="Times New Roman" w:hAnsi="Times New Roman" w:cs="Times New Roman"/>
          <w:lang w:eastAsia="zh-CN"/>
        </w:rPr>
        <w:t xml:space="preserve"> left open to their recommendations being taken as giving the green light to at least some instances of </w:t>
      </w:r>
      <w:r w:rsidR="00EE381E">
        <w:rPr>
          <w:rFonts w:ascii="Times New Roman" w:hAnsi="Times New Roman" w:cs="Times New Roman"/>
          <w:lang w:eastAsia="zh-CN"/>
        </w:rPr>
        <w:t xml:space="preserve">one person’s </w:t>
      </w:r>
      <w:r w:rsidR="00780385" w:rsidRPr="00C8624D">
        <w:rPr>
          <w:rFonts w:ascii="Times New Roman" w:hAnsi="Times New Roman" w:cs="Times New Roman"/>
          <w:lang w:eastAsia="zh-CN"/>
        </w:rPr>
        <w:t>deliberate</w:t>
      </w:r>
      <w:r w:rsidR="00EE381E">
        <w:rPr>
          <w:rFonts w:ascii="Times New Roman" w:hAnsi="Times New Roman" w:cs="Times New Roman"/>
          <w:lang w:eastAsia="zh-CN"/>
        </w:rPr>
        <w:t>ly</w:t>
      </w:r>
      <w:r w:rsidR="00780385" w:rsidRPr="00C8624D">
        <w:rPr>
          <w:rFonts w:ascii="Times New Roman" w:hAnsi="Times New Roman" w:cs="Times New Roman"/>
          <w:lang w:eastAsia="zh-CN"/>
        </w:rPr>
        <w:t xml:space="preserve"> </w:t>
      </w:r>
      <w:r w:rsidR="0063458A" w:rsidRPr="00C8624D">
        <w:rPr>
          <w:rFonts w:ascii="Times New Roman" w:hAnsi="Times New Roman" w:cs="Times New Roman"/>
          <w:lang w:eastAsia="zh-CN"/>
        </w:rPr>
        <w:t xml:space="preserve">ending </w:t>
      </w:r>
      <w:r w:rsidRPr="00C8624D">
        <w:rPr>
          <w:rFonts w:ascii="Times New Roman" w:hAnsi="Times New Roman" w:cs="Times New Roman"/>
          <w:lang w:eastAsia="zh-CN"/>
        </w:rPr>
        <w:t>another</w:t>
      </w:r>
      <w:r w:rsidR="00EE381E">
        <w:rPr>
          <w:rFonts w:ascii="Times New Roman" w:hAnsi="Times New Roman" w:cs="Times New Roman"/>
          <w:lang w:eastAsia="zh-CN"/>
        </w:rPr>
        <w:t>’s life</w:t>
      </w:r>
      <w:r w:rsidRPr="00C8624D">
        <w:rPr>
          <w:rFonts w:ascii="Times New Roman" w:hAnsi="Times New Roman" w:cs="Times New Roman"/>
          <w:lang w:eastAsia="zh-CN"/>
        </w:rPr>
        <w:t>, potentially without the knowledge or consent of the person whose life is to be ended</w:t>
      </w:r>
      <w:r w:rsidR="0063458A" w:rsidRPr="00C8624D">
        <w:rPr>
          <w:rFonts w:ascii="Times New Roman" w:hAnsi="Times New Roman" w:cs="Times New Roman"/>
          <w:lang w:eastAsia="zh-CN"/>
        </w:rPr>
        <w:t>.</w:t>
      </w:r>
      <w:r w:rsidRPr="00C8624D">
        <w:rPr>
          <w:rFonts w:ascii="Times New Roman" w:hAnsi="Times New Roman" w:cs="Times New Roman"/>
          <w:lang w:eastAsia="zh-CN"/>
        </w:rPr>
        <w:t xml:space="preserve">  A more precise definition of “passive euthanasia” </w:t>
      </w:r>
      <w:r w:rsidR="00972EE3" w:rsidRPr="00C8624D">
        <w:rPr>
          <w:rFonts w:ascii="Times New Roman" w:hAnsi="Times New Roman" w:cs="Times New Roman"/>
          <w:lang w:eastAsia="zh-CN"/>
        </w:rPr>
        <w:t xml:space="preserve">that cleaved closely to Definition 3 </w:t>
      </w:r>
      <w:r w:rsidRPr="00C8624D">
        <w:rPr>
          <w:rFonts w:ascii="Times New Roman" w:hAnsi="Times New Roman" w:cs="Times New Roman"/>
          <w:lang w:eastAsia="zh-CN"/>
        </w:rPr>
        <w:t>would have helped avoid this.</w:t>
      </w:r>
    </w:p>
    <w:p w14:paraId="15A2BC75" w14:textId="77777777" w:rsidR="00B83FA3" w:rsidRPr="00C8624D" w:rsidRDefault="00B83FA3" w:rsidP="00E53B94">
      <w:pPr>
        <w:spacing w:line="480" w:lineRule="auto"/>
        <w:jc w:val="left"/>
        <w:rPr>
          <w:rFonts w:ascii="Times New Roman" w:hAnsi="Times New Roman" w:cs="Times New Roman"/>
          <w:lang w:eastAsia="zh-CN"/>
        </w:rPr>
      </w:pPr>
    </w:p>
    <w:p w14:paraId="1F248E80" w14:textId="00641210" w:rsidR="00B83FA3" w:rsidRPr="00C8624D" w:rsidRDefault="00B83FA3" w:rsidP="00290520">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Or maybe</w:t>
      </w:r>
      <w:r w:rsidR="00670447" w:rsidRPr="00C8624D">
        <w:rPr>
          <w:rFonts w:ascii="Times New Roman" w:hAnsi="Times New Roman" w:cs="Times New Roman"/>
          <w:lang w:eastAsia="zh-CN"/>
        </w:rPr>
        <w:t xml:space="preserve"> the door was not </w:t>
      </w:r>
      <w:r w:rsidR="00670447" w:rsidRPr="00C8624D">
        <w:rPr>
          <w:rFonts w:ascii="Times New Roman" w:hAnsi="Times New Roman" w:cs="Times New Roman"/>
          <w:i/>
          <w:iCs/>
          <w:lang w:eastAsia="zh-CN"/>
        </w:rPr>
        <w:t>un</w:t>
      </w:r>
      <w:r w:rsidR="00670447" w:rsidRPr="00C8624D">
        <w:rPr>
          <w:rFonts w:ascii="Times New Roman" w:hAnsi="Times New Roman" w:cs="Times New Roman"/>
          <w:lang w:eastAsia="zh-CN"/>
        </w:rPr>
        <w:t>wittingly left open.  It is possible that</w:t>
      </w:r>
      <w:r w:rsidRPr="00C8624D">
        <w:rPr>
          <w:rFonts w:ascii="Times New Roman" w:hAnsi="Times New Roman" w:cs="Times New Roman"/>
          <w:lang w:eastAsia="zh-CN"/>
        </w:rPr>
        <w:t xml:space="preserve"> the judges and the Commissioners intended their judgments and proposals to be radical</w:t>
      </w:r>
      <w:r w:rsidR="00673039" w:rsidRPr="00C8624D">
        <w:rPr>
          <w:rFonts w:ascii="Times New Roman" w:hAnsi="Times New Roman" w:cs="Times New Roman"/>
          <w:lang w:eastAsia="zh-CN"/>
        </w:rPr>
        <w:t xml:space="preserve"> </w:t>
      </w:r>
      <w:r w:rsidR="000415B5" w:rsidRPr="00C8624D">
        <w:rPr>
          <w:rFonts w:ascii="Times New Roman" w:hAnsi="Times New Roman" w:cs="Times New Roman"/>
          <w:lang w:eastAsia="zh-CN"/>
        </w:rPr>
        <w:t xml:space="preserve">– more radical than the laws in other nations from which they went through the motions of taking their lead </w:t>
      </w:r>
      <w:r w:rsidR="00673039" w:rsidRPr="00C8624D">
        <w:rPr>
          <w:rFonts w:ascii="Times New Roman" w:hAnsi="Times New Roman" w:cs="Times New Roman"/>
          <w:lang w:eastAsia="zh-CN"/>
        </w:rPr>
        <w:t xml:space="preserve">– </w:t>
      </w:r>
      <w:r w:rsidR="00840917" w:rsidRPr="00C8624D">
        <w:rPr>
          <w:rFonts w:ascii="Times New Roman" w:hAnsi="Times New Roman" w:cs="Times New Roman"/>
          <w:lang w:eastAsia="zh-CN"/>
        </w:rPr>
        <w:t xml:space="preserve">and </w:t>
      </w:r>
      <w:r w:rsidR="00673039" w:rsidRPr="00C8624D">
        <w:rPr>
          <w:rFonts w:ascii="Times New Roman" w:hAnsi="Times New Roman" w:cs="Times New Roman"/>
          <w:lang w:eastAsia="zh-CN"/>
        </w:rPr>
        <w:t xml:space="preserve">that they were strategic in leaving the definition of “passive euthanasia” unclear, in order to </w:t>
      </w:r>
      <w:r w:rsidR="005E779D" w:rsidRPr="00C8624D">
        <w:rPr>
          <w:rFonts w:ascii="Times New Roman" w:hAnsi="Times New Roman" w:cs="Times New Roman"/>
          <w:lang w:eastAsia="zh-CN"/>
        </w:rPr>
        <w:t xml:space="preserve">leave the door to at least some </w:t>
      </w:r>
      <w:r w:rsidR="00673039" w:rsidRPr="00C8624D">
        <w:rPr>
          <w:rFonts w:ascii="Times New Roman" w:hAnsi="Times New Roman" w:cs="Times New Roman"/>
          <w:lang w:eastAsia="zh-CN"/>
        </w:rPr>
        <w:t>deliberate killing</w:t>
      </w:r>
      <w:r w:rsidR="00793506" w:rsidRPr="00C8624D">
        <w:rPr>
          <w:rFonts w:ascii="Times New Roman" w:hAnsi="Times New Roman" w:cs="Times New Roman"/>
          <w:lang w:eastAsia="zh-CN"/>
        </w:rPr>
        <w:t xml:space="preserve"> open</w:t>
      </w:r>
      <w:r w:rsidRPr="00C8624D">
        <w:rPr>
          <w:rFonts w:ascii="Times New Roman" w:hAnsi="Times New Roman" w:cs="Times New Roman"/>
          <w:lang w:eastAsia="zh-CN"/>
        </w:rPr>
        <w:t>.  But in that case, the difficulty would seem to be one of reconciling their positions with the Cons</w:t>
      </w:r>
      <w:r w:rsidR="00DE732C" w:rsidRPr="00C8624D">
        <w:rPr>
          <w:rFonts w:ascii="Times New Roman" w:hAnsi="Times New Roman" w:cs="Times New Roman"/>
          <w:lang w:eastAsia="zh-CN"/>
        </w:rPr>
        <w:t>t</w:t>
      </w:r>
      <w:r w:rsidRPr="00C8624D">
        <w:rPr>
          <w:rFonts w:ascii="Times New Roman" w:hAnsi="Times New Roman" w:cs="Times New Roman"/>
          <w:lang w:eastAsia="zh-CN"/>
        </w:rPr>
        <w:t xml:space="preserve">itution.  Recall that a right to life might mean </w:t>
      </w:r>
      <w:r w:rsidR="00DE732C" w:rsidRPr="00C8624D">
        <w:rPr>
          <w:rFonts w:ascii="Times New Roman" w:hAnsi="Times New Roman" w:cs="Times New Roman"/>
          <w:lang w:eastAsia="zh-CN"/>
        </w:rPr>
        <w:t xml:space="preserve">– on a hard reading – </w:t>
      </w:r>
      <w:r w:rsidRPr="00C8624D">
        <w:rPr>
          <w:rFonts w:ascii="Times New Roman" w:hAnsi="Times New Roman" w:cs="Times New Roman"/>
          <w:lang w:eastAsia="zh-CN"/>
        </w:rPr>
        <w:t xml:space="preserve">that agents have a positive duty to </w:t>
      </w:r>
      <w:r w:rsidR="00062D0D" w:rsidRPr="00C8624D">
        <w:rPr>
          <w:rFonts w:ascii="Times New Roman" w:hAnsi="Times New Roman" w:cs="Times New Roman"/>
          <w:lang w:eastAsia="zh-CN"/>
        </w:rPr>
        <w:t xml:space="preserve">preserve life at all costs; or it may mean </w:t>
      </w:r>
      <w:r w:rsidR="00DE732C" w:rsidRPr="00C8624D">
        <w:rPr>
          <w:rFonts w:ascii="Times New Roman" w:hAnsi="Times New Roman" w:cs="Times New Roman"/>
          <w:lang w:eastAsia="zh-CN"/>
        </w:rPr>
        <w:t xml:space="preserve">– on </w:t>
      </w:r>
      <w:r w:rsidR="00793506" w:rsidRPr="00C8624D">
        <w:rPr>
          <w:rFonts w:ascii="Times New Roman" w:hAnsi="Times New Roman" w:cs="Times New Roman"/>
          <w:lang w:eastAsia="zh-CN"/>
        </w:rPr>
        <w:t>a much softer</w:t>
      </w:r>
      <w:r w:rsidR="00DE732C" w:rsidRPr="00C8624D">
        <w:rPr>
          <w:rFonts w:ascii="Times New Roman" w:hAnsi="Times New Roman" w:cs="Times New Roman"/>
          <w:lang w:eastAsia="zh-CN"/>
        </w:rPr>
        <w:t xml:space="preserve"> reading – </w:t>
      </w:r>
      <w:r w:rsidR="00062D0D" w:rsidRPr="00C8624D">
        <w:rPr>
          <w:rFonts w:ascii="Times New Roman" w:hAnsi="Times New Roman" w:cs="Times New Roman"/>
          <w:lang w:eastAsia="zh-CN"/>
        </w:rPr>
        <w:t xml:space="preserve">simply that </w:t>
      </w:r>
      <w:r w:rsidR="00E62782" w:rsidRPr="00C8624D">
        <w:rPr>
          <w:rFonts w:ascii="Times New Roman" w:hAnsi="Times New Roman" w:cs="Times New Roman"/>
          <w:lang w:eastAsia="zh-CN"/>
        </w:rPr>
        <w:t>there is a duty not to kill</w:t>
      </w:r>
      <w:r w:rsidR="00DE732C" w:rsidRPr="00C8624D">
        <w:rPr>
          <w:rFonts w:ascii="Times New Roman" w:hAnsi="Times New Roman" w:cs="Times New Roman"/>
          <w:lang w:eastAsia="zh-CN"/>
        </w:rPr>
        <w:t>.  This duty not to kill would be</w:t>
      </w:r>
      <w:r w:rsidR="00E62782" w:rsidRPr="00C8624D">
        <w:rPr>
          <w:rFonts w:ascii="Times New Roman" w:hAnsi="Times New Roman" w:cs="Times New Roman"/>
          <w:lang w:eastAsia="zh-CN"/>
        </w:rPr>
        <w:t xml:space="preserve"> compatible with deciding that life-sustaining treatment is </w:t>
      </w:r>
      <w:r w:rsidR="00F504E0" w:rsidRPr="00C8624D">
        <w:rPr>
          <w:rFonts w:ascii="Times New Roman" w:hAnsi="Times New Roman" w:cs="Times New Roman"/>
          <w:lang w:eastAsia="zh-CN"/>
        </w:rPr>
        <w:t xml:space="preserve">not, or is </w:t>
      </w:r>
      <w:r w:rsidR="00E62782" w:rsidRPr="00C8624D">
        <w:rPr>
          <w:rFonts w:ascii="Times New Roman" w:hAnsi="Times New Roman" w:cs="Times New Roman"/>
          <w:lang w:eastAsia="zh-CN"/>
        </w:rPr>
        <w:t>no longer</w:t>
      </w:r>
      <w:r w:rsidR="00F504E0" w:rsidRPr="00C8624D">
        <w:rPr>
          <w:rFonts w:ascii="Times New Roman" w:hAnsi="Times New Roman" w:cs="Times New Roman"/>
          <w:lang w:eastAsia="zh-CN"/>
        </w:rPr>
        <w:t>,</w:t>
      </w:r>
      <w:r w:rsidR="00E62782" w:rsidRPr="00C8624D">
        <w:rPr>
          <w:rFonts w:ascii="Times New Roman" w:hAnsi="Times New Roman" w:cs="Times New Roman"/>
          <w:lang w:eastAsia="zh-CN"/>
        </w:rPr>
        <w:t xml:space="preserve"> worthwhile</w:t>
      </w:r>
      <w:r w:rsidR="00F504E0" w:rsidRPr="00C8624D">
        <w:rPr>
          <w:rFonts w:ascii="Times New Roman" w:hAnsi="Times New Roman" w:cs="Times New Roman"/>
          <w:lang w:eastAsia="zh-CN"/>
        </w:rPr>
        <w:t xml:space="preserve">, or with accepting a patient’s refusal.  I take it that </w:t>
      </w:r>
      <w:r w:rsidR="0019049D" w:rsidRPr="00C8624D">
        <w:rPr>
          <w:rFonts w:ascii="Times New Roman" w:hAnsi="Times New Roman" w:cs="Times New Roman"/>
          <w:lang w:eastAsia="zh-CN"/>
        </w:rPr>
        <w:t xml:space="preserve">harder readings are </w:t>
      </w:r>
      <w:r w:rsidR="00F504E0" w:rsidRPr="00C8624D">
        <w:rPr>
          <w:rFonts w:ascii="Times New Roman" w:hAnsi="Times New Roman" w:cs="Times New Roman"/>
          <w:lang w:eastAsia="zh-CN"/>
        </w:rPr>
        <w:t xml:space="preserve">much less plausible than </w:t>
      </w:r>
      <w:r w:rsidR="0019049D" w:rsidRPr="00C8624D">
        <w:rPr>
          <w:rFonts w:ascii="Times New Roman" w:hAnsi="Times New Roman" w:cs="Times New Roman"/>
          <w:lang w:eastAsia="zh-CN"/>
        </w:rPr>
        <w:t>softer ones</w:t>
      </w:r>
      <w:r w:rsidR="00F504E0" w:rsidRPr="00C8624D">
        <w:rPr>
          <w:rFonts w:ascii="Times New Roman" w:hAnsi="Times New Roman" w:cs="Times New Roman"/>
          <w:lang w:eastAsia="zh-CN"/>
        </w:rPr>
        <w:t>.</w:t>
      </w:r>
      <w:r w:rsidR="00862B6E" w:rsidRPr="00C8624D">
        <w:rPr>
          <w:rFonts w:ascii="Times New Roman" w:hAnsi="Times New Roman" w:cs="Times New Roman"/>
          <w:lang w:eastAsia="zh-CN"/>
        </w:rPr>
        <w:t xml:space="preserve">  But</w:t>
      </w:r>
      <w:r w:rsidR="00290520" w:rsidRPr="00C8624D">
        <w:rPr>
          <w:rFonts w:ascii="Times New Roman" w:hAnsi="Times New Roman" w:cs="Times New Roman"/>
          <w:lang w:eastAsia="zh-CN"/>
        </w:rPr>
        <w:t xml:space="preserve"> it is possible that there was a real unclarity in the Constitution that the Bench sought to clarify.  Either way, though,</w:t>
      </w:r>
      <w:r w:rsidR="00862B6E" w:rsidRPr="00C8624D">
        <w:rPr>
          <w:rFonts w:ascii="Times New Roman" w:hAnsi="Times New Roman" w:cs="Times New Roman"/>
          <w:lang w:eastAsia="zh-CN"/>
        </w:rPr>
        <w:t xml:space="preserve"> declaring passive euthanasia to be lawful without </w:t>
      </w:r>
      <w:r w:rsidR="00F754FC" w:rsidRPr="00C8624D">
        <w:rPr>
          <w:rFonts w:ascii="Times New Roman" w:hAnsi="Times New Roman" w:cs="Times New Roman"/>
          <w:lang w:eastAsia="zh-CN"/>
        </w:rPr>
        <w:t xml:space="preserve">ruling out intentionally ending someone’s life goes way beyond </w:t>
      </w:r>
      <w:r w:rsidR="00DE732C" w:rsidRPr="00C8624D">
        <w:rPr>
          <w:rFonts w:ascii="Times New Roman" w:hAnsi="Times New Roman" w:cs="Times New Roman"/>
          <w:lang w:eastAsia="zh-CN"/>
        </w:rPr>
        <w:t xml:space="preserve">what would be permitted </w:t>
      </w:r>
      <w:r w:rsidR="0019049D" w:rsidRPr="00C8624D">
        <w:rPr>
          <w:rFonts w:ascii="Times New Roman" w:hAnsi="Times New Roman" w:cs="Times New Roman"/>
          <w:lang w:eastAsia="zh-CN"/>
        </w:rPr>
        <w:t xml:space="preserve">even </w:t>
      </w:r>
      <w:r w:rsidR="00DE732C" w:rsidRPr="00C8624D">
        <w:rPr>
          <w:rFonts w:ascii="Times New Roman" w:hAnsi="Times New Roman" w:cs="Times New Roman"/>
          <w:lang w:eastAsia="zh-CN"/>
        </w:rPr>
        <w:t>under the softer reading</w:t>
      </w:r>
      <w:r w:rsidR="00F754FC" w:rsidRPr="00C8624D">
        <w:rPr>
          <w:rFonts w:ascii="Times New Roman" w:hAnsi="Times New Roman" w:cs="Times New Roman"/>
          <w:lang w:eastAsia="zh-CN"/>
        </w:rPr>
        <w:t>, and so – plaus</w:t>
      </w:r>
      <w:r w:rsidR="00DE732C" w:rsidRPr="00C8624D">
        <w:rPr>
          <w:rFonts w:ascii="Times New Roman" w:hAnsi="Times New Roman" w:cs="Times New Roman"/>
          <w:lang w:eastAsia="zh-CN"/>
        </w:rPr>
        <w:t>ibly – way beyond what the Cons</w:t>
      </w:r>
      <w:r w:rsidR="00F754FC" w:rsidRPr="00C8624D">
        <w:rPr>
          <w:rFonts w:ascii="Times New Roman" w:hAnsi="Times New Roman" w:cs="Times New Roman"/>
          <w:lang w:eastAsia="zh-CN"/>
        </w:rPr>
        <w:t>t</w:t>
      </w:r>
      <w:r w:rsidR="00DE732C" w:rsidRPr="00C8624D">
        <w:rPr>
          <w:rFonts w:ascii="Times New Roman" w:hAnsi="Times New Roman" w:cs="Times New Roman"/>
          <w:lang w:eastAsia="zh-CN"/>
        </w:rPr>
        <w:t>it</w:t>
      </w:r>
      <w:r w:rsidR="00F754FC" w:rsidRPr="00C8624D">
        <w:rPr>
          <w:rFonts w:ascii="Times New Roman" w:hAnsi="Times New Roman" w:cs="Times New Roman"/>
          <w:lang w:eastAsia="zh-CN"/>
        </w:rPr>
        <w:t>ution allows</w:t>
      </w:r>
      <w:r w:rsidR="00290520" w:rsidRPr="00C8624D">
        <w:rPr>
          <w:rFonts w:ascii="Times New Roman" w:hAnsi="Times New Roman" w:cs="Times New Roman"/>
          <w:lang w:eastAsia="zh-CN"/>
        </w:rPr>
        <w:t>,</w:t>
      </w:r>
      <w:r w:rsidR="00F754FC" w:rsidRPr="00C8624D">
        <w:rPr>
          <w:rFonts w:ascii="Times New Roman" w:hAnsi="Times New Roman" w:cs="Times New Roman"/>
          <w:lang w:eastAsia="zh-CN"/>
        </w:rPr>
        <w:t xml:space="preserve"> or what its drafters envisaged.</w:t>
      </w:r>
    </w:p>
    <w:p w14:paraId="13992352" w14:textId="77777777" w:rsidR="00F754FC" w:rsidRPr="00C8624D" w:rsidRDefault="00F754FC" w:rsidP="00E53B94">
      <w:pPr>
        <w:spacing w:line="480" w:lineRule="auto"/>
        <w:jc w:val="left"/>
        <w:rPr>
          <w:rFonts w:ascii="Times New Roman" w:hAnsi="Times New Roman" w:cs="Times New Roman"/>
          <w:lang w:eastAsia="zh-CN"/>
        </w:rPr>
      </w:pPr>
    </w:p>
    <w:p w14:paraId="74ECBA1B" w14:textId="0193D148" w:rsidR="00F754FC" w:rsidRPr="00C8624D" w:rsidRDefault="00F754FC" w:rsidP="00290520">
      <w:pPr>
        <w:spacing w:line="240" w:lineRule="auto"/>
        <w:jc w:val="left"/>
        <w:rPr>
          <w:rFonts w:ascii="Times New Roman" w:hAnsi="Times New Roman" w:cs="Times New Roman"/>
          <w:lang w:eastAsia="zh-CN"/>
        </w:rPr>
      </w:pPr>
      <w:r w:rsidRPr="00C8624D">
        <w:rPr>
          <w:rFonts w:ascii="Times New Roman" w:hAnsi="Times New Roman" w:cs="Times New Roman"/>
          <w:lang w:eastAsia="zh-CN"/>
        </w:rPr>
        <w:t>Naturally, national constitutions can and do change</w:t>
      </w:r>
      <w:r w:rsidR="000F2579">
        <w:rPr>
          <w:rFonts w:ascii="Times New Roman" w:hAnsi="Times New Roman" w:cs="Times New Roman"/>
          <w:lang w:eastAsia="zh-CN"/>
        </w:rPr>
        <w:t>, and sometimes they should</w:t>
      </w:r>
      <w:r w:rsidRPr="00C8624D">
        <w:rPr>
          <w:rFonts w:ascii="Times New Roman" w:hAnsi="Times New Roman" w:cs="Times New Roman"/>
          <w:lang w:eastAsia="zh-CN"/>
        </w:rPr>
        <w:t>.  Maybe India should change its Constitution in this respect; maybe not</w:t>
      </w:r>
      <w:r w:rsidR="0019049D" w:rsidRPr="00C8624D">
        <w:rPr>
          <w:rFonts w:ascii="Times New Roman" w:hAnsi="Times New Roman" w:cs="Times New Roman"/>
          <w:lang w:eastAsia="zh-CN"/>
        </w:rPr>
        <w:t>.  I am not trying to enter into that particular battle here</w:t>
      </w:r>
      <w:r w:rsidRPr="00C8624D">
        <w:rPr>
          <w:rFonts w:ascii="Times New Roman" w:hAnsi="Times New Roman" w:cs="Times New Roman"/>
          <w:lang w:eastAsia="zh-CN"/>
        </w:rPr>
        <w:t>.  But</w:t>
      </w:r>
      <w:r w:rsidR="0019049D" w:rsidRPr="00C8624D">
        <w:rPr>
          <w:rFonts w:ascii="Times New Roman" w:hAnsi="Times New Roman" w:cs="Times New Roman"/>
          <w:lang w:eastAsia="zh-CN"/>
        </w:rPr>
        <w:t xml:space="preserve"> suppose that there is a case to be made for changing the Constitution to make explicit provision for ending someone’s life: in that case,</w:t>
      </w:r>
      <w:r w:rsidRPr="00C8624D">
        <w:rPr>
          <w:rFonts w:ascii="Times New Roman" w:hAnsi="Times New Roman" w:cs="Times New Roman"/>
          <w:lang w:eastAsia="zh-CN"/>
        </w:rPr>
        <w:t xml:space="preserve"> there are procedures </w:t>
      </w:r>
      <w:r w:rsidR="00542E36" w:rsidRPr="00C8624D">
        <w:rPr>
          <w:rFonts w:ascii="Times New Roman" w:hAnsi="Times New Roman" w:cs="Times New Roman"/>
          <w:lang w:eastAsia="zh-CN"/>
        </w:rPr>
        <w:t xml:space="preserve">set out under Part XX </w:t>
      </w:r>
      <w:r w:rsidRPr="00C8624D">
        <w:rPr>
          <w:rFonts w:ascii="Times New Roman" w:hAnsi="Times New Roman" w:cs="Times New Roman"/>
          <w:lang w:eastAsia="zh-CN"/>
        </w:rPr>
        <w:t xml:space="preserve">by which this may be done.  One of the difficulties with the </w:t>
      </w:r>
      <w:r w:rsidRPr="00C8624D">
        <w:rPr>
          <w:rFonts w:ascii="Times New Roman" w:hAnsi="Times New Roman" w:cs="Times New Roman"/>
          <w:i/>
          <w:iCs/>
          <w:lang w:eastAsia="zh-CN"/>
        </w:rPr>
        <w:t>Shanbaug</w:t>
      </w:r>
      <w:r w:rsidRPr="00C8624D">
        <w:rPr>
          <w:rFonts w:ascii="Times New Roman" w:hAnsi="Times New Roman" w:cs="Times New Roman"/>
          <w:lang w:eastAsia="zh-CN"/>
        </w:rPr>
        <w:t xml:space="preserve"> case</w:t>
      </w:r>
      <w:r w:rsidR="00290520" w:rsidRPr="00C8624D">
        <w:rPr>
          <w:rFonts w:ascii="Times New Roman" w:hAnsi="Times New Roman" w:cs="Times New Roman"/>
          <w:lang w:eastAsia="zh-CN"/>
        </w:rPr>
        <w:t xml:space="preserve"> and the subsequent jurisprudence</w:t>
      </w:r>
      <w:r w:rsidRPr="00C8624D">
        <w:rPr>
          <w:rFonts w:ascii="Times New Roman" w:hAnsi="Times New Roman" w:cs="Times New Roman"/>
          <w:lang w:eastAsia="zh-CN"/>
        </w:rPr>
        <w:t xml:space="preserve"> is that </w:t>
      </w:r>
      <w:r w:rsidR="00290520" w:rsidRPr="00C8624D">
        <w:rPr>
          <w:rFonts w:ascii="Times New Roman" w:hAnsi="Times New Roman" w:cs="Times New Roman"/>
          <w:lang w:eastAsia="zh-CN"/>
        </w:rPr>
        <w:t>they risk</w:t>
      </w:r>
      <w:r w:rsidRPr="00C8624D">
        <w:rPr>
          <w:rFonts w:ascii="Times New Roman" w:hAnsi="Times New Roman" w:cs="Times New Roman"/>
          <w:lang w:eastAsia="zh-CN"/>
        </w:rPr>
        <w:t xml:space="preserve"> </w:t>
      </w:r>
      <w:r w:rsidR="007E06AA" w:rsidRPr="00C8624D">
        <w:rPr>
          <w:rFonts w:ascii="Times New Roman" w:hAnsi="Times New Roman" w:cs="Times New Roman"/>
          <w:lang w:eastAsia="zh-CN"/>
        </w:rPr>
        <w:t xml:space="preserve">undermining the Constitution, or </w:t>
      </w:r>
      <w:r w:rsidRPr="00C8624D">
        <w:rPr>
          <w:rFonts w:ascii="Times New Roman" w:hAnsi="Times New Roman" w:cs="Times New Roman"/>
          <w:lang w:eastAsia="zh-CN"/>
        </w:rPr>
        <w:t xml:space="preserve">the right to life enshrined </w:t>
      </w:r>
      <w:r w:rsidR="007E06AA" w:rsidRPr="00C8624D">
        <w:rPr>
          <w:rFonts w:ascii="Times New Roman" w:hAnsi="Times New Roman" w:cs="Times New Roman"/>
          <w:lang w:eastAsia="zh-CN"/>
        </w:rPr>
        <w:t>therein</w:t>
      </w:r>
      <w:r w:rsidRPr="00C8624D">
        <w:rPr>
          <w:rFonts w:ascii="Times New Roman" w:hAnsi="Times New Roman" w:cs="Times New Roman"/>
          <w:lang w:eastAsia="zh-CN"/>
        </w:rPr>
        <w:t xml:space="preserve">, and quite possibly </w:t>
      </w:r>
      <w:r w:rsidR="007E06AA" w:rsidRPr="00C8624D">
        <w:rPr>
          <w:rFonts w:ascii="Times New Roman" w:hAnsi="Times New Roman" w:cs="Times New Roman"/>
          <w:lang w:eastAsia="zh-CN"/>
        </w:rPr>
        <w:t xml:space="preserve">doing so </w:t>
      </w:r>
      <w:r w:rsidRPr="00C8624D">
        <w:rPr>
          <w:rFonts w:ascii="Times New Roman" w:hAnsi="Times New Roman" w:cs="Times New Roman"/>
          <w:lang w:eastAsia="zh-CN"/>
        </w:rPr>
        <w:t>inadvertently, owing to a lack of care in defining “passive euthanasia”.</w:t>
      </w:r>
      <w:r w:rsidR="00FD2DC4" w:rsidRPr="00C8624D">
        <w:rPr>
          <w:rStyle w:val="FootnoteReference"/>
          <w:rFonts w:ascii="Times New Roman" w:hAnsi="Times New Roman" w:cs="Times New Roman"/>
          <w:lang w:eastAsia="zh-CN"/>
        </w:rPr>
        <w:footnoteReference w:id="46"/>
      </w:r>
    </w:p>
    <w:sectPr w:rsidR="00F754FC" w:rsidRPr="00C8624D" w:rsidSect="0035620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20A55" w14:textId="77777777" w:rsidR="00D47EE8" w:rsidRDefault="00D47EE8" w:rsidP="00D32653">
      <w:pPr>
        <w:spacing w:line="240" w:lineRule="auto"/>
      </w:pPr>
      <w:r>
        <w:separator/>
      </w:r>
    </w:p>
  </w:endnote>
  <w:endnote w:type="continuationSeparator" w:id="0">
    <w:p w14:paraId="260EFBAF" w14:textId="77777777" w:rsidR="00D47EE8" w:rsidRDefault="00D47EE8" w:rsidP="00D32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EDE31" w14:textId="77777777" w:rsidR="00D47EE8" w:rsidRDefault="00D47EE8" w:rsidP="00D32653">
      <w:pPr>
        <w:spacing w:line="240" w:lineRule="auto"/>
      </w:pPr>
      <w:r>
        <w:separator/>
      </w:r>
    </w:p>
  </w:footnote>
  <w:footnote w:type="continuationSeparator" w:id="0">
    <w:p w14:paraId="61A8A294" w14:textId="77777777" w:rsidR="00D47EE8" w:rsidRDefault="00D47EE8" w:rsidP="00D32653">
      <w:pPr>
        <w:spacing w:line="240" w:lineRule="auto"/>
      </w:pPr>
      <w:r>
        <w:continuationSeparator/>
      </w:r>
    </w:p>
  </w:footnote>
  <w:footnote w:id="1">
    <w:p w14:paraId="7C399912" w14:textId="148D78C4" w:rsidR="00167354" w:rsidRDefault="00167354" w:rsidP="006005DC">
      <w:pPr>
        <w:pStyle w:val="FootnoteText"/>
      </w:pPr>
      <w:r>
        <w:rPr>
          <w:rStyle w:val="FootnoteReference"/>
        </w:rPr>
        <w:footnoteRef/>
      </w:r>
      <w:r>
        <w:t xml:space="preserve"> See my “What Pass</w:t>
      </w:r>
      <w:r w:rsidR="006005DC">
        <w:t>ive Euthanasia Is”, forthcoming</w:t>
      </w:r>
    </w:p>
  </w:footnote>
  <w:footnote w:id="2">
    <w:p w14:paraId="37DBA2FA" w14:textId="77777777" w:rsidR="00E24699" w:rsidRDefault="00E24699" w:rsidP="00E24699">
      <w:pPr>
        <w:pStyle w:val="FootnoteText"/>
      </w:pPr>
      <w:r>
        <w:rPr>
          <w:rStyle w:val="FootnoteReference"/>
        </w:rPr>
        <w:footnoteRef/>
      </w:r>
      <w:r>
        <w:t xml:space="preserve"> Draper, H, “Euthanasia”, in </w:t>
      </w:r>
      <w:r w:rsidRPr="00005EE4">
        <w:rPr>
          <w:lang w:eastAsia="zh-CN"/>
        </w:rPr>
        <w:t xml:space="preserve">R </w:t>
      </w:r>
      <w:r w:rsidRPr="00005EE4">
        <w:rPr>
          <w:lang w:val="x-none" w:eastAsia="zh-CN"/>
        </w:rPr>
        <w:t>Chadwick (</w:t>
      </w:r>
      <w:r w:rsidRPr="00005EE4">
        <w:rPr>
          <w:lang w:eastAsia="zh-CN"/>
        </w:rPr>
        <w:t>e</w:t>
      </w:r>
      <w:r>
        <w:rPr>
          <w:lang w:val="x-none" w:eastAsia="zh-CN"/>
        </w:rPr>
        <w:t xml:space="preserve">d.), </w:t>
      </w:r>
      <w:r w:rsidRPr="00005EE4">
        <w:rPr>
          <w:i/>
          <w:iCs/>
          <w:lang w:val="x-none" w:eastAsia="zh-CN"/>
        </w:rPr>
        <w:t xml:space="preserve">Encyclopaedia of Applied Ethics Vol. </w:t>
      </w:r>
      <w:r>
        <w:rPr>
          <w:i/>
          <w:iCs/>
          <w:lang w:eastAsia="zh-CN"/>
        </w:rPr>
        <w:t>2</w:t>
      </w:r>
      <w:r w:rsidRPr="00005EE4">
        <w:rPr>
          <w:lang w:val="x-none" w:eastAsia="zh-CN"/>
        </w:rPr>
        <w:t xml:space="preserve">, (San </w:t>
      </w:r>
      <w:r>
        <w:rPr>
          <w:lang w:val="x-none" w:eastAsia="zh-CN"/>
        </w:rPr>
        <w:t>Diego: Academic Press, 1998), p</w:t>
      </w:r>
      <w:r w:rsidRPr="00005EE4">
        <w:rPr>
          <w:lang w:val="x-none" w:eastAsia="zh-CN"/>
        </w:rPr>
        <w:t xml:space="preserve"> 176</w:t>
      </w:r>
    </w:p>
  </w:footnote>
  <w:footnote w:id="3">
    <w:p w14:paraId="1EF2EF34" w14:textId="50A4A782" w:rsidR="00731EE0" w:rsidRPr="00975072" w:rsidRDefault="00731EE0" w:rsidP="00975072">
      <w:pPr>
        <w:pStyle w:val="FootnoteText"/>
      </w:pPr>
      <w:r>
        <w:rPr>
          <w:rStyle w:val="FootnoteReference"/>
        </w:rPr>
        <w:footnoteRef/>
      </w:r>
      <w:r>
        <w:t xml:space="preserve"> </w:t>
      </w:r>
      <w:r w:rsidR="00975072">
        <w:t xml:space="preserve">Shukla, R, “Passive Euthanasia in India: A Critique”, </w:t>
      </w:r>
      <w:r w:rsidR="00975072">
        <w:rPr>
          <w:i/>
          <w:iCs/>
        </w:rPr>
        <w:t>Indian Journal of Medical Ethics</w:t>
      </w:r>
      <w:r w:rsidR="00975072">
        <w:t xml:space="preserve"> 13[1](2016:</w:t>
      </w:r>
      <w:r w:rsidR="00975072">
        <w:rPr>
          <w:i/>
          <w:iCs/>
        </w:rPr>
        <w:t>passim</w:t>
      </w:r>
    </w:p>
  </w:footnote>
  <w:footnote w:id="4">
    <w:p w14:paraId="000816BC" w14:textId="77777777" w:rsidR="00E24699" w:rsidRDefault="00E24699" w:rsidP="00E24699">
      <w:pPr>
        <w:pStyle w:val="FootnoteText"/>
      </w:pPr>
      <w:r>
        <w:rPr>
          <w:rStyle w:val="FootnoteReference"/>
        </w:rPr>
        <w:footnoteRef/>
      </w:r>
      <w:r>
        <w:t xml:space="preserve"> Varelius, J, “Mental Illness, Natural Death, and Non-Voluntary Passive Euthanasia”, </w:t>
      </w:r>
      <w:r w:rsidRPr="006A251F">
        <w:rPr>
          <w:i/>
          <w:iCs/>
          <w:szCs w:val="21"/>
        </w:rPr>
        <w:t>Ethic</w:t>
      </w:r>
      <w:r>
        <w:rPr>
          <w:i/>
          <w:iCs/>
          <w:szCs w:val="21"/>
        </w:rPr>
        <w:t>al</w:t>
      </w:r>
      <w:r w:rsidRPr="006A251F">
        <w:rPr>
          <w:i/>
          <w:iCs/>
          <w:szCs w:val="21"/>
        </w:rPr>
        <w:t xml:space="preserve"> Theory </w:t>
      </w:r>
      <w:r>
        <w:rPr>
          <w:i/>
          <w:iCs/>
          <w:szCs w:val="21"/>
        </w:rPr>
        <w:t xml:space="preserve">and </w:t>
      </w:r>
      <w:r w:rsidRPr="006A251F">
        <w:rPr>
          <w:i/>
          <w:iCs/>
          <w:szCs w:val="21"/>
        </w:rPr>
        <w:t>Moral Prac</w:t>
      </w:r>
      <w:r>
        <w:rPr>
          <w:i/>
          <w:iCs/>
          <w:szCs w:val="21"/>
        </w:rPr>
        <w:t>tice</w:t>
      </w:r>
      <w:r>
        <w:rPr>
          <w:szCs w:val="21"/>
        </w:rPr>
        <w:t xml:space="preserve"> 19[3] (2016): </w:t>
      </w:r>
      <w:r>
        <w:rPr>
          <w:i/>
          <w:iCs/>
          <w:szCs w:val="21"/>
        </w:rPr>
        <w:t>passim</w:t>
      </w:r>
    </w:p>
  </w:footnote>
  <w:footnote w:id="5">
    <w:p w14:paraId="515CC977" w14:textId="77777777" w:rsidR="00E24699" w:rsidRDefault="00E24699" w:rsidP="00E24699">
      <w:pPr>
        <w:pStyle w:val="FootnoteText"/>
      </w:pPr>
      <w:r>
        <w:rPr>
          <w:rStyle w:val="FootnoteReference"/>
        </w:rPr>
        <w:footnoteRef/>
      </w:r>
      <w:r>
        <w:t xml:space="preserve"> </w:t>
      </w:r>
      <w:hyperlink r:id="rId1" w:history="1">
        <w:r w:rsidRPr="009D3A4F">
          <w:rPr>
            <w:rStyle w:val="Hyperlink"/>
            <w:rFonts w:cstheme="minorBidi"/>
            <w:u w:color="FF0000"/>
            <w:lang w:eastAsia="en-GB"/>
          </w:rPr>
          <w:t>http://www.bbc.co.uk/ethics/euthanasia/overview/activepassive_1.shtml</w:t>
        </w:r>
      </w:hyperlink>
      <w:r>
        <w:rPr>
          <w:lang w:eastAsia="en-GB"/>
        </w:rPr>
        <w:t>; accessed 13.vi.19</w:t>
      </w:r>
    </w:p>
  </w:footnote>
  <w:footnote w:id="6">
    <w:p w14:paraId="14047511" w14:textId="77777777" w:rsidR="004D01B8" w:rsidRPr="00B77B6D" w:rsidRDefault="004D01B8" w:rsidP="004D01B8">
      <w:pPr>
        <w:pStyle w:val="FootnoteText"/>
      </w:pPr>
      <w:r>
        <w:rPr>
          <w:rStyle w:val="FootnoteReference"/>
        </w:rPr>
        <w:footnoteRef/>
      </w:r>
      <w:r>
        <w:t xml:space="preserve"> “What Passive Euthanasia Is”, forthcoming</w:t>
      </w:r>
    </w:p>
  </w:footnote>
  <w:footnote w:id="7">
    <w:p w14:paraId="4844E4B1" w14:textId="77777777" w:rsidR="005D3647" w:rsidRPr="00E7314D" w:rsidRDefault="005D3647" w:rsidP="005D3647">
      <w:pPr>
        <w:pStyle w:val="FootnoteText"/>
        <w:rPr>
          <w:rStyle w:val="EndnoteTextChar"/>
          <w:rFonts w:ascii="Times" w:hAnsi="Times" w:cs="Times"/>
          <w:color w:val="000000"/>
          <w:sz w:val="24"/>
        </w:rPr>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p>
  </w:footnote>
  <w:footnote w:id="8">
    <w:p w14:paraId="3EBADD1C" w14:textId="0210BDCA" w:rsidR="00DD5AED" w:rsidRDefault="00DD5AED">
      <w:pPr>
        <w:pStyle w:val="FootnoteText"/>
      </w:pPr>
      <w:r>
        <w:rPr>
          <w:rStyle w:val="FootnoteReference"/>
        </w:rPr>
        <w:footnoteRef/>
      </w:r>
      <w:r>
        <w:t xml:space="preserve"> </w:t>
      </w:r>
      <w:r w:rsidRPr="00A82198">
        <w:rPr>
          <w:i/>
          <w:iCs/>
        </w:rPr>
        <w:t>Airedale NHS Trust v Bland</w:t>
      </w:r>
      <w:r w:rsidRPr="00A82198">
        <w:t>, [1993] 1 All ER 821</w:t>
      </w:r>
    </w:p>
  </w:footnote>
  <w:footnote w:id="9">
    <w:p w14:paraId="5CD614B5" w14:textId="3880F639" w:rsidR="00032DCA" w:rsidRDefault="00032DCA" w:rsidP="00032DCA">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3</w:t>
      </w:r>
      <w:r w:rsidR="00DC79C2">
        <w:t>.  Virani’s claim to be Aruna Shanbaug’s next friend was treated with some scepticism by the Bench.)</w:t>
      </w:r>
    </w:p>
  </w:footnote>
  <w:footnote w:id="10">
    <w:p w14:paraId="33CB40F6" w14:textId="77777777" w:rsidR="00090920" w:rsidRPr="00CC0063" w:rsidRDefault="00090920" w:rsidP="00090920">
      <w:pPr>
        <w:pStyle w:val="FootnoteText"/>
      </w:pPr>
      <w:r>
        <w:rPr>
          <w:rStyle w:val="FootnoteReference"/>
        </w:rPr>
        <w:footnoteRef/>
      </w:r>
      <w:r>
        <w:t xml:space="preserve"> The classic example here would be that of a mountaineer whose own survival depends on abandoning his fellow mountaineer to his fate: see, for example, Simpson, J, </w:t>
      </w:r>
      <w:r>
        <w:rPr>
          <w:i/>
          <w:iCs/>
        </w:rPr>
        <w:t>Touching the Void</w:t>
      </w:r>
      <w:r>
        <w:t xml:space="preserve"> (London: Vintage, 1997): </w:t>
      </w:r>
      <w:r>
        <w:rPr>
          <w:i/>
          <w:iCs/>
        </w:rPr>
        <w:t>passim</w:t>
      </w:r>
    </w:p>
  </w:footnote>
  <w:footnote w:id="11">
    <w:p w14:paraId="275DBB5B" w14:textId="77777777" w:rsidR="00BB7639" w:rsidRDefault="00BB7639" w:rsidP="00BB7639">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97</w:t>
      </w:r>
    </w:p>
  </w:footnote>
  <w:footnote w:id="12">
    <w:p w14:paraId="14F50E7E" w14:textId="666C3F1E" w:rsidR="00D33240" w:rsidRPr="008E3FB4" w:rsidRDefault="00D33240" w:rsidP="008E3FB4">
      <w:pPr>
        <w:pStyle w:val="FootnoteText"/>
      </w:pPr>
      <w:r>
        <w:rPr>
          <w:rStyle w:val="FootnoteReference"/>
        </w:rPr>
        <w:footnoteRef/>
      </w:r>
      <w:r>
        <w:t xml:space="preserve"> The </w:t>
      </w:r>
      <w:r w:rsidR="008E3FB4">
        <w:t xml:space="preserve">Mental Healthcare Act 2017 stipulates at s. 115(1) that “any person who attempts to commit suicide shall be presumed, unless proved otherwise, to have severe stress and shall not be tried and punished under the said Code”; but an agreement that a </w:t>
      </w:r>
      <w:r w:rsidR="005C3E4E">
        <w:t>person should</w:t>
      </w:r>
      <w:r w:rsidR="008E3FB4">
        <w:t xml:space="preserve"> not be prosecuted </w:t>
      </w:r>
      <w:r w:rsidR="005C3E4E">
        <w:t xml:space="preserve">under a law </w:t>
      </w:r>
      <w:r w:rsidR="008E3FB4">
        <w:t>is not q</w:t>
      </w:r>
      <w:r w:rsidR="005C3E4E">
        <w:t>uite the same as a repeal of that</w:t>
      </w:r>
      <w:r w:rsidR="008E3FB4">
        <w:t xml:space="preserve"> law.</w:t>
      </w:r>
    </w:p>
  </w:footnote>
  <w:footnote w:id="13">
    <w:p w14:paraId="1995369F" w14:textId="4F6345AB" w:rsidR="005C3E4E" w:rsidRPr="005C3E4E" w:rsidRDefault="005C3E4E">
      <w:pPr>
        <w:pStyle w:val="FootnoteText"/>
        <w:rPr>
          <w:rFonts w:cstheme="minorHAnsi"/>
        </w:rPr>
      </w:pPr>
      <w:r>
        <w:rPr>
          <w:rStyle w:val="FootnoteReference"/>
        </w:rPr>
        <w:footnoteRef/>
      </w:r>
      <w:r>
        <w:t xml:space="preserve"> </w:t>
      </w:r>
      <w:r w:rsidRPr="005C3E4E">
        <w:rPr>
          <w:rFonts w:cstheme="minorHAnsi"/>
        </w:rPr>
        <w:t>One may wonder, then, whether the law on suicide is entirely within the spirit of the Constitution – though I shall leave that question hanging here.</w:t>
      </w:r>
    </w:p>
  </w:footnote>
  <w:footnote w:id="14">
    <w:p w14:paraId="47A3C820" w14:textId="4F089BB0" w:rsidR="003C18AF" w:rsidRDefault="003C18AF" w:rsidP="003C18AF">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4</w:t>
      </w:r>
    </w:p>
  </w:footnote>
  <w:footnote w:id="15">
    <w:p w14:paraId="160642FA" w14:textId="77777777" w:rsidR="005D3647" w:rsidRPr="00961EDA" w:rsidRDefault="005D3647" w:rsidP="005D3647">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38</w:t>
      </w:r>
    </w:p>
  </w:footnote>
  <w:footnote w:id="16">
    <w:p w14:paraId="2EEAB0A3" w14:textId="77777777" w:rsidR="0000659B" w:rsidRPr="000E035E" w:rsidRDefault="0000659B" w:rsidP="0000659B">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44-45</w:t>
      </w:r>
    </w:p>
  </w:footnote>
  <w:footnote w:id="17">
    <w:p w14:paraId="6D5D7B5C" w14:textId="77777777" w:rsidR="0000659B" w:rsidRPr="002366C3" w:rsidRDefault="0000659B" w:rsidP="0000659B">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49</w:t>
      </w:r>
    </w:p>
  </w:footnote>
  <w:footnote w:id="18">
    <w:p w14:paraId="09444126" w14:textId="14B27817" w:rsidR="005D3647" w:rsidRPr="0053208A" w:rsidRDefault="005D3647" w:rsidP="005D3647">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rsidR="00DE0496">
        <w:t xml:space="preserve"> at 51</w:t>
      </w:r>
      <w:r>
        <w:t>; emphasis mine</w:t>
      </w:r>
    </w:p>
  </w:footnote>
  <w:footnote w:id="19">
    <w:p w14:paraId="3145EF27" w14:textId="77777777" w:rsidR="005D3647" w:rsidRPr="002366C3" w:rsidRDefault="005D3647" w:rsidP="005D3647">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46</w:t>
      </w:r>
    </w:p>
  </w:footnote>
  <w:footnote w:id="20">
    <w:p w14:paraId="7AE503A7" w14:textId="77777777" w:rsidR="00F24F82" w:rsidRDefault="00F24F82" w:rsidP="00F24F82">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48</w:t>
      </w:r>
    </w:p>
  </w:footnote>
  <w:footnote w:id="21">
    <w:p w14:paraId="44BBC252" w14:textId="1CE89F55" w:rsidR="003C18AF" w:rsidRDefault="003C18AF">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126</w:t>
      </w:r>
    </w:p>
  </w:footnote>
  <w:footnote w:id="22">
    <w:p w14:paraId="62F469CE" w14:textId="77777777" w:rsidR="005D3647" w:rsidRPr="00961EDA" w:rsidRDefault="005D3647" w:rsidP="005D3647">
      <w:pPr>
        <w:pStyle w:val="FootnoteText"/>
      </w:pPr>
      <w:r>
        <w:rPr>
          <w:rStyle w:val="FootnoteReference"/>
        </w:rPr>
        <w:footnoteRef/>
      </w:r>
      <w:r>
        <w:t xml:space="preserve"> </w:t>
      </w:r>
      <w:r w:rsidRPr="00810A29">
        <w:rPr>
          <w:rStyle w:val="EndnoteTextChar"/>
          <w:i/>
          <w:iCs/>
        </w:rPr>
        <w:t>Aruna Ramchandra Shanbaug v. Union of India and Others</w:t>
      </w:r>
      <w:r>
        <w:rPr>
          <w:rStyle w:val="EndnoteTextChar"/>
        </w:rPr>
        <w:t xml:space="preserve"> </w:t>
      </w:r>
      <w:r w:rsidRPr="00E7314D">
        <w:t>(2011) 4 SCC 454</w:t>
      </w:r>
      <w:r>
        <w:t>, at 39</w:t>
      </w:r>
    </w:p>
  </w:footnote>
  <w:footnote w:id="23">
    <w:p w14:paraId="448E5C2C" w14:textId="77777777" w:rsidR="006439EE" w:rsidRPr="00A21247" w:rsidRDefault="006439EE" w:rsidP="006439EE">
      <w:pPr>
        <w:pStyle w:val="FootnoteText"/>
      </w:pPr>
      <w:r>
        <w:rPr>
          <w:rStyle w:val="FootnoteReference"/>
        </w:rPr>
        <w:footnoteRef/>
      </w:r>
      <w:r>
        <w:t xml:space="preserve"> Harris, J, </w:t>
      </w:r>
      <w:r>
        <w:rPr>
          <w:i/>
          <w:iCs/>
        </w:rPr>
        <w:t>The Value of Life</w:t>
      </w:r>
      <w:r>
        <w:t xml:space="preserve"> (London: Routledge, 1985), p 39</w:t>
      </w:r>
    </w:p>
  </w:footnote>
  <w:footnote w:id="24">
    <w:p w14:paraId="2472E5C5" w14:textId="77777777" w:rsidR="006439EE" w:rsidRPr="0023262A" w:rsidRDefault="006439EE" w:rsidP="006439EE">
      <w:pPr>
        <w:pStyle w:val="FootnoteText"/>
      </w:pPr>
      <w:r>
        <w:rPr>
          <w:rStyle w:val="FootnoteReference"/>
        </w:rPr>
        <w:footnoteRef/>
      </w:r>
      <w:r>
        <w:t xml:space="preserve"> Bell, L, </w:t>
      </w:r>
      <w:r>
        <w:rPr>
          <w:i/>
          <w:iCs/>
        </w:rPr>
        <w:t>Medical Law and Ethics</w:t>
      </w:r>
      <w:r>
        <w:t xml:space="preserve"> (?: Pearson, 2012), p 204</w:t>
      </w:r>
    </w:p>
  </w:footnote>
  <w:footnote w:id="25">
    <w:p w14:paraId="66E56B9D" w14:textId="77777777" w:rsidR="006439EE" w:rsidRPr="00987603" w:rsidRDefault="006439EE" w:rsidP="006439EE">
      <w:pPr>
        <w:pStyle w:val="FootnoteText"/>
        <w:rPr>
          <w:color w:val="000000"/>
        </w:rPr>
      </w:pPr>
      <w:r>
        <w:rPr>
          <w:rStyle w:val="FootnoteReference"/>
        </w:rPr>
        <w:footnoteRef/>
      </w:r>
      <w:r>
        <w:t xml:space="preserve"> Banović, B </w:t>
      </w:r>
      <w:r>
        <w:rPr>
          <w:i/>
          <w:iCs/>
        </w:rPr>
        <w:t>et al</w:t>
      </w:r>
      <w:r>
        <w:t>, “</w:t>
      </w:r>
      <w:r w:rsidRPr="00987603">
        <w:t xml:space="preserve">An Ethical Review of Euthanasia and Physician-assisted Suicide”, </w:t>
      </w:r>
      <w:r w:rsidRPr="00987603">
        <w:rPr>
          <w:i/>
          <w:iCs/>
        </w:rPr>
        <w:t>Iranian Journal of Public Health</w:t>
      </w:r>
      <w:r w:rsidRPr="00987603">
        <w:t xml:space="preserve"> 46</w:t>
      </w:r>
      <w:r>
        <w:t>[</w:t>
      </w:r>
      <w:r w:rsidRPr="00987603">
        <w:t>2</w:t>
      </w:r>
      <w:r>
        <w:t>] (</w:t>
      </w:r>
      <w:r w:rsidRPr="00987603">
        <w:t>2017</w:t>
      </w:r>
      <w:r>
        <w:t>):</w:t>
      </w:r>
      <w:r w:rsidRPr="00987603">
        <w:t xml:space="preserve"> 173</w:t>
      </w:r>
    </w:p>
  </w:footnote>
  <w:footnote w:id="26">
    <w:p w14:paraId="0A5E56F5" w14:textId="77777777" w:rsidR="006439EE" w:rsidRPr="002136B1" w:rsidRDefault="006439EE" w:rsidP="006439EE">
      <w:pPr>
        <w:pStyle w:val="FootnoteText"/>
        <w:rPr>
          <w:rFonts w:ascii="Times New Roman" w:hAnsi="Times New Roman"/>
          <w:sz w:val="24"/>
          <w:lang w:eastAsia="en-GB"/>
        </w:rPr>
      </w:pPr>
      <w:r>
        <w:rPr>
          <w:rStyle w:val="FootnoteReference"/>
        </w:rPr>
        <w:footnoteRef/>
      </w:r>
      <w:r>
        <w:t xml:space="preserve"> Trappe, H-J, “</w:t>
      </w:r>
      <w:r w:rsidRPr="002136B1">
        <w:t xml:space="preserve">Ethik in Intensivmedizin und Sterbehilfe”, </w:t>
      </w:r>
      <w:r w:rsidRPr="002136B1">
        <w:rPr>
          <w:i/>
          <w:iCs/>
        </w:rPr>
        <w:t>Medizinische Klinik - Intensivmedizin und Notfallmedizin</w:t>
      </w:r>
      <w:r>
        <w:t xml:space="preserve"> 112[3] (2017): 216</w:t>
      </w:r>
    </w:p>
  </w:footnote>
  <w:footnote w:id="27">
    <w:p w14:paraId="603A9E36" w14:textId="77777777" w:rsidR="006439EE" w:rsidRPr="00434318" w:rsidRDefault="006439EE" w:rsidP="006439EE">
      <w:pPr>
        <w:pStyle w:val="FootnoteText"/>
        <w:rPr>
          <w:rFonts w:ascii="Times" w:hAnsi="Times" w:cs="Times"/>
          <w:color w:val="000000"/>
        </w:rPr>
      </w:pPr>
      <w:r>
        <w:rPr>
          <w:rStyle w:val="FootnoteReference"/>
        </w:rPr>
        <w:footnoteRef/>
      </w:r>
      <w:r>
        <w:t xml:space="preserve"> Khader, A &amp; Mrayyan, M, “</w:t>
      </w:r>
      <w:r w:rsidRPr="00434318">
        <w:rPr>
          <w:rStyle w:val="FootnoteTextChar"/>
        </w:rPr>
        <w:t xml:space="preserve">Euthanasia for Children with Cancer: A Policy Brief”, </w:t>
      </w:r>
      <w:r w:rsidRPr="00434318">
        <w:rPr>
          <w:rStyle w:val="FootnoteTextChar"/>
          <w:i/>
          <w:iCs/>
        </w:rPr>
        <w:t>IOSR Journal of Nursing and Health Science</w:t>
      </w:r>
      <w:r w:rsidRPr="00434318">
        <w:rPr>
          <w:rStyle w:val="FootnoteTextChar"/>
        </w:rPr>
        <w:t xml:space="preserve"> 6</w:t>
      </w:r>
      <w:r>
        <w:rPr>
          <w:rStyle w:val="FootnoteTextChar"/>
        </w:rPr>
        <w:t>[</w:t>
      </w:r>
      <w:r w:rsidRPr="00434318">
        <w:rPr>
          <w:rStyle w:val="FootnoteTextChar"/>
        </w:rPr>
        <w:t>1</w:t>
      </w:r>
      <w:r>
        <w:rPr>
          <w:rStyle w:val="FootnoteTextChar"/>
        </w:rPr>
        <w:t>] (2017)</w:t>
      </w:r>
      <w:r w:rsidRPr="00434318">
        <w:rPr>
          <w:rStyle w:val="FootnoteTextChar"/>
        </w:rPr>
        <w:t>: 111-112</w:t>
      </w:r>
    </w:p>
  </w:footnote>
  <w:footnote w:id="28">
    <w:p w14:paraId="558BFE58" w14:textId="0CF0BCC3" w:rsidR="005D3647" w:rsidRPr="00A04816" w:rsidRDefault="005D3647" w:rsidP="005D3647">
      <w:pPr>
        <w:pStyle w:val="FootnoteText"/>
      </w:pPr>
      <w:r>
        <w:rPr>
          <w:rStyle w:val="FootnoteReference"/>
        </w:rPr>
        <w:footnoteRef/>
      </w:r>
      <w:r>
        <w:t xml:space="preserve"> Law Commission of India, </w:t>
      </w:r>
      <w:r w:rsidRPr="00A04816">
        <w:rPr>
          <w:i/>
          <w:iCs/>
        </w:rPr>
        <w:t>Passive Euthanasia – A Relook</w:t>
      </w:r>
      <w:r>
        <w:rPr>
          <w:i/>
          <w:iCs/>
        </w:rPr>
        <w:t xml:space="preserve"> (Report No. 241)</w:t>
      </w:r>
      <w:r>
        <w:t>, August 2012</w:t>
      </w:r>
      <w:r w:rsidR="008602B6">
        <w:t>, at 1.2</w:t>
      </w:r>
    </w:p>
  </w:footnote>
  <w:footnote w:id="29">
    <w:p w14:paraId="76A94F21" w14:textId="77777777" w:rsidR="005D3647" w:rsidRDefault="005D3647" w:rsidP="005D3647">
      <w:pPr>
        <w:pStyle w:val="FootnoteText"/>
      </w:pPr>
      <w:r>
        <w:rPr>
          <w:rStyle w:val="FootnoteReference"/>
        </w:rPr>
        <w:footnoteRef/>
      </w:r>
      <w:r>
        <w:t xml:space="preserve"> Law Commission of India, </w:t>
      </w:r>
      <w:r w:rsidRPr="00A04816">
        <w:rPr>
          <w:i/>
          <w:iCs/>
        </w:rPr>
        <w:t>Passive Euthanasia – A Relook</w:t>
      </w:r>
      <w:r>
        <w:rPr>
          <w:i/>
          <w:iCs/>
        </w:rPr>
        <w:t xml:space="preserve"> (Report No. 241)</w:t>
      </w:r>
      <w:r>
        <w:t>, August 2012, at 6.1</w:t>
      </w:r>
    </w:p>
  </w:footnote>
  <w:footnote w:id="30">
    <w:p w14:paraId="584DAB09" w14:textId="7D3C766C" w:rsidR="005D3647" w:rsidRPr="00A64F75" w:rsidRDefault="005D3647" w:rsidP="005D3647">
      <w:pPr>
        <w:pStyle w:val="FootnoteText"/>
        <w:rPr>
          <w:rStyle w:val="FootnoteTextChar"/>
          <w:lang w:eastAsia="en-GB"/>
        </w:rPr>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sidR="000376BD">
        <w:rPr>
          <w:rStyle w:val="FootnoteTextChar"/>
        </w:rPr>
        <w:t>, at 6</w:t>
      </w:r>
    </w:p>
  </w:footnote>
  <w:footnote w:id="31">
    <w:p w14:paraId="0D7C9C3B" w14:textId="4767B7F8" w:rsidR="006B66F5" w:rsidRDefault="006B66F5">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27</w:t>
      </w:r>
      <w:r w:rsidR="00054517">
        <w:rPr>
          <w:rStyle w:val="FootnoteTextChar"/>
        </w:rPr>
        <w:t>; emphasis mine</w:t>
      </w:r>
    </w:p>
  </w:footnote>
  <w:footnote w:id="32">
    <w:p w14:paraId="484090C5" w14:textId="74ECD877" w:rsidR="001F7269" w:rsidRDefault="001F7269">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44</w:t>
      </w:r>
      <w:r w:rsidR="00B70932">
        <w:rPr>
          <w:rStyle w:val="FootnoteTextChar"/>
        </w:rPr>
        <w:t>; emphasis mine</w:t>
      </w:r>
    </w:p>
  </w:footnote>
  <w:footnote w:id="33">
    <w:p w14:paraId="1695648B" w14:textId="74A40AD6" w:rsidR="006B66F5" w:rsidRDefault="006B66F5">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44</w:t>
      </w:r>
    </w:p>
  </w:footnote>
  <w:footnote w:id="34">
    <w:p w14:paraId="6740B1DC" w14:textId="239C9B7D" w:rsidR="00BF064D" w:rsidRDefault="00BF064D">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196</w:t>
      </w:r>
    </w:p>
  </w:footnote>
  <w:footnote w:id="35">
    <w:p w14:paraId="57EBE3C1" w14:textId="628169D1" w:rsidR="00BF064D" w:rsidRDefault="00BF064D">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98</w:t>
      </w:r>
    </w:p>
  </w:footnote>
  <w:footnote w:id="36">
    <w:p w14:paraId="2EEA2A00" w14:textId="59B63784" w:rsidR="00054517" w:rsidRDefault="00054517">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49</w:t>
      </w:r>
    </w:p>
  </w:footnote>
  <w:footnote w:id="37">
    <w:p w14:paraId="36A75076" w14:textId="3AECA752" w:rsidR="005D3647" w:rsidRDefault="005D3647" w:rsidP="005D3647">
      <w:pPr>
        <w:pStyle w:val="FootnoteText"/>
      </w:pPr>
      <w:r>
        <w:rPr>
          <w:rStyle w:val="FootnoteReference"/>
        </w:rPr>
        <w:footnoteRef/>
      </w:r>
      <w:r w:rsidR="009D7D51">
        <w:t xml:space="preserve"> </w:t>
      </w:r>
      <w:r w:rsidR="00054517" w:rsidRPr="00A64F75">
        <w:rPr>
          <w:rStyle w:val="FootnoteTextChar"/>
          <w:i/>
          <w:iCs/>
        </w:rPr>
        <w:t>Common Cause (A Regd. Society) v Union of India</w:t>
      </w:r>
      <w:r w:rsidR="00054517" w:rsidRPr="00A64F75">
        <w:rPr>
          <w:rStyle w:val="FootnoteTextChar"/>
        </w:rPr>
        <w:t xml:space="preserve"> [2018] INSC 204</w:t>
      </w:r>
      <w:r w:rsidR="00054517">
        <w:rPr>
          <w:rStyle w:val="FootnoteTextChar"/>
        </w:rPr>
        <w:t xml:space="preserve">, </w:t>
      </w:r>
      <w:r w:rsidR="00054517" w:rsidRPr="00054517">
        <w:rPr>
          <w:rStyle w:val="FootnoteTextChar"/>
          <w:i/>
          <w:iCs/>
        </w:rPr>
        <w:t>per</w:t>
      </w:r>
      <w:r w:rsidR="00054517">
        <w:rPr>
          <w:rStyle w:val="FootnoteTextChar"/>
        </w:rPr>
        <w:t xml:space="preserve"> </w:t>
      </w:r>
      <w:r>
        <w:t>Bhushan J at 80</w:t>
      </w:r>
    </w:p>
  </w:footnote>
  <w:footnote w:id="38">
    <w:p w14:paraId="718FF5D6" w14:textId="16E4F0CE" w:rsidR="00D310BE" w:rsidRDefault="00D310BE">
      <w:pPr>
        <w:pStyle w:val="FootnoteText"/>
      </w:pPr>
      <w:r>
        <w:rPr>
          <w:rStyle w:val="FootnoteReference"/>
        </w:rPr>
        <w:footnoteRef/>
      </w:r>
      <w:r>
        <w:t xml:space="preserve"> </w:t>
      </w:r>
      <w:r w:rsidRPr="00A64F75">
        <w:rPr>
          <w:rStyle w:val="FootnoteTextChar"/>
          <w:i/>
          <w:iCs/>
        </w:rPr>
        <w:t>Common Cause (A Regd. Society) v Union of India</w:t>
      </w:r>
      <w:r w:rsidRPr="00A64F75">
        <w:rPr>
          <w:rStyle w:val="FootnoteTextChar"/>
        </w:rPr>
        <w:t xml:space="preserve"> [2018] INSC 204</w:t>
      </w:r>
      <w:r>
        <w:rPr>
          <w:rStyle w:val="FootnoteTextChar"/>
        </w:rPr>
        <w:t>, at 48</w:t>
      </w:r>
    </w:p>
  </w:footnote>
  <w:footnote w:id="39">
    <w:p w14:paraId="4BC690B0" w14:textId="77777777" w:rsidR="005D3647" w:rsidRPr="00A82198" w:rsidRDefault="005D3647" w:rsidP="005D3647">
      <w:pPr>
        <w:pStyle w:val="FootnoteText"/>
      </w:pPr>
      <w:r w:rsidRPr="00A82198">
        <w:rPr>
          <w:vertAlign w:val="superscript"/>
        </w:rPr>
        <w:footnoteRef/>
      </w:r>
      <w:r w:rsidRPr="00A82198">
        <w:rPr>
          <w:vertAlign w:val="superscript"/>
        </w:rPr>
        <w:t xml:space="preserve"> </w:t>
      </w:r>
      <w:r w:rsidRPr="00A82198">
        <w:rPr>
          <w:i/>
          <w:iCs/>
        </w:rPr>
        <w:t>Airedale NHS Trust v Bland</w:t>
      </w:r>
      <w:r w:rsidRPr="00A82198">
        <w:t>, [1993] 1 All ER 821, at 867</w:t>
      </w:r>
    </w:p>
  </w:footnote>
  <w:footnote w:id="40">
    <w:p w14:paraId="53982EA0" w14:textId="05941D82" w:rsidR="00D87DCF" w:rsidRDefault="00D87DCF">
      <w:pPr>
        <w:pStyle w:val="FootnoteText"/>
      </w:pPr>
      <w:r>
        <w:rPr>
          <w:rStyle w:val="FootnoteReference"/>
        </w:rPr>
        <w:footnoteRef/>
      </w:r>
      <w:r>
        <w:t xml:space="preserve"> </w:t>
      </w:r>
      <w:r w:rsidRPr="00A82198">
        <w:rPr>
          <w:i/>
          <w:iCs/>
        </w:rPr>
        <w:t>Airedale NHS Trust v Bland</w:t>
      </w:r>
      <w:r w:rsidRPr="00A82198">
        <w:t>, [1993] 1 All ER 821, at 867</w:t>
      </w:r>
    </w:p>
  </w:footnote>
  <w:footnote w:id="41">
    <w:p w14:paraId="7C6ED643" w14:textId="77777777" w:rsidR="00FC3A0F" w:rsidRDefault="00FC3A0F" w:rsidP="00FC3A0F">
      <w:pPr>
        <w:pStyle w:val="FootnoteText"/>
      </w:pPr>
      <w:r>
        <w:rPr>
          <w:rStyle w:val="FootnoteReference"/>
        </w:rPr>
        <w:footnoteRef/>
      </w:r>
      <w:r>
        <w:t xml:space="preserve"> </w:t>
      </w:r>
      <w:r w:rsidRPr="00810A29">
        <w:rPr>
          <w:i/>
          <w:iCs/>
        </w:rPr>
        <w:t>Conway v Secretary of State for Justice</w:t>
      </w:r>
      <w:r w:rsidRPr="00E73DB6">
        <w:t xml:space="preserve"> [2017] EWCA Civ 16</w:t>
      </w:r>
      <w:r>
        <w:t>, at 8</w:t>
      </w:r>
    </w:p>
  </w:footnote>
  <w:footnote w:id="42">
    <w:p w14:paraId="549A3A57" w14:textId="503BC4AA" w:rsidR="008B58E3" w:rsidRDefault="008B58E3">
      <w:pPr>
        <w:pStyle w:val="FootnoteText"/>
      </w:pPr>
      <w:r>
        <w:rPr>
          <w:rStyle w:val="FootnoteReference"/>
        </w:rPr>
        <w:footnoteRef/>
      </w:r>
      <w:r>
        <w:t xml:space="preserve"> </w:t>
      </w:r>
      <w:r w:rsidRPr="00A82198">
        <w:rPr>
          <w:i/>
          <w:iCs/>
        </w:rPr>
        <w:t>Airedale NHS Trust v Bland</w:t>
      </w:r>
      <w:r>
        <w:t>, [1993] 1 All ER 821, at 868</w:t>
      </w:r>
    </w:p>
  </w:footnote>
  <w:footnote w:id="43">
    <w:p w14:paraId="2F3C4996" w14:textId="53B59C05" w:rsidR="00E252AD" w:rsidRDefault="00E252AD">
      <w:pPr>
        <w:pStyle w:val="FootnoteText"/>
      </w:pPr>
      <w:r>
        <w:rPr>
          <w:rStyle w:val="FootnoteReference"/>
        </w:rPr>
        <w:footnoteRef/>
      </w:r>
      <w:r>
        <w:t xml:space="preserve"> </w:t>
      </w:r>
      <w:r w:rsidRPr="00A82198">
        <w:rPr>
          <w:i/>
          <w:iCs/>
        </w:rPr>
        <w:t>Airedale NHS Trust v Bland</w:t>
      </w:r>
      <w:r>
        <w:t>, [1993] 1 All ER 821, at 891</w:t>
      </w:r>
    </w:p>
  </w:footnote>
  <w:footnote w:id="44">
    <w:p w14:paraId="2F276654" w14:textId="47F42E52" w:rsidR="0028726E" w:rsidRPr="0028726E" w:rsidRDefault="0028726E" w:rsidP="002C4BCD">
      <w:pPr>
        <w:pStyle w:val="FootnoteText"/>
        <w:rPr>
          <w:rFonts w:ascii="Times New Roman" w:hAnsi="Times New Roman" w:cs="Times New Roman"/>
          <w:lang w:eastAsia="en-GB"/>
        </w:rPr>
      </w:pPr>
      <w:r>
        <w:rPr>
          <w:rStyle w:val="FootnoteReference"/>
        </w:rPr>
        <w:footnoteRef/>
      </w:r>
      <w:r>
        <w:t xml:space="preserve"> </w:t>
      </w:r>
      <w:r w:rsidR="00F27F2E">
        <w:t xml:space="preserve">In the English case of </w:t>
      </w:r>
      <w:r w:rsidRPr="0028726E">
        <w:rPr>
          <w:i/>
          <w:iCs/>
          <w:lang w:eastAsia="en-GB"/>
        </w:rPr>
        <w:t>R v Woollin</w:t>
      </w:r>
      <w:r w:rsidRPr="0028726E">
        <w:rPr>
          <w:lang w:eastAsia="en-GB"/>
        </w:rPr>
        <w:t xml:space="preserve"> ([1998] 4 All ER 103) </w:t>
      </w:r>
      <w:r w:rsidR="00F27F2E" w:rsidRPr="0028726E">
        <w:rPr>
          <w:lang w:eastAsia="en-GB"/>
        </w:rPr>
        <w:t>Lord Steyn</w:t>
      </w:r>
      <w:r w:rsidR="00F27F2E">
        <w:rPr>
          <w:lang w:eastAsia="en-GB"/>
        </w:rPr>
        <w:t xml:space="preserve"> h</w:t>
      </w:r>
      <w:r w:rsidR="002C4BCD">
        <w:rPr>
          <w:lang w:eastAsia="en-GB"/>
        </w:rPr>
        <w:t>eld</w:t>
      </w:r>
      <w:r w:rsidR="00F27F2E">
        <w:rPr>
          <w:lang w:eastAsia="en-GB"/>
        </w:rPr>
        <w:t xml:space="preserve"> </w:t>
      </w:r>
      <w:r w:rsidRPr="0028726E">
        <w:rPr>
          <w:lang w:eastAsia="en-GB"/>
        </w:rPr>
        <w:t>that a jury may be directed to find a defendant guilty of murder under English law if his action was such as to make death a virtual certainty, irrespective of his desire or wish.</w:t>
      </w:r>
      <w:r w:rsidR="00C97256">
        <w:rPr>
          <w:lang w:eastAsia="en-GB"/>
        </w:rPr>
        <w:t xml:space="preserve">  Might this mean that </w:t>
      </w:r>
      <w:r w:rsidRPr="0028726E">
        <w:rPr>
          <w:lang w:eastAsia="en-GB"/>
        </w:rPr>
        <w:t xml:space="preserve">English law could view </w:t>
      </w:r>
      <w:r w:rsidR="00C97256">
        <w:rPr>
          <w:lang w:eastAsia="en-GB"/>
        </w:rPr>
        <w:t xml:space="preserve">any </w:t>
      </w:r>
      <w:r w:rsidRPr="0028726E">
        <w:rPr>
          <w:lang w:eastAsia="en-GB"/>
        </w:rPr>
        <w:t xml:space="preserve">withholding </w:t>
      </w:r>
      <w:r w:rsidR="00C97256">
        <w:rPr>
          <w:lang w:eastAsia="en-GB"/>
        </w:rPr>
        <w:t xml:space="preserve">of </w:t>
      </w:r>
      <w:r w:rsidRPr="0028726E">
        <w:rPr>
          <w:lang w:eastAsia="en-GB"/>
        </w:rPr>
        <w:t>life-sustaining treatment as tantamount to intentional</w:t>
      </w:r>
      <w:r w:rsidR="00C97256">
        <w:rPr>
          <w:lang w:eastAsia="en-GB"/>
        </w:rPr>
        <w:t>ly</w:t>
      </w:r>
      <w:r w:rsidRPr="0028726E">
        <w:rPr>
          <w:lang w:eastAsia="en-GB"/>
        </w:rPr>
        <w:t xml:space="preserve"> ending a life if death is virtually certain?  I do not think so</w:t>
      </w:r>
      <w:r w:rsidR="00C97256">
        <w:rPr>
          <w:lang w:eastAsia="en-GB"/>
        </w:rPr>
        <w:t>.  Not the least of the reasons here is that a competent patient’s right to refuse treatment is absolute</w:t>
      </w:r>
      <w:r w:rsidR="0000749D">
        <w:rPr>
          <w:lang w:eastAsia="en-GB"/>
        </w:rPr>
        <w:t>; and the Mental Capacity Act (2005) formalises the right of competent individuals to formulate advance instructions refusing treatment in the event that they become non-competent.  As such, withholding of life-sustaining treatment is permiss</w:t>
      </w:r>
      <w:r w:rsidR="005A4CA8">
        <w:rPr>
          <w:lang w:eastAsia="en-GB"/>
        </w:rPr>
        <w:t>ible when that treatment is refused</w:t>
      </w:r>
      <w:r w:rsidR="0000749D">
        <w:rPr>
          <w:lang w:eastAsia="en-GB"/>
        </w:rPr>
        <w:t>.  On top of that, in respect of non-competent patients who have not given instructions about their treatment</w:t>
      </w:r>
      <w:r w:rsidRPr="0028726E">
        <w:rPr>
          <w:lang w:eastAsia="en-GB"/>
        </w:rPr>
        <w:t xml:space="preserve">, the justification for treatment </w:t>
      </w:r>
      <w:r w:rsidR="0000749D">
        <w:rPr>
          <w:lang w:eastAsia="en-GB"/>
        </w:rPr>
        <w:t xml:space="preserve">in English law </w:t>
      </w:r>
      <w:r w:rsidRPr="0028726E">
        <w:rPr>
          <w:lang w:eastAsia="en-GB"/>
        </w:rPr>
        <w:t xml:space="preserve">evaporates if it does not serve the patient’s best interests.  By contrast, all the cases considered by Lord Steyn in </w:t>
      </w:r>
      <w:r w:rsidRPr="0028726E">
        <w:rPr>
          <w:i/>
          <w:iCs/>
          <w:lang w:eastAsia="en-GB"/>
        </w:rPr>
        <w:t>Woollin</w:t>
      </w:r>
      <w:r w:rsidRPr="0028726E">
        <w:rPr>
          <w:lang w:eastAsia="en-GB"/>
        </w:rPr>
        <w:t xml:space="preserve"> concerned actions that were clearly intended to be contrary to someone's interest.</w:t>
      </w:r>
    </w:p>
  </w:footnote>
  <w:footnote w:id="45">
    <w:p w14:paraId="1E632FCB" w14:textId="2366DF09" w:rsidR="00053A05" w:rsidRDefault="00053A05" w:rsidP="00053A05">
      <w:pPr>
        <w:pStyle w:val="FootnoteText"/>
      </w:pPr>
      <w:r>
        <w:rPr>
          <w:rStyle w:val="FootnoteReference"/>
        </w:rPr>
        <w:footnoteRef/>
      </w:r>
      <w:r>
        <w:t xml:space="preserve"> This outline Bill also – perhaps inadvertently – proposed that patients should have the right to request treatment, and that this should be seen as binding</w:t>
      </w:r>
      <w:r w:rsidR="00E35C73">
        <w:t>, irrespective of whether it is warranted (see §§ 3(1)(ii) and 3(2)</w:t>
      </w:r>
      <w:r>
        <w:t>.  This provision alone probably warrants another paper!</w:t>
      </w:r>
    </w:p>
  </w:footnote>
  <w:footnote w:id="46">
    <w:p w14:paraId="0761939B" w14:textId="6D441A4D" w:rsidR="00FD2DC4" w:rsidRDefault="00FD2DC4" w:rsidP="007534B2">
      <w:pPr>
        <w:pStyle w:val="FootnoteText"/>
      </w:pPr>
      <w:r>
        <w:rPr>
          <w:rStyle w:val="FootnoteReference"/>
        </w:rPr>
        <w:footnoteRef/>
      </w:r>
      <w:r>
        <w:t xml:space="preserve"> I am very grateful to M</w:t>
      </w:r>
      <w:r w:rsidR="009370C0">
        <w:t>argot Brazier, Swati Gola, Søren Holm, and Alex Mullock</w:t>
      </w:r>
      <w:r>
        <w:t xml:space="preserve"> for their comments on an earlier draft of this paper.</w:t>
      </w:r>
      <w:r w:rsidR="007534B2">
        <w:t xml:space="preserve">  Any improvements arising from the</w:t>
      </w:r>
      <w:r w:rsidR="00547374">
        <w:t>ir</w:t>
      </w:r>
      <w:r w:rsidR="007534B2">
        <w:t xml:space="preserve"> comments are due to them; any lapses are due to 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A26AF"/>
    <w:multiLevelType w:val="hybridMultilevel"/>
    <w:tmpl w:val="E4ECE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434105"/>
    <w:multiLevelType w:val="hybridMultilevel"/>
    <w:tmpl w:val="B1964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53"/>
    <w:rsid w:val="000009B1"/>
    <w:rsid w:val="000060D7"/>
    <w:rsid w:val="0000659B"/>
    <w:rsid w:val="00006FA2"/>
    <w:rsid w:val="0000749D"/>
    <w:rsid w:val="00013FB7"/>
    <w:rsid w:val="00017248"/>
    <w:rsid w:val="000301B2"/>
    <w:rsid w:val="0003122B"/>
    <w:rsid w:val="00032DCA"/>
    <w:rsid w:val="000349B0"/>
    <w:rsid w:val="000376BD"/>
    <w:rsid w:val="00040DB7"/>
    <w:rsid w:val="000415B5"/>
    <w:rsid w:val="00042EB8"/>
    <w:rsid w:val="00053A05"/>
    <w:rsid w:val="00054517"/>
    <w:rsid w:val="00062D0D"/>
    <w:rsid w:val="00067473"/>
    <w:rsid w:val="00074870"/>
    <w:rsid w:val="00075B38"/>
    <w:rsid w:val="00090920"/>
    <w:rsid w:val="000922E6"/>
    <w:rsid w:val="00095F82"/>
    <w:rsid w:val="000A1D82"/>
    <w:rsid w:val="000A5B6F"/>
    <w:rsid w:val="000B2EB3"/>
    <w:rsid w:val="000C6797"/>
    <w:rsid w:val="000F2579"/>
    <w:rsid w:val="000F4A10"/>
    <w:rsid w:val="001136B7"/>
    <w:rsid w:val="00122F41"/>
    <w:rsid w:val="00135BD5"/>
    <w:rsid w:val="00145514"/>
    <w:rsid w:val="00154239"/>
    <w:rsid w:val="00167354"/>
    <w:rsid w:val="0019049D"/>
    <w:rsid w:val="001A178D"/>
    <w:rsid w:val="001A3775"/>
    <w:rsid w:val="001B53C0"/>
    <w:rsid w:val="001C4C77"/>
    <w:rsid w:val="001F3D64"/>
    <w:rsid w:val="001F7269"/>
    <w:rsid w:val="00201862"/>
    <w:rsid w:val="00240B81"/>
    <w:rsid w:val="00254E74"/>
    <w:rsid w:val="00254EDD"/>
    <w:rsid w:val="00255DAF"/>
    <w:rsid w:val="0027181D"/>
    <w:rsid w:val="0028726E"/>
    <w:rsid w:val="00290520"/>
    <w:rsid w:val="002A6D79"/>
    <w:rsid w:val="002C2C68"/>
    <w:rsid w:val="002C4BCD"/>
    <w:rsid w:val="002D7546"/>
    <w:rsid w:val="002E05BB"/>
    <w:rsid w:val="002E2185"/>
    <w:rsid w:val="003075F2"/>
    <w:rsid w:val="00307780"/>
    <w:rsid w:val="0031005B"/>
    <w:rsid w:val="003136FF"/>
    <w:rsid w:val="003278A6"/>
    <w:rsid w:val="00332A9F"/>
    <w:rsid w:val="00334C28"/>
    <w:rsid w:val="003372A4"/>
    <w:rsid w:val="00341051"/>
    <w:rsid w:val="00351D21"/>
    <w:rsid w:val="003558B8"/>
    <w:rsid w:val="00356205"/>
    <w:rsid w:val="00384A78"/>
    <w:rsid w:val="00394C07"/>
    <w:rsid w:val="00396875"/>
    <w:rsid w:val="00396959"/>
    <w:rsid w:val="00397033"/>
    <w:rsid w:val="003A4541"/>
    <w:rsid w:val="003B1A00"/>
    <w:rsid w:val="003B1FDF"/>
    <w:rsid w:val="003C18AF"/>
    <w:rsid w:val="003D3C02"/>
    <w:rsid w:val="003D460B"/>
    <w:rsid w:val="003D4D4D"/>
    <w:rsid w:val="003D7B71"/>
    <w:rsid w:val="003F318E"/>
    <w:rsid w:val="00400B38"/>
    <w:rsid w:val="004257BB"/>
    <w:rsid w:val="00433604"/>
    <w:rsid w:val="0043416C"/>
    <w:rsid w:val="00446B38"/>
    <w:rsid w:val="00460AD4"/>
    <w:rsid w:val="00474C75"/>
    <w:rsid w:val="004776BA"/>
    <w:rsid w:val="00483B70"/>
    <w:rsid w:val="00496389"/>
    <w:rsid w:val="004C2ADB"/>
    <w:rsid w:val="004C31B9"/>
    <w:rsid w:val="004C331F"/>
    <w:rsid w:val="004D01B8"/>
    <w:rsid w:val="004D3708"/>
    <w:rsid w:val="005026C2"/>
    <w:rsid w:val="0051401E"/>
    <w:rsid w:val="005216CE"/>
    <w:rsid w:val="00523A06"/>
    <w:rsid w:val="00542E36"/>
    <w:rsid w:val="00547374"/>
    <w:rsid w:val="005515DE"/>
    <w:rsid w:val="00577930"/>
    <w:rsid w:val="00587F6D"/>
    <w:rsid w:val="00593B17"/>
    <w:rsid w:val="00595812"/>
    <w:rsid w:val="005A4CA8"/>
    <w:rsid w:val="005C3E4E"/>
    <w:rsid w:val="005C5076"/>
    <w:rsid w:val="005C5E81"/>
    <w:rsid w:val="005D3647"/>
    <w:rsid w:val="005E594A"/>
    <w:rsid w:val="005E66E5"/>
    <w:rsid w:val="005E779D"/>
    <w:rsid w:val="006005DC"/>
    <w:rsid w:val="00601D36"/>
    <w:rsid w:val="0063458A"/>
    <w:rsid w:val="006439EE"/>
    <w:rsid w:val="006459C7"/>
    <w:rsid w:val="00650C16"/>
    <w:rsid w:val="00652E74"/>
    <w:rsid w:val="00657A2E"/>
    <w:rsid w:val="00670447"/>
    <w:rsid w:val="00673039"/>
    <w:rsid w:val="00673A97"/>
    <w:rsid w:val="006B66F5"/>
    <w:rsid w:val="006C7604"/>
    <w:rsid w:val="00705667"/>
    <w:rsid w:val="00716A21"/>
    <w:rsid w:val="0072528D"/>
    <w:rsid w:val="00731EE0"/>
    <w:rsid w:val="00734902"/>
    <w:rsid w:val="00750E89"/>
    <w:rsid w:val="007534B2"/>
    <w:rsid w:val="00765720"/>
    <w:rsid w:val="00770059"/>
    <w:rsid w:val="00773C6D"/>
    <w:rsid w:val="00780224"/>
    <w:rsid w:val="00780385"/>
    <w:rsid w:val="007920EC"/>
    <w:rsid w:val="00793506"/>
    <w:rsid w:val="007B6000"/>
    <w:rsid w:val="007C0C15"/>
    <w:rsid w:val="007C1C8F"/>
    <w:rsid w:val="007C2960"/>
    <w:rsid w:val="007C6A8C"/>
    <w:rsid w:val="007D650B"/>
    <w:rsid w:val="007E06AA"/>
    <w:rsid w:val="007E7541"/>
    <w:rsid w:val="00811A19"/>
    <w:rsid w:val="00815AED"/>
    <w:rsid w:val="008315B3"/>
    <w:rsid w:val="00835C1B"/>
    <w:rsid w:val="008361D5"/>
    <w:rsid w:val="00840917"/>
    <w:rsid w:val="00845ECE"/>
    <w:rsid w:val="00846098"/>
    <w:rsid w:val="00847BAB"/>
    <w:rsid w:val="00850E9C"/>
    <w:rsid w:val="00856E88"/>
    <w:rsid w:val="008602B6"/>
    <w:rsid w:val="00862B6E"/>
    <w:rsid w:val="008662C9"/>
    <w:rsid w:val="00867F43"/>
    <w:rsid w:val="008A0BC0"/>
    <w:rsid w:val="008A13F0"/>
    <w:rsid w:val="008A5A67"/>
    <w:rsid w:val="008A5DCE"/>
    <w:rsid w:val="008B11EE"/>
    <w:rsid w:val="008B268D"/>
    <w:rsid w:val="008B58E3"/>
    <w:rsid w:val="008B7518"/>
    <w:rsid w:val="008C0059"/>
    <w:rsid w:val="008C6C55"/>
    <w:rsid w:val="008E3FB4"/>
    <w:rsid w:val="008E7D53"/>
    <w:rsid w:val="00903550"/>
    <w:rsid w:val="00910C42"/>
    <w:rsid w:val="00930E60"/>
    <w:rsid w:val="0093526B"/>
    <w:rsid w:val="009370C0"/>
    <w:rsid w:val="009503A5"/>
    <w:rsid w:val="00960F8D"/>
    <w:rsid w:val="0096491B"/>
    <w:rsid w:val="00972EE3"/>
    <w:rsid w:val="0097370E"/>
    <w:rsid w:val="00975072"/>
    <w:rsid w:val="009B4B1A"/>
    <w:rsid w:val="009D7D51"/>
    <w:rsid w:val="009F2849"/>
    <w:rsid w:val="00A05256"/>
    <w:rsid w:val="00A10737"/>
    <w:rsid w:val="00A1349E"/>
    <w:rsid w:val="00A14342"/>
    <w:rsid w:val="00A21247"/>
    <w:rsid w:val="00A45859"/>
    <w:rsid w:val="00A51792"/>
    <w:rsid w:val="00A725EC"/>
    <w:rsid w:val="00A8685E"/>
    <w:rsid w:val="00A97F6D"/>
    <w:rsid w:val="00AA6D12"/>
    <w:rsid w:val="00AB339F"/>
    <w:rsid w:val="00AD58FF"/>
    <w:rsid w:val="00AD780B"/>
    <w:rsid w:val="00AE0A8C"/>
    <w:rsid w:val="00AF0FBD"/>
    <w:rsid w:val="00B11A31"/>
    <w:rsid w:val="00B31D08"/>
    <w:rsid w:val="00B358B9"/>
    <w:rsid w:val="00B42625"/>
    <w:rsid w:val="00B4784C"/>
    <w:rsid w:val="00B56095"/>
    <w:rsid w:val="00B70932"/>
    <w:rsid w:val="00B77B6D"/>
    <w:rsid w:val="00B83FA3"/>
    <w:rsid w:val="00B84E46"/>
    <w:rsid w:val="00BA182C"/>
    <w:rsid w:val="00BB1E29"/>
    <w:rsid w:val="00BB71C4"/>
    <w:rsid w:val="00BB7639"/>
    <w:rsid w:val="00BC26DD"/>
    <w:rsid w:val="00BC5720"/>
    <w:rsid w:val="00BD0B28"/>
    <w:rsid w:val="00BD4133"/>
    <w:rsid w:val="00BE1909"/>
    <w:rsid w:val="00BE70EB"/>
    <w:rsid w:val="00BF064D"/>
    <w:rsid w:val="00BF774C"/>
    <w:rsid w:val="00C066B4"/>
    <w:rsid w:val="00C0740C"/>
    <w:rsid w:val="00C30D05"/>
    <w:rsid w:val="00C336DC"/>
    <w:rsid w:val="00C337A3"/>
    <w:rsid w:val="00C36781"/>
    <w:rsid w:val="00C36F87"/>
    <w:rsid w:val="00C46920"/>
    <w:rsid w:val="00C52453"/>
    <w:rsid w:val="00C57252"/>
    <w:rsid w:val="00C8624D"/>
    <w:rsid w:val="00C86F38"/>
    <w:rsid w:val="00C94B9D"/>
    <w:rsid w:val="00C97256"/>
    <w:rsid w:val="00CA21D3"/>
    <w:rsid w:val="00CA59BF"/>
    <w:rsid w:val="00CB6C1B"/>
    <w:rsid w:val="00CB758F"/>
    <w:rsid w:val="00CC0063"/>
    <w:rsid w:val="00CC2BF0"/>
    <w:rsid w:val="00CD369A"/>
    <w:rsid w:val="00CE09A3"/>
    <w:rsid w:val="00CE123A"/>
    <w:rsid w:val="00CF2294"/>
    <w:rsid w:val="00CF342C"/>
    <w:rsid w:val="00CF4432"/>
    <w:rsid w:val="00D10CD3"/>
    <w:rsid w:val="00D11C81"/>
    <w:rsid w:val="00D16465"/>
    <w:rsid w:val="00D310BE"/>
    <w:rsid w:val="00D32653"/>
    <w:rsid w:val="00D33240"/>
    <w:rsid w:val="00D461DA"/>
    <w:rsid w:val="00D47EE8"/>
    <w:rsid w:val="00D5012C"/>
    <w:rsid w:val="00D63992"/>
    <w:rsid w:val="00D63B4C"/>
    <w:rsid w:val="00D64476"/>
    <w:rsid w:val="00D71AE6"/>
    <w:rsid w:val="00D74CC0"/>
    <w:rsid w:val="00D87CA5"/>
    <w:rsid w:val="00D87DCF"/>
    <w:rsid w:val="00DA369E"/>
    <w:rsid w:val="00DB6645"/>
    <w:rsid w:val="00DC1CE5"/>
    <w:rsid w:val="00DC79C2"/>
    <w:rsid w:val="00DD1636"/>
    <w:rsid w:val="00DD468A"/>
    <w:rsid w:val="00DD5AED"/>
    <w:rsid w:val="00DE0496"/>
    <w:rsid w:val="00DE732C"/>
    <w:rsid w:val="00DF7F51"/>
    <w:rsid w:val="00E13C89"/>
    <w:rsid w:val="00E24699"/>
    <w:rsid w:val="00E252AD"/>
    <w:rsid w:val="00E25CA7"/>
    <w:rsid w:val="00E35C73"/>
    <w:rsid w:val="00E53B94"/>
    <w:rsid w:val="00E62782"/>
    <w:rsid w:val="00E6303D"/>
    <w:rsid w:val="00E71D8A"/>
    <w:rsid w:val="00E9260E"/>
    <w:rsid w:val="00EB2071"/>
    <w:rsid w:val="00EB246E"/>
    <w:rsid w:val="00EB5067"/>
    <w:rsid w:val="00ED72A5"/>
    <w:rsid w:val="00EE0D30"/>
    <w:rsid w:val="00EE381E"/>
    <w:rsid w:val="00EE3CC7"/>
    <w:rsid w:val="00F24889"/>
    <w:rsid w:val="00F24F82"/>
    <w:rsid w:val="00F25E0E"/>
    <w:rsid w:val="00F27F2E"/>
    <w:rsid w:val="00F40EFF"/>
    <w:rsid w:val="00F504E0"/>
    <w:rsid w:val="00F754FC"/>
    <w:rsid w:val="00F758F4"/>
    <w:rsid w:val="00FC00A8"/>
    <w:rsid w:val="00FC1F2E"/>
    <w:rsid w:val="00FC2770"/>
    <w:rsid w:val="00FC3A0F"/>
    <w:rsid w:val="00FC5010"/>
    <w:rsid w:val="00FD2DC4"/>
    <w:rsid w:val="00FE5B05"/>
    <w:rsid w:val="00FF70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F4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699"/>
    <w:pPr>
      <w:spacing w:line="360" w:lineRule="auto"/>
      <w:jc w:val="both"/>
    </w:pPr>
    <w:rPr>
      <w:rFonts w:ascii="Calibri" w:hAnsi="Calibri"/>
      <w:u w:color="FF0000"/>
    </w:rPr>
  </w:style>
  <w:style w:type="paragraph" w:styleId="Heading1">
    <w:name w:val="heading 1"/>
    <w:basedOn w:val="Normal"/>
    <w:next w:val="Normal"/>
    <w:link w:val="Heading1Char"/>
    <w:autoRedefine/>
    <w:uiPriority w:val="9"/>
    <w:qFormat/>
    <w:rsid w:val="00765720"/>
    <w:pPr>
      <w:keepNext/>
      <w:keepLines/>
      <w:spacing w:before="240"/>
      <w:outlineLvl w:val="0"/>
    </w:pPr>
    <w:rPr>
      <w:rFonts w:eastAsiaTheme="majorEastAsia" w:cs="Calibri"/>
      <w:b/>
      <w:smallCaps/>
      <w:color w:val="000000" w:themeColor="text1"/>
      <w:szCs w:val="32"/>
    </w:rPr>
  </w:style>
  <w:style w:type="paragraph" w:styleId="Heading2">
    <w:name w:val="heading 2"/>
    <w:basedOn w:val="Normal"/>
    <w:next w:val="Normal"/>
    <w:link w:val="Heading2Char"/>
    <w:autoRedefine/>
    <w:qFormat/>
    <w:rsid w:val="00074870"/>
    <w:pPr>
      <w:keepNext/>
      <w:outlineLvl w:val="1"/>
    </w:pPr>
    <w:rPr>
      <w:rFonts w:cs="Times New Roman"/>
      <w:i/>
      <w:iCs/>
      <w:lang w:eastAsia="zh-CN"/>
    </w:rPr>
  </w:style>
  <w:style w:type="paragraph" w:styleId="Heading3">
    <w:name w:val="heading 3"/>
    <w:basedOn w:val="Normal"/>
    <w:next w:val="Normal"/>
    <w:link w:val="Heading3Char"/>
    <w:uiPriority w:val="9"/>
    <w:unhideWhenUsed/>
    <w:qFormat/>
    <w:rsid w:val="00074870"/>
    <w:pPr>
      <w:keepNext/>
      <w:keepLines/>
      <w:spacing w:before="200"/>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8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48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74870"/>
    <w:rPr>
      <w:sz w:val="18"/>
      <w:szCs w:val="18"/>
    </w:rPr>
  </w:style>
  <w:style w:type="paragraph" w:styleId="CommentText">
    <w:name w:val="annotation text"/>
    <w:basedOn w:val="Normal"/>
    <w:link w:val="CommentTextChar"/>
    <w:uiPriority w:val="99"/>
    <w:semiHidden/>
    <w:unhideWhenUsed/>
    <w:rsid w:val="00074870"/>
  </w:style>
  <w:style w:type="character" w:customStyle="1" w:styleId="CommentTextChar">
    <w:name w:val="Comment Text Char"/>
    <w:basedOn w:val="DefaultParagraphFont"/>
    <w:link w:val="CommentText"/>
    <w:uiPriority w:val="99"/>
    <w:semiHidden/>
    <w:rsid w:val="00074870"/>
    <w:rPr>
      <w:rFonts w:ascii="Calibri" w:hAnsi="Calibri"/>
    </w:rPr>
  </w:style>
  <w:style w:type="paragraph" w:styleId="CommentSubject">
    <w:name w:val="annotation subject"/>
    <w:basedOn w:val="CommentText"/>
    <w:next w:val="CommentText"/>
    <w:link w:val="CommentSubjectChar"/>
    <w:uiPriority w:val="99"/>
    <w:semiHidden/>
    <w:unhideWhenUsed/>
    <w:rsid w:val="00074870"/>
    <w:rPr>
      <w:b/>
      <w:bCs/>
      <w:sz w:val="20"/>
      <w:szCs w:val="20"/>
    </w:rPr>
  </w:style>
  <w:style w:type="character" w:customStyle="1" w:styleId="CommentSubjectChar">
    <w:name w:val="Comment Subject Char"/>
    <w:basedOn w:val="CommentTextChar"/>
    <w:link w:val="CommentSubject"/>
    <w:uiPriority w:val="99"/>
    <w:semiHidden/>
    <w:rsid w:val="00074870"/>
    <w:rPr>
      <w:rFonts w:ascii="Calibri" w:hAnsi="Calibri"/>
      <w:b/>
      <w:bCs/>
      <w:sz w:val="20"/>
      <w:szCs w:val="20"/>
    </w:rPr>
  </w:style>
  <w:style w:type="character" w:styleId="EndnoteReference">
    <w:name w:val="endnote reference"/>
    <w:uiPriority w:val="99"/>
    <w:unhideWhenUsed/>
    <w:qFormat/>
    <w:rsid w:val="00074870"/>
    <w:rPr>
      <w:rFonts w:ascii="Calibri" w:hAnsi="Calibri"/>
      <w:b w:val="0"/>
      <w:i w:val="0"/>
      <w:color w:val="000000" w:themeColor="text1"/>
      <w:vertAlign w:val="superscript"/>
    </w:rPr>
  </w:style>
  <w:style w:type="paragraph" w:customStyle="1" w:styleId="ExtendedQuotation">
    <w:name w:val="Extended Quotation"/>
    <w:basedOn w:val="Normal"/>
    <w:rsid w:val="005515DE"/>
    <w:pPr>
      <w:pBdr>
        <w:top w:val="nil"/>
        <w:left w:val="nil"/>
        <w:bottom w:val="nil"/>
        <w:right w:val="nil"/>
        <w:between w:val="nil"/>
        <w:bar w:val="nil"/>
      </w:pBdr>
      <w:ind w:left="720"/>
      <w:jc w:val="left"/>
    </w:pPr>
    <w:rPr>
      <w:rFonts w:eastAsia="Arial Unicode MS" w:cs="Arial Unicode MS"/>
      <w:color w:val="000000"/>
      <w:sz w:val="22"/>
      <w:szCs w:val="20"/>
      <w:u w:color="000000"/>
      <w:bdr w:val="nil"/>
    </w:rPr>
  </w:style>
  <w:style w:type="paragraph" w:customStyle="1" w:styleId="Footnote">
    <w:name w:val="Footnote"/>
    <w:basedOn w:val="Normal"/>
    <w:autoRedefine/>
    <w:rsid w:val="00F24889"/>
    <w:pPr>
      <w:spacing w:line="240" w:lineRule="auto"/>
      <w:jc w:val="left"/>
    </w:pPr>
    <w:rPr>
      <w:rFonts w:asciiTheme="minorHAnsi" w:eastAsia="Arial" w:hAnsiTheme="minorHAnsi" w:cs="Arial"/>
      <w:color w:val="000000"/>
      <w:sz w:val="22"/>
      <w:szCs w:val="20"/>
      <w:bdr w:val="nil"/>
      <w:lang w:val="en-US"/>
    </w:rPr>
  </w:style>
  <w:style w:type="paragraph" w:styleId="FootnoteText">
    <w:name w:val="footnote text"/>
    <w:basedOn w:val="Normal"/>
    <w:link w:val="FootnoteTextChar"/>
    <w:autoRedefine/>
    <w:uiPriority w:val="99"/>
    <w:unhideWhenUsed/>
    <w:rsid w:val="009503A5"/>
    <w:pPr>
      <w:spacing w:line="240" w:lineRule="auto"/>
      <w:jc w:val="left"/>
    </w:pPr>
    <w:rPr>
      <w:rFonts w:asciiTheme="minorHAnsi" w:hAnsiTheme="minorHAnsi"/>
      <w:sz w:val="21"/>
    </w:rPr>
  </w:style>
  <w:style w:type="character" w:customStyle="1" w:styleId="FootnoteTextChar">
    <w:name w:val="Footnote Text Char"/>
    <w:basedOn w:val="DefaultParagraphFont"/>
    <w:link w:val="FootnoteText"/>
    <w:uiPriority w:val="99"/>
    <w:rsid w:val="009503A5"/>
    <w:rPr>
      <w:sz w:val="21"/>
    </w:rPr>
  </w:style>
  <w:style w:type="paragraph" w:customStyle="1" w:styleId="Heading">
    <w:name w:val="Heading"/>
    <w:basedOn w:val="Normal"/>
    <w:next w:val="Normal"/>
    <w:rsid w:val="00074870"/>
    <w:pPr>
      <w:keepNext/>
      <w:pBdr>
        <w:top w:val="nil"/>
        <w:left w:val="nil"/>
        <w:bottom w:val="nil"/>
        <w:right w:val="nil"/>
        <w:between w:val="nil"/>
        <w:bar w:val="nil"/>
      </w:pBdr>
      <w:jc w:val="left"/>
      <w:outlineLvl w:val="0"/>
    </w:pPr>
    <w:rPr>
      <w:rFonts w:asciiTheme="minorHAnsi" w:eastAsia="Arial Unicode MS" w:hAnsiTheme="minorHAnsi" w:cs="Arial Unicode MS"/>
      <w:b/>
      <w:bCs/>
      <w:color w:val="000000"/>
      <w:u w:val="single" w:color="000000"/>
      <w:bdr w:val="nil"/>
      <w:lang w:val="en-US"/>
    </w:rPr>
  </w:style>
  <w:style w:type="character" w:customStyle="1" w:styleId="Heading1Char">
    <w:name w:val="Heading 1 Char"/>
    <w:basedOn w:val="DefaultParagraphFont"/>
    <w:link w:val="Heading1"/>
    <w:uiPriority w:val="9"/>
    <w:rsid w:val="00765720"/>
    <w:rPr>
      <w:rFonts w:ascii="Calibri" w:eastAsiaTheme="majorEastAsia" w:hAnsi="Calibri" w:cs="Calibri"/>
      <w:b/>
      <w:smallCaps/>
      <w:color w:val="000000" w:themeColor="text1"/>
      <w:szCs w:val="32"/>
    </w:rPr>
  </w:style>
  <w:style w:type="character" w:customStyle="1" w:styleId="Heading2Char">
    <w:name w:val="Heading 2 Char"/>
    <w:basedOn w:val="DefaultParagraphFont"/>
    <w:link w:val="Heading2"/>
    <w:rsid w:val="00074870"/>
    <w:rPr>
      <w:rFonts w:ascii="Calibri" w:hAnsi="Calibri" w:cs="Times New Roman"/>
      <w:i/>
      <w:iCs/>
      <w:lang w:eastAsia="zh-CN"/>
    </w:rPr>
  </w:style>
  <w:style w:type="character" w:customStyle="1" w:styleId="Heading3Char">
    <w:name w:val="Heading 3 Char"/>
    <w:basedOn w:val="DefaultParagraphFont"/>
    <w:link w:val="Heading3"/>
    <w:uiPriority w:val="9"/>
    <w:rsid w:val="00074870"/>
    <w:rPr>
      <w:rFonts w:eastAsiaTheme="majorEastAsia" w:cstheme="majorBidi"/>
      <w:b/>
      <w:bCs/>
    </w:rPr>
  </w:style>
  <w:style w:type="paragraph" w:customStyle="1" w:styleId="OpeningQuotation">
    <w:name w:val="Opening Quotation"/>
    <w:basedOn w:val="Normal"/>
    <w:qFormat/>
    <w:rsid w:val="00074870"/>
    <w:pPr>
      <w:ind w:left="1440" w:right="1440"/>
      <w:jc w:val="right"/>
    </w:pPr>
    <w:rPr>
      <w:rFonts w:asciiTheme="minorHAnsi" w:hAnsiTheme="minorHAnsi"/>
      <w:sz w:val="20"/>
    </w:rPr>
  </w:style>
  <w:style w:type="paragraph" w:styleId="EndnoteText">
    <w:name w:val="endnote text"/>
    <w:basedOn w:val="Normal"/>
    <w:link w:val="EndnoteTextChar"/>
    <w:uiPriority w:val="99"/>
    <w:unhideWhenUsed/>
    <w:rsid w:val="003B1FDF"/>
    <w:pPr>
      <w:spacing w:line="240" w:lineRule="auto"/>
      <w:jc w:val="left"/>
    </w:pPr>
    <w:rPr>
      <w:sz w:val="21"/>
    </w:rPr>
  </w:style>
  <w:style w:type="character" w:customStyle="1" w:styleId="EndnoteTextChar">
    <w:name w:val="Endnote Text Char"/>
    <w:basedOn w:val="DefaultParagraphFont"/>
    <w:link w:val="EndnoteText"/>
    <w:uiPriority w:val="99"/>
    <w:rsid w:val="003B1FDF"/>
    <w:rPr>
      <w:rFonts w:ascii="Calibri" w:hAnsi="Calibri"/>
      <w:sz w:val="21"/>
      <w:u w:color="FF0000"/>
    </w:rPr>
  </w:style>
  <w:style w:type="character" w:styleId="Hyperlink">
    <w:name w:val="Hyperlink"/>
    <w:rsid w:val="00BC26DD"/>
    <w:rPr>
      <w:rFonts w:cs="Times New Roman"/>
      <w:color w:val="0000FF"/>
      <w:u w:val="single" w:color="0000FF"/>
    </w:rPr>
  </w:style>
  <w:style w:type="character" w:styleId="FootnoteReference">
    <w:name w:val="footnote reference"/>
    <w:basedOn w:val="DefaultParagraphFont"/>
    <w:uiPriority w:val="99"/>
    <w:unhideWhenUsed/>
    <w:rsid w:val="00D32653"/>
    <w:rPr>
      <w:vertAlign w:val="superscript"/>
    </w:rPr>
  </w:style>
  <w:style w:type="paragraph" w:styleId="Revision">
    <w:name w:val="Revision"/>
    <w:hidden/>
    <w:uiPriority w:val="99"/>
    <w:semiHidden/>
    <w:rsid w:val="00B77B6D"/>
    <w:rPr>
      <w:rFonts w:ascii="Calibri" w:hAnsi="Calibri"/>
      <w:u w:color="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82388">
      <w:bodyDiv w:val="1"/>
      <w:marLeft w:val="0"/>
      <w:marRight w:val="0"/>
      <w:marTop w:val="0"/>
      <w:marBottom w:val="0"/>
      <w:divBdr>
        <w:top w:val="none" w:sz="0" w:space="0" w:color="auto"/>
        <w:left w:val="none" w:sz="0" w:space="0" w:color="auto"/>
        <w:bottom w:val="none" w:sz="0" w:space="0" w:color="auto"/>
        <w:right w:val="none" w:sz="0" w:space="0" w:color="auto"/>
      </w:divBdr>
    </w:div>
    <w:div w:id="592473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in.brassington@manches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bc.co.uk/ethics/euthanasia/overview/activepassive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5410</Words>
  <Characters>30837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Brassington</dc:creator>
  <cp:keywords/>
  <dc:description/>
  <cp:lastModifiedBy>MS Editor</cp:lastModifiedBy>
  <cp:revision>2</cp:revision>
  <dcterms:created xsi:type="dcterms:W3CDTF">2019-12-21T13:50:00Z</dcterms:created>
  <dcterms:modified xsi:type="dcterms:W3CDTF">2019-12-21T13:50:00Z</dcterms:modified>
</cp:coreProperties>
</file>