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2C5DE" w14:textId="77777777" w:rsidR="00047E2A" w:rsidRPr="00ED2BB7" w:rsidRDefault="00047E2A" w:rsidP="00ED2BB7">
      <w:pPr>
        <w:spacing w:after="240" w:line="240" w:lineRule="auto"/>
        <w:rPr>
          <w:rFonts w:ascii="Times New Roman" w:hAnsi="Times New Roman" w:cs="Times New Roman"/>
          <w:b/>
          <w:sz w:val="24"/>
          <w:szCs w:val="24"/>
        </w:rPr>
      </w:pPr>
      <w:r w:rsidRPr="00ED2BB7">
        <w:rPr>
          <w:rFonts w:ascii="Times New Roman" w:hAnsi="Times New Roman" w:cs="Times New Roman"/>
          <w:b/>
          <w:sz w:val="24"/>
          <w:szCs w:val="24"/>
        </w:rPr>
        <w:t>Title page</w:t>
      </w:r>
    </w:p>
    <w:p w14:paraId="6709679A" w14:textId="6ED87362" w:rsidR="00047E2A" w:rsidRPr="00ED2BB7" w:rsidRDefault="00047E2A" w:rsidP="00ED2BB7">
      <w:pPr>
        <w:pStyle w:val="western"/>
        <w:spacing w:after="240" w:line="240" w:lineRule="auto"/>
        <w:rPr>
          <w:rFonts w:ascii="Times New Roman" w:hAnsi="Times New Roman"/>
          <w:bCs/>
          <w:color w:val="auto"/>
          <w:sz w:val="24"/>
          <w:szCs w:val="24"/>
        </w:rPr>
      </w:pPr>
      <w:r w:rsidRPr="00ED2BB7">
        <w:rPr>
          <w:rFonts w:ascii="Times New Roman" w:hAnsi="Times New Roman"/>
          <w:b/>
          <w:bCs/>
          <w:color w:val="auto"/>
          <w:sz w:val="24"/>
          <w:szCs w:val="24"/>
        </w:rPr>
        <w:t>Title</w:t>
      </w:r>
      <w:r w:rsidRPr="00ED2BB7">
        <w:rPr>
          <w:rFonts w:ascii="Times New Roman" w:hAnsi="Times New Roman"/>
          <w:bCs/>
          <w:color w:val="auto"/>
          <w:sz w:val="24"/>
          <w:szCs w:val="24"/>
        </w:rPr>
        <w:t xml:space="preserve">: </w:t>
      </w:r>
      <w:bookmarkStart w:id="0" w:name="_GoBack"/>
      <w:r w:rsidRPr="00ED2BB7">
        <w:rPr>
          <w:rFonts w:ascii="Times New Roman" w:hAnsi="Times New Roman"/>
          <w:bCs/>
          <w:color w:val="auto"/>
          <w:sz w:val="24"/>
          <w:szCs w:val="24"/>
        </w:rPr>
        <w:t xml:space="preserve">Quality Improvement of Postgraduate Medical Protocol </w:t>
      </w:r>
      <w:bookmarkEnd w:id="0"/>
      <w:r w:rsidRPr="00ED2BB7">
        <w:rPr>
          <w:rFonts w:ascii="Times New Roman" w:hAnsi="Times New Roman"/>
          <w:bCs/>
          <w:color w:val="auto"/>
          <w:sz w:val="24"/>
          <w:szCs w:val="24"/>
        </w:rPr>
        <w:t>(PMP) Submitted to National Medical Research Registry (NMRR), Malaysia</w:t>
      </w:r>
    </w:p>
    <w:p w14:paraId="3FE0BE78" w14:textId="0E199FD2" w:rsidR="00047E2A" w:rsidRPr="00ED2BB7" w:rsidRDefault="00047E2A" w:rsidP="00ED2BB7">
      <w:pPr>
        <w:pStyle w:val="western"/>
        <w:spacing w:after="240" w:line="240" w:lineRule="auto"/>
        <w:rPr>
          <w:rFonts w:ascii="Times New Roman" w:hAnsi="Times New Roman"/>
          <w:b/>
          <w:sz w:val="24"/>
          <w:szCs w:val="24"/>
        </w:rPr>
      </w:pPr>
      <w:r w:rsidRPr="00ED2BB7">
        <w:rPr>
          <w:rFonts w:ascii="Times New Roman" w:hAnsi="Times New Roman"/>
          <w:b/>
          <w:sz w:val="24"/>
          <w:szCs w:val="24"/>
        </w:rPr>
        <w:t>List of authors:</w:t>
      </w:r>
    </w:p>
    <w:p w14:paraId="00951539" w14:textId="4962C1B0" w:rsidR="00047E2A" w:rsidRPr="00ED2BB7" w:rsidRDefault="00047E2A" w:rsidP="00ED2BB7">
      <w:pPr>
        <w:pStyle w:val="ListParagraph"/>
        <w:numPr>
          <w:ilvl w:val="0"/>
          <w:numId w:val="7"/>
        </w:numPr>
        <w:spacing w:after="240" w:line="240" w:lineRule="auto"/>
        <w:rPr>
          <w:rFonts w:ascii="Times New Roman" w:hAnsi="Times New Roman" w:cs="Times New Roman"/>
          <w:sz w:val="24"/>
          <w:szCs w:val="24"/>
        </w:rPr>
      </w:pPr>
      <w:bookmarkStart w:id="1" w:name="_Hlk29464054"/>
      <w:proofErr w:type="spellStart"/>
      <w:r w:rsidRPr="00ED2BB7">
        <w:rPr>
          <w:rFonts w:ascii="Times New Roman" w:hAnsi="Times New Roman" w:cs="Times New Roman"/>
          <w:sz w:val="24"/>
          <w:szCs w:val="24"/>
        </w:rPr>
        <w:t>Zainanda</w:t>
      </w:r>
      <w:proofErr w:type="spellEnd"/>
      <w:r w:rsidRPr="00ED2BB7">
        <w:rPr>
          <w:rFonts w:ascii="Times New Roman" w:hAnsi="Times New Roman" w:cs="Times New Roman"/>
          <w:sz w:val="24"/>
          <w:szCs w:val="24"/>
        </w:rPr>
        <w:t xml:space="preserve"> </w:t>
      </w:r>
      <w:proofErr w:type="spellStart"/>
      <w:r w:rsidRPr="00ED2BB7">
        <w:rPr>
          <w:rFonts w:ascii="Times New Roman" w:hAnsi="Times New Roman" w:cs="Times New Roman"/>
          <w:sz w:val="24"/>
          <w:szCs w:val="24"/>
        </w:rPr>
        <w:t>Zainal</w:t>
      </w:r>
      <w:proofErr w:type="spellEnd"/>
      <w:r w:rsidRPr="00ED2BB7">
        <w:rPr>
          <w:rFonts w:ascii="Times New Roman" w:hAnsi="Times New Roman" w:cs="Times New Roman"/>
          <w:sz w:val="24"/>
          <w:szCs w:val="24"/>
        </w:rPr>
        <w:t xml:space="preserve"> </w:t>
      </w:r>
    </w:p>
    <w:p w14:paraId="5BC4645C" w14:textId="6FCDD40C" w:rsidR="00047E2A" w:rsidRPr="00ED2BB7" w:rsidRDefault="00047E2A" w:rsidP="00ED2BB7">
      <w:pPr>
        <w:pStyle w:val="ListParagraph"/>
        <w:spacing w:after="240" w:line="240" w:lineRule="auto"/>
        <w:rPr>
          <w:rFonts w:ascii="Times New Roman" w:hAnsi="Times New Roman" w:cs="Times New Roman"/>
          <w:sz w:val="24"/>
          <w:szCs w:val="24"/>
        </w:rPr>
      </w:pPr>
      <w:r w:rsidRPr="00ED2BB7">
        <w:rPr>
          <w:rFonts w:ascii="Times New Roman" w:hAnsi="Times New Roman" w:cs="Times New Roman"/>
          <w:sz w:val="24"/>
          <w:szCs w:val="24"/>
        </w:rPr>
        <w:t>Medical Officer</w:t>
      </w:r>
    </w:p>
    <w:p w14:paraId="1980B161" w14:textId="77777777" w:rsidR="00047E2A" w:rsidRPr="00ED2BB7" w:rsidRDefault="00047E2A" w:rsidP="00ED2BB7">
      <w:pPr>
        <w:pStyle w:val="ListParagraph"/>
        <w:spacing w:after="240" w:line="240" w:lineRule="auto"/>
        <w:rPr>
          <w:rFonts w:ascii="Times New Roman" w:hAnsi="Times New Roman" w:cs="Times New Roman"/>
          <w:sz w:val="24"/>
          <w:szCs w:val="24"/>
        </w:rPr>
      </w:pPr>
      <w:r w:rsidRPr="00ED2BB7">
        <w:rPr>
          <w:rFonts w:ascii="Times New Roman" w:hAnsi="Times New Roman" w:cs="Times New Roman"/>
          <w:sz w:val="24"/>
          <w:szCs w:val="24"/>
        </w:rPr>
        <w:t xml:space="preserve">Malaysian Healthcare Performance Unit, National Institute of Health, Kuala Lumpur Hospital, Level 3, Administration &amp; Finance Block, </w:t>
      </w:r>
      <w:proofErr w:type="spellStart"/>
      <w:r w:rsidRPr="00ED2BB7">
        <w:rPr>
          <w:rFonts w:ascii="Times New Roman" w:hAnsi="Times New Roman" w:cs="Times New Roman"/>
          <w:sz w:val="24"/>
          <w:szCs w:val="24"/>
        </w:rPr>
        <w:t>Jalan</w:t>
      </w:r>
      <w:proofErr w:type="spellEnd"/>
      <w:r w:rsidRPr="00ED2BB7">
        <w:rPr>
          <w:rFonts w:ascii="Times New Roman" w:hAnsi="Times New Roman" w:cs="Times New Roman"/>
          <w:sz w:val="24"/>
          <w:szCs w:val="24"/>
        </w:rPr>
        <w:t xml:space="preserve"> Pahang, 50586 Kuala Lumpur, Malaysia.</w:t>
      </w:r>
    </w:p>
    <w:p w14:paraId="1E3F101F" w14:textId="0D7450A6" w:rsidR="00047E2A" w:rsidRPr="00ED2BB7" w:rsidRDefault="00BA1F98" w:rsidP="00ED2BB7">
      <w:pPr>
        <w:pStyle w:val="ListParagraph"/>
        <w:spacing w:after="240" w:line="240" w:lineRule="auto"/>
        <w:rPr>
          <w:rFonts w:ascii="Times New Roman" w:hAnsi="Times New Roman" w:cs="Times New Roman"/>
          <w:sz w:val="24"/>
          <w:szCs w:val="24"/>
        </w:rPr>
      </w:pPr>
      <w:r w:rsidRPr="00ED2BB7">
        <w:rPr>
          <w:rFonts w:ascii="Times New Roman" w:hAnsi="Times New Roman" w:cs="Times New Roman"/>
          <w:sz w:val="24"/>
          <w:szCs w:val="24"/>
        </w:rPr>
        <w:t>zainanda@crc.gov.my</w:t>
      </w:r>
    </w:p>
    <w:p w14:paraId="4707D541" w14:textId="77777777" w:rsidR="00BA1F98" w:rsidRPr="00ED2BB7" w:rsidRDefault="00BA1F98" w:rsidP="00ED2BB7">
      <w:pPr>
        <w:pStyle w:val="ListParagraph"/>
        <w:spacing w:after="240" w:line="240" w:lineRule="auto"/>
        <w:rPr>
          <w:rFonts w:ascii="Times New Roman" w:hAnsi="Times New Roman" w:cs="Times New Roman"/>
          <w:sz w:val="24"/>
          <w:szCs w:val="24"/>
        </w:rPr>
      </w:pPr>
    </w:p>
    <w:p w14:paraId="52E3A46D" w14:textId="561DE544" w:rsidR="00C51070" w:rsidRPr="00ED2BB7" w:rsidRDefault="00C51070" w:rsidP="00ED2BB7">
      <w:pPr>
        <w:pStyle w:val="ListParagraph"/>
        <w:numPr>
          <w:ilvl w:val="0"/>
          <w:numId w:val="7"/>
        </w:numPr>
        <w:spacing w:after="240" w:line="240" w:lineRule="auto"/>
        <w:rPr>
          <w:rFonts w:ascii="Times New Roman" w:hAnsi="Times New Roman" w:cs="Times New Roman"/>
          <w:sz w:val="24"/>
          <w:szCs w:val="24"/>
        </w:rPr>
      </w:pPr>
      <w:r w:rsidRPr="00ED2BB7">
        <w:rPr>
          <w:rFonts w:ascii="Times New Roman" w:hAnsi="Times New Roman" w:cs="Times New Roman"/>
          <w:sz w:val="24"/>
          <w:szCs w:val="24"/>
        </w:rPr>
        <w:t xml:space="preserve">Lai Wei Hong </w:t>
      </w:r>
      <w:r w:rsidR="0085094E">
        <w:rPr>
          <w:rFonts w:ascii="Times New Roman" w:hAnsi="Times New Roman" w:cs="Times New Roman"/>
          <w:sz w:val="24"/>
          <w:szCs w:val="24"/>
        </w:rPr>
        <w:t>(Corresponding author)</w:t>
      </w:r>
    </w:p>
    <w:p w14:paraId="4312FE3C" w14:textId="2A857AC5" w:rsidR="00047E2A" w:rsidRPr="00ED2BB7" w:rsidRDefault="00C51070" w:rsidP="00ED2BB7">
      <w:pPr>
        <w:pStyle w:val="ListParagraph"/>
        <w:spacing w:after="240" w:line="240" w:lineRule="auto"/>
        <w:rPr>
          <w:rFonts w:ascii="Times New Roman" w:hAnsi="Times New Roman" w:cs="Times New Roman"/>
          <w:sz w:val="24"/>
          <w:szCs w:val="24"/>
        </w:rPr>
      </w:pPr>
      <w:r w:rsidRPr="00ED2BB7">
        <w:rPr>
          <w:rFonts w:ascii="Times New Roman" w:hAnsi="Times New Roman" w:cs="Times New Roman"/>
          <w:sz w:val="24"/>
          <w:szCs w:val="24"/>
        </w:rPr>
        <w:t>Researcher</w:t>
      </w:r>
      <w:r w:rsidR="00047E2A" w:rsidRPr="00ED2BB7">
        <w:rPr>
          <w:rFonts w:ascii="Times New Roman" w:hAnsi="Times New Roman" w:cs="Times New Roman"/>
          <w:sz w:val="24"/>
          <w:szCs w:val="24"/>
        </w:rPr>
        <w:t xml:space="preserve"> Doctor</w:t>
      </w:r>
    </w:p>
    <w:p w14:paraId="5589DD95" w14:textId="77777777" w:rsidR="00C51070" w:rsidRPr="00ED2BB7" w:rsidRDefault="00C51070" w:rsidP="00ED2BB7">
      <w:pPr>
        <w:pStyle w:val="ListParagraph"/>
        <w:spacing w:after="240" w:line="240" w:lineRule="auto"/>
        <w:rPr>
          <w:rFonts w:ascii="Times New Roman" w:hAnsi="Times New Roman" w:cs="Times New Roman"/>
          <w:sz w:val="24"/>
          <w:szCs w:val="24"/>
        </w:rPr>
      </w:pPr>
      <w:r w:rsidRPr="00ED2BB7">
        <w:rPr>
          <w:rFonts w:ascii="Times New Roman" w:hAnsi="Times New Roman" w:cs="Times New Roman"/>
          <w:sz w:val="24"/>
          <w:szCs w:val="24"/>
        </w:rPr>
        <w:t xml:space="preserve">Centre for Coordination of Clinical Research Network, Institute for Clinical Research, National Institutes of Health (NIH) Malaysia, Blok B4, </w:t>
      </w:r>
      <w:proofErr w:type="spellStart"/>
      <w:r w:rsidRPr="00ED2BB7">
        <w:rPr>
          <w:rFonts w:ascii="Times New Roman" w:hAnsi="Times New Roman" w:cs="Times New Roman"/>
          <w:sz w:val="24"/>
          <w:szCs w:val="24"/>
        </w:rPr>
        <w:t>Jalan</w:t>
      </w:r>
      <w:proofErr w:type="spellEnd"/>
      <w:r w:rsidRPr="00ED2BB7">
        <w:rPr>
          <w:rFonts w:ascii="Times New Roman" w:hAnsi="Times New Roman" w:cs="Times New Roman"/>
          <w:sz w:val="24"/>
          <w:szCs w:val="24"/>
        </w:rPr>
        <w:t xml:space="preserve"> </w:t>
      </w:r>
      <w:proofErr w:type="spellStart"/>
      <w:r w:rsidRPr="00ED2BB7">
        <w:rPr>
          <w:rFonts w:ascii="Times New Roman" w:hAnsi="Times New Roman" w:cs="Times New Roman"/>
          <w:sz w:val="24"/>
          <w:szCs w:val="24"/>
        </w:rPr>
        <w:t>Setia</w:t>
      </w:r>
      <w:proofErr w:type="spellEnd"/>
      <w:r w:rsidRPr="00ED2BB7">
        <w:rPr>
          <w:rFonts w:ascii="Times New Roman" w:hAnsi="Times New Roman" w:cs="Times New Roman"/>
          <w:sz w:val="24"/>
          <w:szCs w:val="24"/>
        </w:rPr>
        <w:t xml:space="preserve"> </w:t>
      </w:r>
      <w:proofErr w:type="spellStart"/>
      <w:r w:rsidRPr="00ED2BB7">
        <w:rPr>
          <w:rFonts w:ascii="Times New Roman" w:hAnsi="Times New Roman" w:cs="Times New Roman"/>
          <w:sz w:val="24"/>
          <w:szCs w:val="24"/>
        </w:rPr>
        <w:t>Murni</w:t>
      </w:r>
      <w:proofErr w:type="spellEnd"/>
      <w:r w:rsidRPr="00ED2BB7">
        <w:rPr>
          <w:rFonts w:ascii="Times New Roman" w:hAnsi="Times New Roman" w:cs="Times New Roman"/>
          <w:sz w:val="24"/>
          <w:szCs w:val="24"/>
        </w:rPr>
        <w:t xml:space="preserve"> U13/52, </w:t>
      </w:r>
      <w:proofErr w:type="spellStart"/>
      <w:r w:rsidRPr="00ED2BB7">
        <w:rPr>
          <w:rFonts w:ascii="Times New Roman" w:hAnsi="Times New Roman" w:cs="Times New Roman"/>
          <w:sz w:val="24"/>
          <w:szCs w:val="24"/>
        </w:rPr>
        <w:t>Seksyen</w:t>
      </w:r>
      <w:proofErr w:type="spellEnd"/>
      <w:r w:rsidRPr="00ED2BB7">
        <w:rPr>
          <w:rFonts w:ascii="Times New Roman" w:hAnsi="Times New Roman" w:cs="Times New Roman"/>
          <w:sz w:val="24"/>
          <w:szCs w:val="24"/>
        </w:rPr>
        <w:t xml:space="preserve"> U13 </w:t>
      </w:r>
      <w:proofErr w:type="spellStart"/>
      <w:r w:rsidRPr="00ED2BB7">
        <w:rPr>
          <w:rFonts w:ascii="Times New Roman" w:hAnsi="Times New Roman" w:cs="Times New Roman"/>
          <w:sz w:val="24"/>
          <w:szCs w:val="24"/>
        </w:rPr>
        <w:t>Setia</w:t>
      </w:r>
      <w:proofErr w:type="spellEnd"/>
      <w:r w:rsidRPr="00ED2BB7">
        <w:rPr>
          <w:rFonts w:ascii="Times New Roman" w:hAnsi="Times New Roman" w:cs="Times New Roman"/>
          <w:sz w:val="24"/>
          <w:szCs w:val="24"/>
        </w:rPr>
        <w:t xml:space="preserve"> Alam, 40170 Shah Alam, Malaysia. </w:t>
      </w:r>
    </w:p>
    <w:p w14:paraId="5335B91C" w14:textId="2B5C3D73" w:rsidR="00047E2A" w:rsidRPr="00ED2BB7" w:rsidRDefault="00C51070" w:rsidP="00ED2BB7">
      <w:pPr>
        <w:pStyle w:val="ListParagraph"/>
        <w:spacing w:after="240" w:line="240" w:lineRule="auto"/>
        <w:rPr>
          <w:rFonts w:ascii="Times New Roman" w:hAnsi="Times New Roman" w:cs="Times New Roman"/>
          <w:sz w:val="24"/>
          <w:szCs w:val="24"/>
        </w:rPr>
      </w:pPr>
      <w:r w:rsidRPr="00ED2BB7">
        <w:rPr>
          <w:rFonts w:ascii="Times New Roman" w:hAnsi="Times New Roman" w:cs="Times New Roman"/>
          <w:sz w:val="24"/>
          <w:szCs w:val="24"/>
        </w:rPr>
        <w:t>laiwh@crc.gov.my, +603 3362 8832</w:t>
      </w:r>
    </w:p>
    <w:p w14:paraId="0CAE35A1" w14:textId="77777777" w:rsidR="00BA1F98" w:rsidRPr="00ED2BB7" w:rsidRDefault="00BA1F98" w:rsidP="00ED2BB7">
      <w:pPr>
        <w:pStyle w:val="ListParagraph"/>
        <w:spacing w:after="240" w:line="240" w:lineRule="auto"/>
        <w:rPr>
          <w:rFonts w:ascii="Times New Roman" w:hAnsi="Times New Roman" w:cs="Times New Roman"/>
          <w:sz w:val="24"/>
          <w:szCs w:val="24"/>
        </w:rPr>
      </w:pPr>
    </w:p>
    <w:p w14:paraId="09210C96" w14:textId="36026EEB" w:rsidR="00C51070" w:rsidRPr="00ED2BB7" w:rsidRDefault="00C51070" w:rsidP="00ED2BB7">
      <w:pPr>
        <w:pStyle w:val="ListParagraph"/>
        <w:numPr>
          <w:ilvl w:val="0"/>
          <w:numId w:val="7"/>
        </w:numPr>
        <w:spacing w:after="240" w:line="240" w:lineRule="auto"/>
        <w:rPr>
          <w:rFonts w:ascii="Times New Roman" w:eastAsia="Times New Roman" w:hAnsi="Times New Roman" w:cs="Times New Roman"/>
          <w:sz w:val="24"/>
          <w:szCs w:val="24"/>
          <w:shd w:val="clear" w:color="auto" w:fill="FFFFFF"/>
          <w:lang w:eastAsia="en-MY"/>
        </w:rPr>
      </w:pPr>
      <w:r w:rsidRPr="00ED2BB7">
        <w:rPr>
          <w:rFonts w:ascii="Times New Roman" w:eastAsia="Times New Roman" w:hAnsi="Times New Roman" w:cs="Times New Roman"/>
          <w:sz w:val="24"/>
          <w:szCs w:val="24"/>
          <w:shd w:val="clear" w:color="auto" w:fill="FFFFFF"/>
          <w:lang w:eastAsia="en-MY"/>
        </w:rPr>
        <w:t xml:space="preserve">Hon Yoon </w:t>
      </w:r>
      <w:proofErr w:type="spellStart"/>
      <w:r w:rsidRPr="00ED2BB7">
        <w:rPr>
          <w:rFonts w:ascii="Times New Roman" w:eastAsia="Times New Roman" w:hAnsi="Times New Roman" w:cs="Times New Roman"/>
          <w:sz w:val="24"/>
          <w:szCs w:val="24"/>
          <w:shd w:val="clear" w:color="auto" w:fill="FFFFFF"/>
          <w:lang w:eastAsia="en-MY"/>
        </w:rPr>
        <w:t>Khee</w:t>
      </w:r>
      <w:proofErr w:type="spellEnd"/>
      <w:r w:rsidRPr="00ED2BB7">
        <w:rPr>
          <w:rFonts w:ascii="Times New Roman" w:eastAsia="Times New Roman" w:hAnsi="Times New Roman" w:cs="Times New Roman"/>
          <w:sz w:val="24"/>
          <w:szCs w:val="24"/>
          <w:shd w:val="clear" w:color="auto" w:fill="FFFFFF"/>
          <w:lang w:eastAsia="en-MY"/>
        </w:rPr>
        <w:t xml:space="preserve"> </w:t>
      </w:r>
    </w:p>
    <w:p w14:paraId="7E623AE7" w14:textId="655E3E23" w:rsidR="00047E2A" w:rsidRPr="00ED2BB7" w:rsidRDefault="00047E2A" w:rsidP="00ED2BB7">
      <w:pPr>
        <w:pStyle w:val="ListParagraph"/>
        <w:spacing w:after="240" w:line="240" w:lineRule="auto"/>
        <w:rPr>
          <w:rFonts w:ascii="Times New Roman" w:eastAsia="Times New Roman" w:hAnsi="Times New Roman" w:cs="Times New Roman"/>
          <w:sz w:val="24"/>
          <w:szCs w:val="24"/>
          <w:shd w:val="clear" w:color="auto" w:fill="FFFFFF"/>
          <w:lang w:eastAsia="en-MY"/>
        </w:rPr>
      </w:pPr>
      <w:r w:rsidRPr="00ED2BB7">
        <w:rPr>
          <w:rFonts w:ascii="Times New Roman" w:hAnsi="Times New Roman" w:cs="Times New Roman"/>
          <w:sz w:val="24"/>
          <w:szCs w:val="24"/>
        </w:rPr>
        <w:t>Researcher Officer</w:t>
      </w:r>
    </w:p>
    <w:p w14:paraId="25B9DABC" w14:textId="77777777" w:rsidR="00C51070" w:rsidRPr="00ED2BB7" w:rsidRDefault="00C51070" w:rsidP="00ED2BB7">
      <w:pPr>
        <w:pStyle w:val="ListParagraph"/>
        <w:spacing w:after="240" w:line="240" w:lineRule="auto"/>
        <w:rPr>
          <w:rFonts w:ascii="Times New Roman" w:eastAsia="Times New Roman" w:hAnsi="Times New Roman" w:cs="Times New Roman"/>
          <w:sz w:val="24"/>
          <w:szCs w:val="24"/>
          <w:shd w:val="clear" w:color="auto" w:fill="FFFFFF"/>
          <w:lang w:eastAsia="en-MY"/>
        </w:rPr>
      </w:pPr>
      <w:r w:rsidRPr="00ED2BB7">
        <w:rPr>
          <w:rFonts w:ascii="Times New Roman" w:eastAsia="Times New Roman" w:hAnsi="Times New Roman" w:cs="Times New Roman"/>
          <w:sz w:val="24"/>
          <w:szCs w:val="24"/>
          <w:shd w:val="clear" w:color="auto" w:fill="FFFFFF"/>
          <w:lang w:eastAsia="en-MY"/>
        </w:rPr>
        <w:t xml:space="preserve">Centre for Coordination of Clinical Research Network, Institute for Clinical Research, National Institutes of Health (NIH) Malaysia, Blok B4, </w:t>
      </w:r>
      <w:proofErr w:type="spellStart"/>
      <w:r w:rsidRPr="00ED2BB7">
        <w:rPr>
          <w:rFonts w:ascii="Times New Roman" w:eastAsia="Times New Roman" w:hAnsi="Times New Roman" w:cs="Times New Roman"/>
          <w:sz w:val="24"/>
          <w:szCs w:val="24"/>
          <w:shd w:val="clear" w:color="auto" w:fill="FFFFFF"/>
          <w:lang w:eastAsia="en-MY"/>
        </w:rPr>
        <w:t>Jalan</w:t>
      </w:r>
      <w:proofErr w:type="spellEnd"/>
      <w:r w:rsidRPr="00ED2BB7">
        <w:rPr>
          <w:rFonts w:ascii="Times New Roman" w:eastAsia="Times New Roman" w:hAnsi="Times New Roman" w:cs="Times New Roman"/>
          <w:sz w:val="24"/>
          <w:szCs w:val="24"/>
          <w:shd w:val="clear" w:color="auto" w:fill="FFFFFF"/>
          <w:lang w:eastAsia="en-MY"/>
        </w:rPr>
        <w:t xml:space="preserve"> </w:t>
      </w:r>
      <w:proofErr w:type="spellStart"/>
      <w:r w:rsidRPr="00ED2BB7">
        <w:rPr>
          <w:rFonts w:ascii="Times New Roman" w:eastAsia="Times New Roman" w:hAnsi="Times New Roman" w:cs="Times New Roman"/>
          <w:sz w:val="24"/>
          <w:szCs w:val="24"/>
          <w:shd w:val="clear" w:color="auto" w:fill="FFFFFF"/>
          <w:lang w:eastAsia="en-MY"/>
        </w:rPr>
        <w:t>Setia</w:t>
      </w:r>
      <w:proofErr w:type="spellEnd"/>
      <w:r w:rsidRPr="00ED2BB7">
        <w:rPr>
          <w:rFonts w:ascii="Times New Roman" w:eastAsia="Times New Roman" w:hAnsi="Times New Roman" w:cs="Times New Roman"/>
          <w:sz w:val="24"/>
          <w:szCs w:val="24"/>
          <w:shd w:val="clear" w:color="auto" w:fill="FFFFFF"/>
          <w:lang w:eastAsia="en-MY"/>
        </w:rPr>
        <w:t xml:space="preserve"> </w:t>
      </w:r>
      <w:proofErr w:type="spellStart"/>
      <w:r w:rsidRPr="00ED2BB7">
        <w:rPr>
          <w:rFonts w:ascii="Times New Roman" w:eastAsia="Times New Roman" w:hAnsi="Times New Roman" w:cs="Times New Roman"/>
          <w:sz w:val="24"/>
          <w:szCs w:val="24"/>
          <w:shd w:val="clear" w:color="auto" w:fill="FFFFFF"/>
          <w:lang w:eastAsia="en-MY"/>
        </w:rPr>
        <w:t>Murni</w:t>
      </w:r>
      <w:proofErr w:type="spellEnd"/>
      <w:r w:rsidRPr="00ED2BB7">
        <w:rPr>
          <w:rFonts w:ascii="Times New Roman" w:eastAsia="Times New Roman" w:hAnsi="Times New Roman" w:cs="Times New Roman"/>
          <w:sz w:val="24"/>
          <w:szCs w:val="24"/>
          <w:shd w:val="clear" w:color="auto" w:fill="FFFFFF"/>
          <w:lang w:eastAsia="en-MY"/>
        </w:rPr>
        <w:t xml:space="preserve"> U13/52, </w:t>
      </w:r>
      <w:proofErr w:type="spellStart"/>
      <w:r w:rsidRPr="00ED2BB7">
        <w:rPr>
          <w:rFonts w:ascii="Times New Roman" w:eastAsia="Times New Roman" w:hAnsi="Times New Roman" w:cs="Times New Roman"/>
          <w:sz w:val="24"/>
          <w:szCs w:val="24"/>
          <w:shd w:val="clear" w:color="auto" w:fill="FFFFFF"/>
          <w:lang w:eastAsia="en-MY"/>
        </w:rPr>
        <w:t>Seksyen</w:t>
      </w:r>
      <w:proofErr w:type="spellEnd"/>
      <w:r w:rsidRPr="00ED2BB7">
        <w:rPr>
          <w:rFonts w:ascii="Times New Roman" w:eastAsia="Times New Roman" w:hAnsi="Times New Roman" w:cs="Times New Roman"/>
          <w:sz w:val="24"/>
          <w:szCs w:val="24"/>
          <w:shd w:val="clear" w:color="auto" w:fill="FFFFFF"/>
          <w:lang w:eastAsia="en-MY"/>
        </w:rPr>
        <w:t xml:space="preserve"> U13 </w:t>
      </w:r>
      <w:proofErr w:type="spellStart"/>
      <w:r w:rsidRPr="00ED2BB7">
        <w:rPr>
          <w:rFonts w:ascii="Times New Roman" w:eastAsia="Times New Roman" w:hAnsi="Times New Roman" w:cs="Times New Roman"/>
          <w:sz w:val="24"/>
          <w:szCs w:val="24"/>
          <w:shd w:val="clear" w:color="auto" w:fill="FFFFFF"/>
          <w:lang w:eastAsia="en-MY"/>
        </w:rPr>
        <w:t>Setia</w:t>
      </w:r>
      <w:proofErr w:type="spellEnd"/>
      <w:r w:rsidRPr="00ED2BB7">
        <w:rPr>
          <w:rFonts w:ascii="Times New Roman" w:eastAsia="Times New Roman" w:hAnsi="Times New Roman" w:cs="Times New Roman"/>
          <w:sz w:val="24"/>
          <w:szCs w:val="24"/>
          <w:shd w:val="clear" w:color="auto" w:fill="FFFFFF"/>
          <w:lang w:eastAsia="en-MY"/>
        </w:rPr>
        <w:t xml:space="preserve"> Alam, 40170 Shah Alam, Malaysia. </w:t>
      </w:r>
    </w:p>
    <w:p w14:paraId="11565C00" w14:textId="77777777" w:rsidR="00C51070" w:rsidRPr="00ED2BB7" w:rsidRDefault="00C51070" w:rsidP="00ED2BB7">
      <w:pPr>
        <w:pStyle w:val="ListParagraph"/>
        <w:spacing w:after="240" w:line="240" w:lineRule="auto"/>
        <w:rPr>
          <w:rFonts w:ascii="Times New Roman" w:hAnsi="Times New Roman" w:cs="Times New Roman"/>
          <w:sz w:val="24"/>
          <w:szCs w:val="24"/>
        </w:rPr>
      </w:pPr>
      <w:r w:rsidRPr="00ED2BB7">
        <w:rPr>
          <w:rFonts w:ascii="Times New Roman" w:hAnsi="Times New Roman" w:cs="Times New Roman"/>
          <w:sz w:val="24"/>
          <w:szCs w:val="24"/>
        </w:rPr>
        <w:t>honyoonkhee@crc.moh.gov.my</w:t>
      </w:r>
    </w:p>
    <w:p w14:paraId="2AF5E771" w14:textId="77777777" w:rsidR="00C51070" w:rsidRPr="00ED2BB7" w:rsidRDefault="00C51070" w:rsidP="00ED2BB7">
      <w:pPr>
        <w:pStyle w:val="ListParagraph"/>
        <w:spacing w:after="240" w:line="240" w:lineRule="auto"/>
        <w:rPr>
          <w:rFonts w:ascii="Times New Roman" w:eastAsia="Times New Roman" w:hAnsi="Times New Roman" w:cs="Times New Roman"/>
          <w:sz w:val="24"/>
          <w:szCs w:val="24"/>
          <w:shd w:val="clear" w:color="auto" w:fill="FFFFFF"/>
          <w:lang w:eastAsia="en-MY"/>
        </w:rPr>
      </w:pPr>
    </w:p>
    <w:p w14:paraId="5DA68B76" w14:textId="1F5F47A3" w:rsidR="00A7552F" w:rsidRDefault="00A7552F" w:rsidP="00ED2BB7">
      <w:pPr>
        <w:pStyle w:val="ListParagraph"/>
        <w:numPr>
          <w:ilvl w:val="0"/>
          <w:numId w:val="7"/>
        </w:numPr>
        <w:spacing w:after="240" w:line="240" w:lineRule="auto"/>
        <w:rPr>
          <w:rFonts w:ascii="Times New Roman" w:hAnsi="Times New Roman" w:cs="Times New Roman"/>
          <w:sz w:val="24"/>
          <w:szCs w:val="24"/>
        </w:rPr>
      </w:pPr>
      <w:proofErr w:type="spellStart"/>
      <w:r w:rsidRPr="00A7552F">
        <w:rPr>
          <w:rFonts w:ascii="Times New Roman" w:hAnsi="Times New Roman" w:cs="Times New Roman"/>
          <w:sz w:val="24"/>
          <w:szCs w:val="24"/>
        </w:rPr>
        <w:t>Norizan</w:t>
      </w:r>
      <w:proofErr w:type="spellEnd"/>
      <w:r w:rsidRPr="00A7552F">
        <w:rPr>
          <w:rFonts w:ascii="Times New Roman" w:hAnsi="Times New Roman" w:cs="Times New Roman"/>
          <w:sz w:val="24"/>
          <w:szCs w:val="24"/>
        </w:rPr>
        <w:t xml:space="preserve"> </w:t>
      </w:r>
      <w:proofErr w:type="spellStart"/>
      <w:r w:rsidRPr="00A7552F">
        <w:rPr>
          <w:rFonts w:ascii="Times New Roman" w:hAnsi="Times New Roman" w:cs="Times New Roman"/>
          <w:sz w:val="24"/>
          <w:szCs w:val="24"/>
        </w:rPr>
        <w:t>Rosli</w:t>
      </w:r>
      <w:proofErr w:type="spellEnd"/>
    </w:p>
    <w:p w14:paraId="76BBBDB4" w14:textId="1B69A4EB" w:rsidR="00A7552F" w:rsidRDefault="00A7552F" w:rsidP="00A7552F">
      <w:pPr>
        <w:pStyle w:val="ListParagraph"/>
        <w:spacing w:after="240" w:line="240" w:lineRule="auto"/>
        <w:rPr>
          <w:rFonts w:ascii="Times New Roman" w:hAnsi="Times New Roman" w:cs="Times New Roman"/>
          <w:sz w:val="24"/>
          <w:szCs w:val="24"/>
        </w:rPr>
      </w:pPr>
      <w:r w:rsidRPr="00ED2BB7">
        <w:rPr>
          <w:rFonts w:ascii="Times New Roman" w:hAnsi="Times New Roman" w:cs="Times New Roman"/>
          <w:sz w:val="24"/>
          <w:szCs w:val="24"/>
        </w:rPr>
        <w:t>Medical Officer</w:t>
      </w:r>
    </w:p>
    <w:p w14:paraId="350FE9B6" w14:textId="77777777" w:rsidR="00A7552F" w:rsidRPr="00ED2BB7" w:rsidRDefault="00A7552F" w:rsidP="00A7552F">
      <w:pPr>
        <w:pStyle w:val="ListParagraph"/>
        <w:spacing w:after="240" w:line="240" w:lineRule="auto"/>
        <w:rPr>
          <w:rFonts w:ascii="Times New Roman" w:hAnsi="Times New Roman" w:cs="Times New Roman"/>
          <w:sz w:val="24"/>
          <w:szCs w:val="24"/>
        </w:rPr>
      </w:pPr>
      <w:r w:rsidRPr="00ED2BB7">
        <w:rPr>
          <w:rFonts w:ascii="Times New Roman" w:hAnsi="Times New Roman" w:cs="Times New Roman"/>
          <w:sz w:val="24"/>
          <w:szCs w:val="24"/>
        </w:rPr>
        <w:t xml:space="preserve">Centre for Coordination of Clinical Research Network, Institute for Clinical Research, National Institutes of Health (NIH) Malaysia, Blok B4, </w:t>
      </w:r>
      <w:proofErr w:type="spellStart"/>
      <w:r w:rsidRPr="00ED2BB7">
        <w:rPr>
          <w:rFonts w:ascii="Times New Roman" w:hAnsi="Times New Roman" w:cs="Times New Roman"/>
          <w:sz w:val="24"/>
          <w:szCs w:val="24"/>
        </w:rPr>
        <w:t>Jalan</w:t>
      </w:r>
      <w:proofErr w:type="spellEnd"/>
      <w:r w:rsidRPr="00ED2BB7">
        <w:rPr>
          <w:rFonts w:ascii="Times New Roman" w:hAnsi="Times New Roman" w:cs="Times New Roman"/>
          <w:sz w:val="24"/>
          <w:szCs w:val="24"/>
        </w:rPr>
        <w:t xml:space="preserve"> </w:t>
      </w:r>
      <w:proofErr w:type="spellStart"/>
      <w:r w:rsidRPr="00ED2BB7">
        <w:rPr>
          <w:rFonts w:ascii="Times New Roman" w:hAnsi="Times New Roman" w:cs="Times New Roman"/>
          <w:sz w:val="24"/>
          <w:szCs w:val="24"/>
        </w:rPr>
        <w:t>Setia</w:t>
      </w:r>
      <w:proofErr w:type="spellEnd"/>
      <w:r w:rsidRPr="00ED2BB7">
        <w:rPr>
          <w:rFonts w:ascii="Times New Roman" w:hAnsi="Times New Roman" w:cs="Times New Roman"/>
          <w:sz w:val="24"/>
          <w:szCs w:val="24"/>
        </w:rPr>
        <w:t xml:space="preserve"> </w:t>
      </w:r>
      <w:proofErr w:type="spellStart"/>
      <w:r w:rsidRPr="00ED2BB7">
        <w:rPr>
          <w:rFonts w:ascii="Times New Roman" w:hAnsi="Times New Roman" w:cs="Times New Roman"/>
          <w:sz w:val="24"/>
          <w:szCs w:val="24"/>
        </w:rPr>
        <w:t>Murni</w:t>
      </w:r>
      <w:proofErr w:type="spellEnd"/>
      <w:r w:rsidRPr="00ED2BB7">
        <w:rPr>
          <w:rFonts w:ascii="Times New Roman" w:hAnsi="Times New Roman" w:cs="Times New Roman"/>
          <w:sz w:val="24"/>
          <w:szCs w:val="24"/>
        </w:rPr>
        <w:t xml:space="preserve"> U13/52, </w:t>
      </w:r>
      <w:proofErr w:type="spellStart"/>
      <w:r w:rsidRPr="00ED2BB7">
        <w:rPr>
          <w:rFonts w:ascii="Times New Roman" w:hAnsi="Times New Roman" w:cs="Times New Roman"/>
          <w:sz w:val="24"/>
          <w:szCs w:val="24"/>
        </w:rPr>
        <w:t>Seksyen</w:t>
      </w:r>
      <w:proofErr w:type="spellEnd"/>
      <w:r w:rsidRPr="00ED2BB7">
        <w:rPr>
          <w:rFonts w:ascii="Times New Roman" w:hAnsi="Times New Roman" w:cs="Times New Roman"/>
          <w:sz w:val="24"/>
          <w:szCs w:val="24"/>
        </w:rPr>
        <w:t xml:space="preserve"> U13 </w:t>
      </w:r>
      <w:proofErr w:type="spellStart"/>
      <w:r w:rsidRPr="00ED2BB7">
        <w:rPr>
          <w:rFonts w:ascii="Times New Roman" w:hAnsi="Times New Roman" w:cs="Times New Roman"/>
          <w:sz w:val="24"/>
          <w:szCs w:val="24"/>
        </w:rPr>
        <w:t>Setia</w:t>
      </w:r>
      <w:proofErr w:type="spellEnd"/>
      <w:r w:rsidRPr="00ED2BB7">
        <w:rPr>
          <w:rFonts w:ascii="Times New Roman" w:hAnsi="Times New Roman" w:cs="Times New Roman"/>
          <w:sz w:val="24"/>
          <w:szCs w:val="24"/>
        </w:rPr>
        <w:t xml:space="preserve"> Alam, 40170 Shah Alam, Malaysia. </w:t>
      </w:r>
    </w:p>
    <w:p w14:paraId="3EE88F08" w14:textId="0EA810C3" w:rsidR="00A7552F" w:rsidRPr="00A7552F" w:rsidRDefault="00A7552F" w:rsidP="00A7552F">
      <w:pPr>
        <w:pStyle w:val="ListParagraph"/>
        <w:spacing w:after="240" w:line="240" w:lineRule="auto"/>
        <w:rPr>
          <w:rFonts w:ascii="Times New Roman" w:hAnsi="Times New Roman" w:cs="Times New Roman"/>
          <w:sz w:val="24"/>
          <w:szCs w:val="24"/>
        </w:rPr>
      </w:pPr>
      <w:r>
        <w:rPr>
          <w:rFonts w:ascii="Times New Roman" w:hAnsi="Times New Roman" w:cs="Times New Roman"/>
          <w:sz w:val="24"/>
          <w:szCs w:val="24"/>
        </w:rPr>
        <w:t>norizan</w:t>
      </w:r>
      <w:r w:rsidRPr="00ED2BB7">
        <w:rPr>
          <w:rFonts w:ascii="Times New Roman" w:hAnsi="Times New Roman" w:cs="Times New Roman"/>
          <w:sz w:val="24"/>
          <w:szCs w:val="24"/>
        </w:rPr>
        <w:t>@crc.gov.my</w:t>
      </w:r>
    </w:p>
    <w:p w14:paraId="254BFD4D" w14:textId="77777777" w:rsidR="00A7552F" w:rsidRDefault="00A7552F" w:rsidP="00A7552F">
      <w:pPr>
        <w:pStyle w:val="ListParagraph"/>
        <w:spacing w:after="240" w:line="240" w:lineRule="auto"/>
        <w:rPr>
          <w:rFonts w:ascii="Times New Roman" w:hAnsi="Times New Roman" w:cs="Times New Roman"/>
          <w:sz w:val="24"/>
          <w:szCs w:val="24"/>
        </w:rPr>
      </w:pPr>
    </w:p>
    <w:p w14:paraId="4D3FE38B" w14:textId="41A47843" w:rsidR="00C51070" w:rsidRPr="00ED2BB7" w:rsidRDefault="00C51070" w:rsidP="00ED2BB7">
      <w:pPr>
        <w:pStyle w:val="ListParagraph"/>
        <w:numPr>
          <w:ilvl w:val="0"/>
          <w:numId w:val="7"/>
        </w:numPr>
        <w:spacing w:after="240" w:line="240" w:lineRule="auto"/>
        <w:rPr>
          <w:rFonts w:ascii="Times New Roman" w:hAnsi="Times New Roman" w:cs="Times New Roman"/>
          <w:sz w:val="24"/>
          <w:szCs w:val="24"/>
        </w:rPr>
      </w:pPr>
      <w:proofErr w:type="spellStart"/>
      <w:r w:rsidRPr="00ED2BB7">
        <w:rPr>
          <w:rFonts w:ascii="Times New Roman" w:hAnsi="Times New Roman" w:cs="Times New Roman"/>
          <w:sz w:val="24"/>
          <w:szCs w:val="24"/>
        </w:rPr>
        <w:t>Nur</w:t>
      </w:r>
      <w:proofErr w:type="spellEnd"/>
      <w:r w:rsidRPr="00ED2BB7">
        <w:rPr>
          <w:rFonts w:ascii="Times New Roman" w:hAnsi="Times New Roman" w:cs="Times New Roman"/>
          <w:sz w:val="24"/>
          <w:szCs w:val="24"/>
        </w:rPr>
        <w:t xml:space="preserve"> </w:t>
      </w:r>
      <w:proofErr w:type="spellStart"/>
      <w:r w:rsidRPr="00ED2BB7">
        <w:rPr>
          <w:rFonts w:ascii="Times New Roman" w:hAnsi="Times New Roman" w:cs="Times New Roman"/>
          <w:sz w:val="24"/>
          <w:szCs w:val="24"/>
        </w:rPr>
        <w:t>Khairul</w:t>
      </w:r>
      <w:proofErr w:type="spellEnd"/>
      <w:r w:rsidRPr="00ED2BB7">
        <w:rPr>
          <w:rFonts w:ascii="Times New Roman" w:hAnsi="Times New Roman" w:cs="Times New Roman"/>
          <w:sz w:val="24"/>
          <w:szCs w:val="24"/>
        </w:rPr>
        <w:t xml:space="preserve"> </w:t>
      </w:r>
      <w:proofErr w:type="spellStart"/>
      <w:r w:rsidRPr="00ED2BB7">
        <w:rPr>
          <w:rFonts w:ascii="Times New Roman" w:hAnsi="Times New Roman" w:cs="Times New Roman"/>
          <w:sz w:val="24"/>
          <w:szCs w:val="24"/>
        </w:rPr>
        <w:t>Bariyyah</w:t>
      </w:r>
      <w:proofErr w:type="spellEnd"/>
      <w:r w:rsidRPr="00ED2BB7">
        <w:rPr>
          <w:rFonts w:ascii="Times New Roman" w:hAnsi="Times New Roman" w:cs="Times New Roman"/>
          <w:sz w:val="24"/>
          <w:szCs w:val="24"/>
        </w:rPr>
        <w:t xml:space="preserve"> </w:t>
      </w:r>
      <w:proofErr w:type="spellStart"/>
      <w:r w:rsidRPr="00ED2BB7">
        <w:rPr>
          <w:rFonts w:ascii="Times New Roman" w:hAnsi="Times New Roman" w:cs="Times New Roman"/>
          <w:sz w:val="24"/>
          <w:szCs w:val="24"/>
        </w:rPr>
        <w:t>Mohd</w:t>
      </w:r>
      <w:proofErr w:type="spellEnd"/>
      <w:r w:rsidRPr="00ED2BB7">
        <w:rPr>
          <w:rFonts w:ascii="Times New Roman" w:hAnsi="Times New Roman" w:cs="Times New Roman"/>
          <w:sz w:val="24"/>
          <w:szCs w:val="24"/>
        </w:rPr>
        <w:t xml:space="preserve"> </w:t>
      </w:r>
      <w:proofErr w:type="spellStart"/>
      <w:r w:rsidRPr="00ED2BB7">
        <w:rPr>
          <w:rFonts w:ascii="Times New Roman" w:hAnsi="Times New Roman" w:cs="Times New Roman"/>
          <w:sz w:val="24"/>
          <w:szCs w:val="24"/>
        </w:rPr>
        <w:t>Hatta</w:t>
      </w:r>
      <w:proofErr w:type="spellEnd"/>
      <w:r w:rsidRPr="00ED2BB7">
        <w:rPr>
          <w:rFonts w:ascii="Times New Roman" w:hAnsi="Times New Roman" w:cs="Times New Roman"/>
          <w:sz w:val="24"/>
          <w:szCs w:val="24"/>
        </w:rPr>
        <w:t xml:space="preserve"> </w:t>
      </w:r>
    </w:p>
    <w:p w14:paraId="40840201" w14:textId="641D25CC" w:rsidR="00C51070" w:rsidRPr="00ED2BB7" w:rsidRDefault="00C51070" w:rsidP="00ED2BB7">
      <w:pPr>
        <w:pStyle w:val="ListParagraph"/>
        <w:spacing w:after="240" w:line="240" w:lineRule="auto"/>
        <w:rPr>
          <w:rFonts w:ascii="Times New Roman" w:hAnsi="Times New Roman" w:cs="Times New Roman"/>
          <w:sz w:val="24"/>
          <w:szCs w:val="24"/>
        </w:rPr>
      </w:pPr>
      <w:r w:rsidRPr="00ED2BB7">
        <w:rPr>
          <w:rFonts w:ascii="Times New Roman" w:hAnsi="Times New Roman" w:cs="Times New Roman"/>
          <w:sz w:val="24"/>
          <w:szCs w:val="24"/>
        </w:rPr>
        <w:t>Researcher Officer</w:t>
      </w:r>
    </w:p>
    <w:p w14:paraId="234DBBDA" w14:textId="77777777" w:rsidR="00C51070" w:rsidRPr="00ED2BB7" w:rsidRDefault="00C51070" w:rsidP="00ED2BB7">
      <w:pPr>
        <w:pStyle w:val="ListParagraph"/>
        <w:spacing w:after="240" w:line="240" w:lineRule="auto"/>
        <w:rPr>
          <w:rFonts w:ascii="Times New Roman" w:hAnsi="Times New Roman" w:cs="Times New Roman"/>
          <w:sz w:val="24"/>
          <w:szCs w:val="24"/>
        </w:rPr>
      </w:pPr>
      <w:r w:rsidRPr="00ED2BB7">
        <w:rPr>
          <w:rFonts w:ascii="Times New Roman" w:hAnsi="Times New Roman" w:cs="Times New Roman"/>
          <w:sz w:val="24"/>
          <w:szCs w:val="24"/>
        </w:rPr>
        <w:t xml:space="preserve">Centre for Coordination of Clinical Research Network, Institute for Clinical Research, National Institutes of Health (NIH) Malaysia, Blok B4, </w:t>
      </w:r>
      <w:proofErr w:type="spellStart"/>
      <w:r w:rsidRPr="00ED2BB7">
        <w:rPr>
          <w:rFonts w:ascii="Times New Roman" w:hAnsi="Times New Roman" w:cs="Times New Roman"/>
          <w:sz w:val="24"/>
          <w:szCs w:val="24"/>
        </w:rPr>
        <w:t>Jalan</w:t>
      </w:r>
      <w:proofErr w:type="spellEnd"/>
      <w:r w:rsidRPr="00ED2BB7">
        <w:rPr>
          <w:rFonts w:ascii="Times New Roman" w:hAnsi="Times New Roman" w:cs="Times New Roman"/>
          <w:sz w:val="24"/>
          <w:szCs w:val="24"/>
        </w:rPr>
        <w:t xml:space="preserve"> </w:t>
      </w:r>
      <w:proofErr w:type="spellStart"/>
      <w:r w:rsidRPr="00ED2BB7">
        <w:rPr>
          <w:rFonts w:ascii="Times New Roman" w:hAnsi="Times New Roman" w:cs="Times New Roman"/>
          <w:sz w:val="24"/>
          <w:szCs w:val="24"/>
        </w:rPr>
        <w:t>Setia</w:t>
      </w:r>
      <w:proofErr w:type="spellEnd"/>
      <w:r w:rsidRPr="00ED2BB7">
        <w:rPr>
          <w:rFonts w:ascii="Times New Roman" w:hAnsi="Times New Roman" w:cs="Times New Roman"/>
          <w:sz w:val="24"/>
          <w:szCs w:val="24"/>
        </w:rPr>
        <w:t xml:space="preserve"> </w:t>
      </w:r>
      <w:proofErr w:type="spellStart"/>
      <w:r w:rsidRPr="00ED2BB7">
        <w:rPr>
          <w:rFonts w:ascii="Times New Roman" w:hAnsi="Times New Roman" w:cs="Times New Roman"/>
          <w:sz w:val="24"/>
          <w:szCs w:val="24"/>
        </w:rPr>
        <w:t>Murni</w:t>
      </w:r>
      <w:proofErr w:type="spellEnd"/>
      <w:r w:rsidRPr="00ED2BB7">
        <w:rPr>
          <w:rFonts w:ascii="Times New Roman" w:hAnsi="Times New Roman" w:cs="Times New Roman"/>
          <w:sz w:val="24"/>
          <w:szCs w:val="24"/>
        </w:rPr>
        <w:t xml:space="preserve"> U13/52, </w:t>
      </w:r>
      <w:proofErr w:type="spellStart"/>
      <w:r w:rsidRPr="00ED2BB7">
        <w:rPr>
          <w:rFonts w:ascii="Times New Roman" w:hAnsi="Times New Roman" w:cs="Times New Roman"/>
          <w:sz w:val="24"/>
          <w:szCs w:val="24"/>
        </w:rPr>
        <w:t>Seksyen</w:t>
      </w:r>
      <w:proofErr w:type="spellEnd"/>
      <w:r w:rsidRPr="00ED2BB7">
        <w:rPr>
          <w:rFonts w:ascii="Times New Roman" w:hAnsi="Times New Roman" w:cs="Times New Roman"/>
          <w:sz w:val="24"/>
          <w:szCs w:val="24"/>
        </w:rPr>
        <w:t xml:space="preserve"> U13 </w:t>
      </w:r>
      <w:proofErr w:type="spellStart"/>
      <w:r w:rsidRPr="00ED2BB7">
        <w:rPr>
          <w:rFonts w:ascii="Times New Roman" w:hAnsi="Times New Roman" w:cs="Times New Roman"/>
          <w:sz w:val="24"/>
          <w:szCs w:val="24"/>
        </w:rPr>
        <w:t>Setia</w:t>
      </w:r>
      <w:proofErr w:type="spellEnd"/>
      <w:r w:rsidRPr="00ED2BB7">
        <w:rPr>
          <w:rFonts w:ascii="Times New Roman" w:hAnsi="Times New Roman" w:cs="Times New Roman"/>
          <w:sz w:val="24"/>
          <w:szCs w:val="24"/>
        </w:rPr>
        <w:t xml:space="preserve"> Alam, 40170 Shah Alam, Malaysia. </w:t>
      </w:r>
    </w:p>
    <w:p w14:paraId="782C6BB7" w14:textId="5FFC0397" w:rsidR="00C51070" w:rsidRPr="00ED2BB7" w:rsidRDefault="00C51070" w:rsidP="00ED2BB7">
      <w:pPr>
        <w:pStyle w:val="ListParagraph"/>
        <w:spacing w:after="240" w:line="240" w:lineRule="auto"/>
        <w:rPr>
          <w:rFonts w:ascii="Times New Roman" w:hAnsi="Times New Roman" w:cs="Times New Roman"/>
          <w:sz w:val="24"/>
          <w:szCs w:val="24"/>
        </w:rPr>
      </w:pPr>
      <w:r w:rsidRPr="00ED2BB7">
        <w:rPr>
          <w:rFonts w:ascii="Times New Roman" w:hAnsi="Times New Roman" w:cs="Times New Roman"/>
          <w:sz w:val="24"/>
          <w:szCs w:val="24"/>
        </w:rPr>
        <w:t>nurkhairul@crc.moh.gov.my</w:t>
      </w:r>
    </w:p>
    <w:p w14:paraId="138F00DA" w14:textId="5B2D3D4C" w:rsidR="00047E2A" w:rsidRPr="00ED2BB7" w:rsidRDefault="00047E2A" w:rsidP="00ED2BB7">
      <w:pPr>
        <w:pStyle w:val="ListParagraph"/>
        <w:spacing w:after="240" w:line="240" w:lineRule="auto"/>
        <w:rPr>
          <w:rFonts w:ascii="Times New Roman" w:hAnsi="Times New Roman" w:cs="Times New Roman"/>
          <w:sz w:val="24"/>
          <w:szCs w:val="24"/>
        </w:rPr>
      </w:pPr>
    </w:p>
    <w:p w14:paraId="081D091E" w14:textId="05E95083" w:rsidR="00C51070" w:rsidRPr="00ED2BB7" w:rsidRDefault="00C51070" w:rsidP="00ED2BB7">
      <w:pPr>
        <w:pStyle w:val="ListParagraph"/>
        <w:numPr>
          <w:ilvl w:val="0"/>
          <w:numId w:val="7"/>
        </w:numPr>
        <w:spacing w:after="240" w:line="240" w:lineRule="auto"/>
        <w:rPr>
          <w:rFonts w:ascii="Times New Roman" w:hAnsi="Times New Roman" w:cs="Times New Roman"/>
          <w:sz w:val="24"/>
          <w:szCs w:val="24"/>
        </w:rPr>
      </w:pPr>
      <w:r w:rsidRPr="00ED2BB7">
        <w:rPr>
          <w:rFonts w:ascii="Times New Roman" w:hAnsi="Times New Roman" w:cs="Times New Roman"/>
          <w:sz w:val="24"/>
          <w:szCs w:val="24"/>
        </w:rPr>
        <w:t xml:space="preserve">On </w:t>
      </w:r>
      <w:proofErr w:type="spellStart"/>
      <w:r w:rsidRPr="00ED2BB7">
        <w:rPr>
          <w:rFonts w:ascii="Times New Roman" w:hAnsi="Times New Roman" w:cs="Times New Roman"/>
          <w:sz w:val="24"/>
          <w:szCs w:val="24"/>
        </w:rPr>
        <w:t>Yue</w:t>
      </w:r>
      <w:proofErr w:type="spellEnd"/>
      <w:r w:rsidRPr="00ED2BB7">
        <w:rPr>
          <w:rFonts w:ascii="Times New Roman" w:hAnsi="Times New Roman" w:cs="Times New Roman"/>
          <w:sz w:val="24"/>
          <w:szCs w:val="24"/>
        </w:rPr>
        <w:t xml:space="preserve"> Yuan </w:t>
      </w:r>
    </w:p>
    <w:p w14:paraId="4D3547C1" w14:textId="0BBEBA0D" w:rsidR="00047E2A" w:rsidRPr="00ED2BB7" w:rsidRDefault="00C51070" w:rsidP="00ED2BB7">
      <w:pPr>
        <w:pStyle w:val="ListParagraph"/>
        <w:spacing w:after="240" w:line="240" w:lineRule="auto"/>
        <w:rPr>
          <w:rFonts w:ascii="Times New Roman" w:hAnsi="Times New Roman" w:cs="Times New Roman"/>
          <w:sz w:val="24"/>
          <w:szCs w:val="24"/>
          <w:lang w:val="en-US"/>
        </w:rPr>
      </w:pPr>
      <w:r w:rsidRPr="00ED2BB7">
        <w:rPr>
          <w:rFonts w:ascii="Times New Roman" w:hAnsi="Times New Roman" w:cs="Times New Roman"/>
          <w:sz w:val="24"/>
          <w:szCs w:val="24"/>
          <w:lang w:val="en-US"/>
        </w:rPr>
        <w:t>Faculty of Science, University of Malaya, 50603, Kuala Lumpur, Malaysia.</w:t>
      </w:r>
    </w:p>
    <w:p w14:paraId="2EF44C5B" w14:textId="77777777" w:rsidR="00BA1F98" w:rsidRPr="00ED2BB7" w:rsidRDefault="00BA1F98" w:rsidP="00ED2BB7">
      <w:pPr>
        <w:pStyle w:val="ListParagraph"/>
        <w:spacing w:after="240" w:line="240" w:lineRule="auto"/>
        <w:rPr>
          <w:rFonts w:ascii="Times New Roman" w:hAnsi="Times New Roman" w:cs="Times New Roman"/>
          <w:sz w:val="24"/>
          <w:szCs w:val="24"/>
          <w:lang w:val="en-US"/>
        </w:rPr>
      </w:pPr>
    </w:p>
    <w:p w14:paraId="25DD4324" w14:textId="3945526D" w:rsidR="00C51070" w:rsidRPr="00ED2BB7" w:rsidRDefault="00C51070" w:rsidP="00ED2BB7">
      <w:pPr>
        <w:pStyle w:val="ListParagraph"/>
        <w:numPr>
          <w:ilvl w:val="0"/>
          <w:numId w:val="7"/>
        </w:numPr>
        <w:spacing w:after="240" w:line="240" w:lineRule="auto"/>
        <w:rPr>
          <w:rFonts w:ascii="Times New Roman" w:hAnsi="Times New Roman" w:cs="Times New Roman"/>
          <w:sz w:val="24"/>
          <w:szCs w:val="24"/>
        </w:rPr>
      </w:pPr>
      <w:proofErr w:type="spellStart"/>
      <w:r w:rsidRPr="00ED2BB7">
        <w:rPr>
          <w:rFonts w:ascii="Times New Roman" w:hAnsi="Times New Roman" w:cs="Times New Roman"/>
          <w:sz w:val="24"/>
          <w:szCs w:val="24"/>
        </w:rPr>
        <w:t>Nurzaleika</w:t>
      </w:r>
      <w:proofErr w:type="spellEnd"/>
      <w:r w:rsidRPr="00ED2BB7">
        <w:rPr>
          <w:rFonts w:ascii="Times New Roman" w:hAnsi="Times New Roman" w:cs="Times New Roman"/>
          <w:sz w:val="24"/>
          <w:szCs w:val="24"/>
        </w:rPr>
        <w:t xml:space="preserve"> </w:t>
      </w:r>
      <w:proofErr w:type="spellStart"/>
      <w:r w:rsidRPr="00ED2BB7">
        <w:rPr>
          <w:rFonts w:ascii="Times New Roman" w:hAnsi="Times New Roman" w:cs="Times New Roman"/>
          <w:sz w:val="24"/>
          <w:szCs w:val="24"/>
        </w:rPr>
        <w:t>Tendot</w:t>
      </w:r>
      <w:proofErr w:type="spellEnd"/>
      <w:r w:rsidRPr="00ED2BB7">
        <w:rPr>
          <w:rFonts w:ascii="Times New Roman" w:hAnsi="Times New Roman" w:cs="Times New Roman"/>
          <w:sz w:val="24"/>
          <w:szCs w:val="24"/>
        </w:rPr>
        <w:t xml:space="preserve"> </w:t>
      </w:r>
      <w:proofErr w:type="spellStart"/>
      <w:r w:rsidRPr="00ED2BB7">
        <w:rPr>
          <w:rFonts w:ascii="Times New Roman" w:hAnsi="Times New Roman" w:cs="Times New Roman"/>
          <w:sz w:val="24"/>
          <w:szCs w:val="24"/>
        </w:rPr>
        <w:t>Zakaria</w:t>
      </w:r>
      <w:proofErr w:type="spellEnd"/>
      <w:r w:rsidRPr="00ED2BB7">
        <w:rPr>
          <w:rFonts w:ascii="Times New Roman" w:hAnsi="Times New Roman" w:cs="Times New Roman"/>
          <w:sz w:val="24"/>
          <w:szCs w:val="24"/>
        </w:rPr>
        <w:t xml:space="preserve"> </w:t>
      </w:r>
    </w:p>
    <w:p w14:paraId="1DA3241C" w14:textId="77777777" w:rsidR="00C51070" w:rsidRPr="00ED2BB7" w:rsidRDefault="00C51070" w:rsidP="00ED2BB7">
      <w:pPr>
        <w:pStyle w:val="ListParagraph"/>
        <w:spacing w:after="240" w:line="240" w:lineRule="auto"/>
        <w:rPr>
          <w:rFonts w:ascii="Times New Roman" w:hAnsi="Times New Roman" w:cs="Times New Roman"/>
          <w:sz w:val="24"/>
          <w:szCs w:val="24"/>
        </w:rPr>
      </w:pPr>
      <w:r w:rsidRPr="00ED2BB7">
        <w:rPr>
          <w:rFonts w:ascii="Times New Roman" w:hAnsi="Times New Roman" w:cs="Times New Roman"/>
          <w:sz w:val="24"/>
          <w:szCs w:val="24"/>
        </w:rPr>
        <w:t>Medical Officer</w:t>
      </w:r>
    </w:p>
    <w:p w14:paraId="3377FFF5" w14:textId="3A13734A" w:rsidR="00C51070" w:rsidRPr="00ED2BB7" w:rsidRDefault="00C51070" w:rsidP="00ED2BB7">
      <w:pPr>
        <w:pStyle w:val="ListParagraph"/>
        <w:spacing w:after="240" w:line="240" w:lineRule="auto"/>
        <w:rPr>
          <w:rFonts w:ascii="Times New Roman" w:hAnsi="Times New Roman" w:cs="Times New Roman"/>
          <w:sz w:val="24"/>
          <w:szCs w:val="24"/>
        </w:rPr>
      </w:pPr>
      <w:r w:rsidRPr="00ED2BB7">
        <w:rPr>
          <w:rFonts w:ascii="Times New Roman" w:hAnsi="Times New Roman" w:cs="Times New Roman"/>
          <w:sz w:val="24"/>
          <w:szCs w:val="24"/>
        </w:rPr>
        <w:t xml:space="preserve">Medical Research Ethics Committee, Ministry of Health c/o Institute for Health Management, </w:t>
      </w:r>
      <w:proofErr w:type="spellStart"/>
      <w:r w:rsidRPr="00ED2BB7">
        <w:rPr>
          <w:rFonts w:ascii="Times New Roman" w:hAnsi="Times New Roman" w:cs="Times New Roman"/>
          <w:sz w:val="24"/>
          <w:szCs w:val="24"/>
        </w:rPr>
        <w:t>Jalan</w:t>
      </w:r>
      <w:proofErr w:type="spellEnd"/>
      <w:r w:rsidRPr="00ED2BB7">
        <w:rPr>
          <w:rFonts w:ascii="Times New Roman" w:hAnsi="Times New Roman" w:cs="Times New Roman"/>
          <w:sz w:val="24"/>
          <w:szCs w:val="24"/>
        </w:rPr>
        <w:t xml:space="preserve"> </w:t>
      </w:r>
      <w:proofErr w:type="spellStart"/>
      <w:r w:rsidRPr="00ED2BB7">
        <w:rPr>
          <w:rFonts w:ascii="Times New Roman" w:hAnsi="Times New Roman" w:cs="Times New Roman"/>
          <w:sz w:val="24"/>
          <w:szCs w:val="24"/>
        </w:rPr>
        <w:t>Rumah</w:t>
      </w:r>
      <w:proofErr w:type="spellEnd"/>
      <w:r w:rsidRPr="00ED2BB7">
        <w:rPr>
          <w:rFonts w:ascii="Times New Roman" w:hAnsi="Times New Roman" w:cs="Times New Roman"/>
          <w:sz w:val="24"/>
          <w:szCs w:val="24"/>
        </w:rPr>
        <w:t xml:space="preserve"> </w:t>
      </w:r>
      <w:proofErr w:type="spellStart"/>
      <w:r w:rsidRPr="00ED2BB7">
        <w:rPr>
          <w:rFonts w:ascii="Times New Roman" w:hAnsi="Times New Roman" w:cs="Times New Roman"/>
          <w:sz w:val="24"/>
          <w:szCs w:val="24"/>
        </w:rPr>
        <w:t>Sakit</w:t>
      </w:r>
      <w:proofErr w:type="spellEnd"/>
      <w:r w:rsidRPr="00ED2BB7">
        <w:rPr>
          <w:rFonts w:ascii="Times New Roman" w:hAnsi="Times New Roman" w:cs="Times New Roman"/>
          <w:sz w:val="24"/>
          <w:szCs w:val="24"/>
        </w:rPr>
        <w:t xml:space="preserve"> </w:t>
      </w:r>
      <w:proofErr w:type="spellStart"/>
      <w:r w:rsidRPr="00ED2BB7">
        <w:rPr>
          <w:rFonts w:ascii="Times New Roman" w:hAnsi="Times New Roman" w:cs="Times New Roman"/>
          <w:sz w:val="24"/>
          <w:szCs w:val="24"/>
        </w:rPr>
        <w:t>Bangsar</w:t>
      </w:r>
      <w:proofErr w:type="spellEnd"/>
      <w:r w:rsidRPr="00ED2BB7">
        <w:rPr>
          <w:rFonts w:ascii="Times New Roman" w:hAnsi="Times New Roman" w:cs="Times New Roman"/>
          <w:sz w:val="24"/>
          <w:szCs w:val="24"/>
        </w:rPr>
        <w:t>, 59000, Kuala Lumpur, Malaysia.</w:t>
      </w:r>
    </w:p>
    <w:p w14:paraId="173AC357" w14:textId="77777777" w:rsidR="00BA1F98" w:rsidRPr="00ED2BB7" w:rsidRDefault="00BA1F98" w:rsidP="00ED2BB7">
      <w:pPr>
        <w:pStyle w:val="ListParagraph"/>
        <w:spacing w:after="240" w:line="240" w:lineRule="auto"/>
        <w:rPr>
          <w:rFonts w:ascii="Times New Roman" w:hAnsi="Times New Roman" w:cs="Times New Roman"/>
          <w:sz w:val="24"/>
          <w:szCs w:val="24"/>
        </w:rPr>
      </w:pPr>
    </w:p>
    <w:p w14:paraId="0DD8AB42" w14:textId="77777777" w:rsidR="00C51070" w:rsidRPr="00ED2BB7" w:rsidRDefault="00C51070" w:rsidP="00ED2BB7">
      <w:pPr>
        <w:pStyle w:val="ListParagraph"/>
        <w:numPr>
          <w:ilvl w:val="0"/>
          <w:numId w:val="7"/>
        </w:numPr>
        <w:spacing w:after="240" w:line="240" w:lineRule="auto"/>
        <w:rPr>
          <w:rFonts w:ascii="Times New Roman" w:hAnsi="Times New Roman" w:cs="Times New Roman"/>
          <w:sz w:val="24"/>
          <w:szCs w:val="24"/>
        </w:rPr>
      </w:pPr>
      <w:r w:rsidRPr="00ED2BB7">
        <w:rPr>
          <w:rFonts w:ascii="Times New Roman" w:hAnsi="Times New Roman" w:cs="Times New Roman"/>
          <w:sz w:val="24"/>
          <w:szCs w:val="24"/>
        </w:rPr>
        <w:lastRenderedPageBreak/>
        <w:t xml:space="preserve">Tasha Hilda Adnan </w:t>
      </w:r>
    </w:p>
    <w:p w14:paraId="1857A3C6" w14:textId="1A427583" w:rsidR="00047E2A" w:rsidRPr="00ED2BB7" w:rsidRDefault="00047E2A" w:rsidP="00ED2BB7">
      <w:pPr>
        <w:pStyle w:val="ListParagraph"/>
        <w:spacing w:after="240" w:line="240" w:lineRule="auto"/>
        <w:rPr>
          <w:rFonts w:ascii="Times New Roman" w:hAnsi="Times New Roman" w:cs="Times New Roman"/>
          <w:sz w:val="24"/>
          <w:szCs w:val="24"/>
        </w:rPr>
      </w:pPr>
      <w:r w:rsidRPr="00ED2BB7">
        <w:rPr>
          <w:rFonts w:ascii="Times New Roman" w:hAnsi="Times New Roman" w:cs="Times New Roman"/>
          <w:sz w:val="24"/>
          <w:szCs w:val="24"/>
        </w:rPr>
        <w:t>Statistician</w:t>
      </w:r>
    </w:p>
    <w:p w14:paraId="6792CDEE" w14:textId="77777777" w:rsidR="00C51070" w:rsidRPr="00ED2BB7" w:rsidRDefault="00C51070" w:rsidP="00ED2BB7">
      <w:pPr>
        <w:pStyle w:val="ListParagraph"/>
        <w:spacing w:after="240" w:line="240" w:lineRule="auto"/>
        <w:rPr>
          <w:rFonts w:ascii="Times New Roman" w:hAnsi="Times New Roman" w:cs="Times New Roman"/>
          <w:sz w:val="24"/>
          <w:szCs w:val="24"/>
        </w:rPr>
      </w:pPr>
      <w:r w:rsidRPr="00ED2BB7">
        <w:rPr>
          <w:rFonts w:ascii="Times New Roman" w:hAnsi="Times New Roman" w:cs="Times New Roman"/>
          <w:sz w:val="24"/>
          <w:szCs w:val="24"/>
        </w:rPr>
        <w:t xml:space="preserve">Sector for Biostatistics &amp; Data Repository, National Institutes of Health (NIH) Malaysia, Blok B4, </w:t>
      </w:r>
      <w:proofErr w:type="spellStart"/>
      <w:r w:rsidRPr="00ED2BB7">
        <w:rPr>
          <w:rFonts w:ascii="Times New Roman" w:hAnsi="Times New Roman" w:cs="Times New Roman"/>
          <w:sz w:val="24"/>
          <w:szCs w:val="24"/>
        </w:rPr>
        <w:t>Jalan</w:t>
      </w:r>
      <w:proofErr w:type="spellEnd"/>
      <w:r w:rsidRPr="00ED2BB7">
        <w:rPr>
          <w:rFonts w:ascii="Times New Roman" w:hAnsi="Times New Roman" w:cs="Times New Roman"/>
          <w:sz w:val="24"/>
          <w:szCs w:val="24"/>
        </w:rPr>
        <w:t xml:space="preserve"> </w:t>
      </w:r>
      <w:proofErr w:type="spellStart"/>
      <w:r w:rsidRPr="00ED2BB7">
        <w:rPr>
          <w:rFonts w:ascii="Times New Roman" w:hAnsi="Times New Roman" w:cs="Times New Roman"/>
          <w:sz w:val="24"/>
          <w:szCs w:val="24"/>
        </w:rPr>
        <w:t>Setia</w:t>
      </w:r>
      <w:proofErr w:type="spellEnd"/>
      <w:r w:rsidRPr="00ED2BB7">
        <w:rPr>
          <w:rFonts w:ascii="Times New Roman" w:hAnsi="Times New Roman" w:cs="Times New Roman"/>
          <w:sz w:val="24"/>
          <w:szCs w:val="24"/>
        </w:rPr>
        <w:t xml:space="preserve"> </w:t>
      </w:r>
      <w:proofErr w:type="spellStart"/>
      <w:r w:rsidRPr="00ED2BB7">
        <w:rPr>
          <w:rFonts w:ascii="Times New Roman" w:hAnsi="Times New Roman" w:cs="Times New Roman"/>
          <w:sz w:val="24"/>
          <w:szCs w:val="24"/>
        </w:rPr>
        <w:t>Murni</w:t>
      </w:r>
      <w:proofErr w:type="spellEnd"/>
      <w:r w:rsidRPr="00ED2BB7">
        <w:rPr>
          <w:rFonts w:ascii="Times New Roman" w:hAnsi="Times New Roman" w:cs="Times New Roman"/>
          <w:sz w:val="24"/>
          <w:szCs w:val="24"/>
        </w:rPr>
        <w:t xml:space="preserve"> U13/52, </w:t>
      </w:r>
      <w:proofErr w:type="spellStart"/>
      <w:r w:rsidRPr="00ED2BB7">
        <w:rPr>
          <w:rFonts w:ascii="Times New Roman" w:hAnsi="Times New Roman" w:cs="Times New Roman"/>
          <w:sz w:val="24"/>
          <w:szCs w:val="24"/>
        </w:rPr>
        <w:t>Seksyen</w:t>
      </w:r>
      <w:proofErr w:type="spellEnd"/>
      <w:r w:rsidRPr="00ED2BB7">
        <w:rPr>
          <w:rFonts w:ascii="Times New Roman" w:hAnsi="Times New Roman" w:cs="Times New Roman"/>
          <w:sz w:val="24"/>
          <w:szCs w:val="24"/>
        </w:rPr>
        <w:t xml:space="preserve"> U13 </w:t>
      </w:r>
      <w:proofErr w:type="spellStart"/>
      <w:r w:rsidRPr="00ED2BB7">
        <w:rPr>
          <w:rFonts w:ascii="Times New Roman" w:hAnsi="Times New Roman" w:cs="Times New Roman"/>
          <w:sz w:val="24"/>
          <w:szCs w:val="24"/>
        </w:rPr>
        <w:t>Setia</w:t>
      </w:r>
      <w:proofErr w:type="spellEnd"/>
      <w:r w:rsidRPr="00ED2BB7">
        <w:rPr>
          <w:rFonts w:ascii="Times New Roman" w:hAnsi="Times New Roman" w:cs="Times New Roman"/>
          <w:sz w:val="24"/>
          <w:szCs w:val="24"/>
        </w:rPr>
        <w:t xml:space="preserve"> Alam, 40170 Shah Alam, Malaysia.</w:t>
      </w:r>
    </w:p>
    <w:p w14:paraId="72803F86" w14:textId="446491D5" w:rsidR="00047E2A" w:rsidRPr="00ED2BB7" w:rsidRDefault="00C51070" w:rsidP="00ED2BB7">
      <w:pPr>
        <w:pStyle w:val="ListParagraph"/>
        <w:spacing w:after="240" w:line="240" w:lineRule="auto"/>
        <w:rPr>
          <w:rFonts w:ascii="Times New Roman" w:hAnsi="Times New Roman" w:cs="Times New Roman"/>
          <w:sz w:val="24"/>
          <w:szCs w:val="24"/>
        </w:rPr>
      </w:pPr>
      <w:r w:rsidRPr="00ED2BB7">
        <w:rPr>
          <w:rFonts w:ascii="Times New Roman" w:hAnsi="Times New Roman" w:cs="Times New Roman"/>
          <w:sz w:val="24"/>
          <w:szCs w:val="24"/>
        </w:rPr>
        <w:t>tassha</w:t>
      </w:r>
      <w:r w:rsidR="00047E2A" w:rsidRPr="00ED2BB7">
        <w:rPr>
          <w:rFonts w:ascii="Times New Roman" w:hAnsi="Times New Roman" w:cs="Times New Roman"/>
          <w:sz w:val="24"/>
          <w:szCs w:val="24"/>
        </w:rPr>
        <w:t>@crc.gov.my</w:t>
      </w:r>
      <w:bookmarkEnd w:id="1"/>
    </w:p>
    <w:p w14:paraId="507109A9" w14:textId="77777777" w:rsidR="00BA1F98" w:rsidRPr="00ED2BB7" w:rsidRDefault="00BA1F98" w:rsidP="00ED2BB7">
      <w:pPr>
        <w:spacing w:after="240" w:line="240" w:lineRule="auto"/>
        <w:rPr>
          <w:rFonts w:ascii="Times New Roman" w:hAnsi="Times New Roman" w:cs="Times New Roman"/>
          <w:b/>
          <w:sz w:val="24"/>
          <w:szCs w:val="24"/>
        </w:rPr>
      </w:pPr>
    </w:p>
    <w:p w14:paraId="614EA60C" w14:textId="0A82A142" w:rsidR="00047E2A" w:rsidRPr="00ED2BB7" w:rsidRDefault="00047E2A" w:rsidP="00ED2BB7">
      <w:pPr>
        <w:spacing w:after="240" w:line="240" w:lineRule="auto"/>
        <w:rPr>
          <w:rFonts w:ascii="Times New Roman" w:hAnsi="Times New Roman" w:cs="Times New Roman"/>
          <w:b/>
          <w:sz w:val="24"/>
          <w:szCs w:val="24"/>
        </w:rPr>
      </w:pPr>
      <w:r w:rsidRPr="00ED2BB7">
        <w:rPr>
          <w:rFonts w:ascii="Times New Roman" w:hAnsi="Times New Roman" w:cs="Times New Roman"/>
          <w:b/>
          <w:sz w:val="24"/>
          <w:szCs w:val="24"/>
        </w:rPr>
        <w:t>Conflict of interest</w:t>
      </w:r>
    </w:p>
    <w:p w14:paraId="214508E1" w14:textId="77777777" w:rsidR="00047E2A" w:rsidRPr="00ED2BB7" w:rsidRDefault="00047E2A" w:rsidP="00ED2BB7">
      <w:pPr>
        <w:spacing w:after="240" w:line="240" w:lineRule="auto"/>
        <w:rPr>
          <w:rFonts w:ascii="Times New Roman" w:hAnsi="Times New Roman" w:cs="Times New Roman"/>
          <w:sz w:val="24"/>
          <w:szCs w:val="24"/>
        </w:rPr>
      </w:pPr>
      <w:r w:rsidRPr="00ED2BB7">
        <w:rPr>
          <w:rFonts w:ascii="Times New Roman" w:hAnsi="Times New Roman" w:cs="Times New Roman"/>
          <w:sz w:val="24"/>
          <w:szCs w:val="24"/>
        </w:rPr>
        <w:t>Authors declare no conflict of interest.</w:t>
      </w:r>
    </w:p>
    <w:p w14:paraId="70727681" w14:textId="77777777" w:rsidR="00047E2A" w:rsidRPr="00ED2BB7" w:rsidRDefault="00047E2A" w:rsidP="00ED2BB7">
      <w:pPr>
        <w:spacing w:after="240" w:line="240" w:lineRule="auto"/>
        <w:rPr>
          <w:rFonts w:ascii="Times New Roman" w:hAnsi="Times New Roman" w:cs="Times New Roman"/>
          <w:b/>
          <w:sz w:val="24"/>
          <w:szCs w:val="24"/>
        </w:rPr>
      </w:pPr>
    </w:p>
    <w:p w14:paraId="723919BD" w14:textId="77777777" w:rsidR="00047E2A" w:rsidRPr="00ED2BB7" w:rsidRDefault="00047E2A" w:rsidP="00ED2BB7">
      <w:pPr>
        <w:spacing w:after="240" w:line="240" w:lineRule="auto"/>
        <w:rPr>
          <w:rFonts w:ascii="Times New Roman" w:hAnsi="Times New Roman" w:cs="Times New Roman"/>
          <w:b/>
          <w:sz w:val="24"/>
          <w:szCs w:val="24"/>
        </w:rPr>
      </w:pPr>
      <w:r w:rsidRPr="00ED2BB7">
        <w:rPr>
          <w:rFonts w:ascii="Times New Roman" w:hAnsi="Times New Roman" w:cs="Times New Roman"/>
          <w:b/>
          <w:sz w:val="24"/>
          <w:szCs w:val="24"/>
        </w:rPr>
        <w:t>Funding</w:t>
      </w:r>
    </w:p>
    <w:p w14:paraId="03BE0988" w14:textId="3BF0643A" w:rsidR="00047E2A" w:rsidRPr="00ED2BB7" w:rsidRDefault="00047E2A" w:rsidP="00ED2BB7">
      <w:pPr>
        <w:spacing w:after="240" w:line="240" w:lineRule="auto"/>
        <w:rPr>
          <w:rFonts w:ascii="Times New Roman" w:hAnsi="Times New Roman" w:cs="Times New Roman"/>
          <w:sz w:val="24"/>
          <w:szCs w:val="24"/>
        </w:rPr>
      </w:pPr>
      <w:r w:rsidRPr="00ED2BB7">
        <w:rPr>
          <w:rFonts w:ascii="Times New Roman" w:hAnsi="Times New Roman" w:cs="Times New Roman"/>
          <w:sz w:val="24"/>
          <w:szCs w:val="24"/>
        </w:rPr>
        <w:t xml:space="preserve">None </w:t>
      </w:r>
    </w:p>
    <w:p w14:paraId="3BA31D8E" w14:textId="77777777" w:rsidR="00ED2BB7" w:rsidRDefault="00ED2BB7">
      <w:pPr>
        <w:rPr>
          <w:rFonts w:ascii="Times New Roman" w:eastAsia="Times New Roman" w:hAnsi="Times New Roman" w:cs="Times New Roman"/>
          <w:b/>
          <w:sz w:val="24"/>
          <w:szCs w:val="24"/>
          <w:lang w:eastAsia="en-AU"/>
        </w:rPr>
      </w:pPr>
      <w:bookmarkStart w:id="2" w:name="_Hlk29462573"/>
      <w:bookmarkStart w:id="3" w:name="_Hlk29463444"/>
      <w:r>
        <w:rPr>
          <w:b/>
        </w:rPr>
        <w:br w:type="page"/>
      </w:r>
    </w:p>
    <w:p w14:paraId="53595A30" w14:textId="4827D855" w:rsidR="00A94070" w:rsidRPr="00ED2BB7" w:rsidRDefault="00EA2C70" w:rsidP="00ED2BB7">
      <w:pPr>
        <w:pStyle w:val="NormalWeb"/>
        <w:spacing w:before="0" w:beforeAutospacing="0" w:after="240" w:afterAutospacing="0"/>
        <w:rPr>
          <w:b/>
        </w:rPr>
      </w:pPr>
      <w:r w:rsidRPr="00ED2BB7">
        <w:rPr>
          <w:b/>
        </w:rPr>
        <w:lastRenderedPageBreak/>
        <w:t>Quality Improvement of Postgraduate Medical Pr</w:t>
      </w:r>
      <w:r w:rsidR="006626D2" w:rsidRPr="00ED2BB7">
        <w:rPr>
          <w:b/>
        </w:rPr>
        <w:t>otoco</w:t>
      </w:r>
      <w:r w:rsidRPr="00ED2BB7">
        <w:rPr>
          <w:b/>
        </w:rPr>
        <w:t>l (PMP)</w:t>
      </w:r>
      <w:r w:rsidR="00A46F47" w:rsidRPr="00ED2BB7">
        <w:rPr>
          <w:b/>
        </w:rPr>
        <w:t xml:space="preserve"> Submitted</w:t>
      </w:r>
      <w:r w:rsidR="004F411A" w:rsidRPr="00ED2BB7">
        <w:rPr>
          <w:b/>
        </w:rPr>
        <w:t xml:space="preserve"> </w:t>
      </w:r>
      <w:r w:rsidRPr="00ED2BB7">
        <w:rPr>
          <w:b/>
        </w:rPr>
        <w:t xml:space="preserve">to </w:t>
      </w:r>
    </w:p>
    <w:p w14:paraId="4F47F9D3" w14:textId="25E5D2EF" w:rsidR="00EA2C70" w:rsidRPr="00ED2BB7" w:rsidRDefault="00EA2C70" w:rsidP="00ED2BB7">
      <w:pPr>
        <w:pStyle w:val="NormalWeb"/>
        <w:spacing w:before="0" w:beforeAutospacing="0" w:after="240" w:afterAutospacing="0"/>
        <w:rPr>
          <w:b/>
        </w:rPr>
      </w:pPr>
      <w:r w:rsidRPr="00ED2BB7">
        <w:rPr>
          <w:b/>
        </w:rPr>
        <w:t>National Medical Research Registry (NMRR), Malaysia</w:t>
      </w:r>
    </w:p>
    <w:bookmarkEnd w:id="2"/>
    <w:bookmarkEnd w:id="3"/>
    <w:p w14:paraId="1747F3CA" w14:textId="77777777" w:rsidR="00EA2C70" w:rsidRPr="00ED2BB7" w:rsidRDefault="00EA2C70" w:rsidP="00ED2BB7">
      <w:pPr>
        <w:pStyle w:val="NormalWeb"/>
        <w:spacing w:before="0" w:beforeAutospacing="0" w:after="240" w:afterAutospacing="0"/>
        <w:rPr>
          <w:b/>
          <w:bCs/>
        </w:rPr>
      </w:pPr>
    </w:p>
    <w:p w14:paraId="2859E4EE" w14:textId="244C3EFF" w:rsidR="00CB6C9A" w:rsidRPr="00ED2BB7" w:rsidRDefault="00EA2C70" w:rsidP="00ED2BB7">
      <w:pPr>
        <w:pStyle w:val="NormalWeb"/>
        <w:spacing w:before="0" w:beforeAutospacing="0" w:after="240" w:afterAutospacing="0"/>
        <w:rPr>
          <w:vertAlign w:val="superscript"/>
        </w:rPr>
      </w:pPr>
      <w:bookmarkStart w:id="4" w:name="_Hlk29462603"/>
      <w:proofErr w:type="spellStart"/>
      <w:r w:rsidRPr="00ED2BB7">
        <w:t>Zainanda</w:t>
      </w:r>
      <w:proofErr w:type="spellEnd"/>
      <w:r w:rsidRPr="00ED2BB7">
        <w:t xml:space="preserve"> Zainal</w:t>
      </w:r>
      <w:r w:rsidRPr="00ED2BB7">
        <w:rPr>
          <w:vertAlign w:val="superscript"/>
        </w:rPr>
        <w:t>1</w:t>
      </w:r>
      <w:r w:rsidRPr="00ED2BB7">
        <w:t xml:space="preserve">, </w:t>
      </w:r>
      <w:r w:rsidR="00741622" w:rsidRPr="00ED2BB7">
        <w:t>Lai Wei Hong</w:t>
      </w:r>
      <w:r w:rsidR="00C62A50" w:rsidRPr="00ED2BB7">
        <w:rPr>
          <w:vertAlign w:val="superscript"/>
        </w:rPr>
        <w:t>2</w:t>
      </w:r>
      <w:r w:rsidR="00F75BD7" w:rsidRPr="00ED2BB7">
        <w:t>*</w:t>
      </w:r>
      <w:r w:rsidR="00741622" w:rsidRPr="00ED2BB7">
        <w:t xml:space="preserve">, </w:t>
      </w:r>
      <w:r w:rsidR="0035550F" w:rsidRPr="00ED2BB7">
        <w:t>Hon Yoon Khee</w:t>
      </w:r>
      <w:r w:rsidR="00C62A50" w:rsidRPr="00ED2BB7">
        <w:rPr>
          <w:vertAlign w:val="superscript"/>
        </w:rPr>
        <w:t>2</w:t>
      </w:r>
      <w:r w:rsidRPr="00ED2BB7">
        <w:t xml:space="preserve">, </w:t>
      </w:r>
      <w:proofErr w:type="spellStart"/>
      <w:r w:rsidR="00741622" w:rsidRPr="00ED2BB7">
        <w:t>Norizan</w:t>
      </w:r>
      <w:proofErr w:type="spellEnd"/>
      <w:r w:rsidR="00741622" w:rsidRPr="00ED2BB7">
        <w:t xml:space="preserve"> Rosli</w:t>
      </w:r>
      <w:r w:rsidR="00C62A50" w:rsidRPr="00ED2BB7">
        <w:rPr>
          <w:vertAlign w:val="superscript"/>
        </w:rPr>
        <w:t>2</w:t>
      </w:r>
      <w:r w:rsidR="00741622" w:rsidRPr="00ED2BB7">
        <w:t>,</w:t>
      </w:r>
      <w:r w:rsidR="00741622" w:rsidRPr="00ED2BB7">
        <w:rPr>
          <w:vertAlign w:val="superscript"/>
        </w:rPr>
        <w:t xml:space="preserve"> </w:t>
      </w:r>
      <w:proofErr w:type="spellStart"/>
      <w:r w:rsidR="00C62A50" w:rsidRPr="00ED2BB7">
        <w:rPr>
          <w:lang w:val="en-US"/>
        </w:rPr>
        <w:t>Nur</w:t>
      </w:r>
      <w:proofErr w:type="spellEnd"/>
      <w:r w:rsidR="00C62A50" w:rsidRPr="00ED2BB7">
        <w:rPr>
          <w:lang w:val="en-US"/>
        </w:rPr>
        <w:t xml:space="preserve"> </w:t>
      </w:r>
      <w:proofErr w:type="spellStart"/>
      <w:r w:rsidR="00C62A50" w:rsidRPr="00ED2BB7">
        <w:rPr>
          <w:lang w:val="en-US"/>
        </w:rPr>
        <w:t>Khairul</w:t>
      </w:r>
      <w:proofErr w:type="spellEnd"/>
      <w:r w:rsidR="00C62A50" w:rsidRPr="00ED2BB7">
        <w:rPr>
          <w:lang w:val="en-US"/>
        </w:rPr>
        <w:t xml:space="preserve"> </w:t>
      </w:r>
      <w:proofErr w:type="spellStart"/>
      <w:r w:rsidR="00C62A50" w:rsidRPr="00ED2BB7">
        <w:rPr>
          <w:lang w:val="en-US"/>
        </w:rPr>
        <w:t>Bariyyah</w:t>
      </w:r>
      <w:proofErr w:type="spellEnd"/>
      <w:r w:rsidR="00C62A50" w:rsidRPr="00ED2BB7">
        <w:rPr>
          <w:lang w:val="en-US"/>
        </w:rPr>
        <w:t xml:space="preserve"> </w:t>
      </w:r>
      <w:proofErr w:type="spellStart"/>
      <w:r w:rsidR="00C62A50" w:rsidRPr="00ED2BB7">
        <w:rPr>
          <w:lang w:val="en-US"/>
        </w:rPr>
        <w:t>Mohd</w:t>
      </w:r>
      <w:proofErr w:type="spellEnd"/>
      <w:r w:rsidR="00C62A50" w:rsidRPr="00ED2BB7">
        <w:rPr>
          <w:lang w:val="en-US"/>
        </w:rPr>
        <w:t xml:space="preserve"> </w:t>
      </w:r>
      <w:proofErr w:type="spellStart"/>
      <w:r w:rsidR="00C62A50" w:rsidRPr="00ED2BB7">
        <w:rPr>
          <w:lang w:val="en-US"/>
        </w:rPr>
        <w:t>Hatta</w:t>
      </w:r>
      <w:proofErr w:type="spellEnd"/>
      <w:r w:rsidR="00C62A50" w:rsidRPr="00ED2BB7">
        <w:rPr>
          <w:vertAlign w:val="superscript"/>
        </w:rPr>
        <w:t>2</w:t>
      </w:r>
      <w:r w:rsidR="00C62A50" w:rsidRPr="00ED2BB7">
        <w:rPr>
          <w:lang w:val="en-US"/>
        </w:rPr>
        <w:t xml:space="preserve">, </w:t>
      </w:r>
      <w:r w:rsidR="004147AA" w:rsidRPr="00ED2BB7">
        <w:rPr>
          <w:lang w:val="en-US"/>
        </w:rPr>
        <w:t xml:space="preserve">On </w:t>
      </w:r>
      <w:proofErr w:type="spellStart"/>
      <w:r w:rsidR="004147AA" w:rsidRPr="00ED2BB7">
        <w:rPr>
          <w:lang w:val="en-US"/>
        </w:rPr>
        <w:t>Yue</w:t>
      </w:r>
      <w:proofErr w:type="spellEnd"/>
      <w:r w:rsidR="004147AA" w:rsidRPr="00ED2BB7">
        <w:rPr>
          <w:lang w:val="en-US"/>
        </w:rPr>
        <w:t xml:space="preserve"> Yuan</w:t>
      </w:r>
      <w:r w:rsidR="00C62A50" w:rsidRPr="00ED2BB7">
        <w:rPr>
          <w:vertAlign w:val="superscript"/>
          <w:lang w:val="en-US"/>
        </w:rPr>
        <w:t>3</w:t>
      </w:r>
      <w:r w:rsidR="00741622" w:rsidRPr="00ED2BB7">
        <w:rPr>
          <w:lang w:val="en-US"/>
        </w:rPr>
        <w:t xml:space="preserve">, </w:t>
      </w:r>
      <w:proofErr w:type="spellStart"/>
      <w:r w:rsidRPr="00ED2BB7">
        <w:t>Nurzaleika</w:t>
      </w:r>
      <w:proofErr w:type="spellEnd"/>
      <w:r w:rsidRPr="00ED2BB7">
        <w:t xml:space="preserve"> </w:t>
      </w:r>
      <w:proofErr w:type="spellStart"/>
      <w:r w:rsidRPr="00ED2BB7">
        <w:t>Tendot</w:t>
      </w:r>
      <w:proofErr w:type="spellEnd"/>
      <w:r w:rsidRPr="00ED2BB7">
        <w:t xml:space="preserve"> Zakaria</w:t>
      </w:r>
      <w:r w:rsidR="00C62A50" w:rsidRPr="00ED2BB7">
        <w:rPr>
          <w:vertAlign w:val="superscript"/>
        </w:rPr>
        <w:t>4</w:t>
      </w:r>
      <w:r w:rsidRPr="00ED2BB7">
        <w:t xml:space="preserve">, </w:t>
      </w:r>
      <w:r w:rsidR="00086F22" w:rsidRPr="00ED2BB7">
        <w:rPr>
          <w:bCs/>
        </w:rPr>
        <w:t xml:space="preserve">Tasha </w:t>
      </w:r>
      <w:r w:rsidR="00086F22" w:rsidRPr="00ED2BB7">
        <w:t>Hilda Adnan</w:t>
      </w:r>
      <w:r w:rsidR="00C62A50" w:rsidRPr="00ED2BB7">
        <w:rPr>
          <w:vertAlign w:val="superscript"/>
        </w:rPr>
        <w:t>5</w:t>
      </w:r>
      <w:r w:rsidR="00102A72" w:rsidRPr="00ED2BB7">
        <w:t xml:space="preserve"> </w:t>
      </w:r>
    </w:p>
    <w:p w14:paraId="619830E2" w14:textId="77777777" w:rsidR="005A10E8" w:rsidRPr="00ED2BB7" w:rsidRDefault="005A10E8" w:rsidP="00ED2BB7">
      <w:pPr>
        <w:pStyle w:val="NormalWeb"/>
        <w:spacing w:before="0" w:beforeAutospacing="0" w:after="240" w:afterAutospacing="0"/>
        <w:rPr>
          <w:b/>
          <w:bCs/>
        </w:rPr>
      </w:pPr>
    </w:p>
    <w:p w14:paraId="67229B88" w14:textId="77777777" w:rsidR="00711A2B" w:rsidRPr="00ED2BB7" w:rsidRDefault="00EA2C70" w:rsidP="00ED2BB7">
      <w:pPr>
        <w:spacing w:after="240" w:line="240" w:lineRule="auto"/>
        <w:rPr>
          <w:rFonts w:ascii="Times New Roman" w:hAnsi="Times New Roman" w:cs="Times New Roman"/>
          <w:sz w:val="24"/>
          <w:szCs w:val="24"/>
        </w:rPr>
      </w:pPr>
      <w:r w:rsidRPr="00ED2BB7">
        <w:rPr>
          <w:rFonts w:ascii="Times New Roman" w:hAnsi="Times New Roman" w:cs="Times New Roman"/>
          <w:sz w:val="24"/>
          <w:szCs w:val="24"/>
          <w:vertAlign w:val="superscript"/>
        </w:rPr>
        <w:t>1.</w:t>
      </w:r>
      <w:r w:rsidR="00600997" w:rsidRPr="00ED2BB7">
        <w:rPr>
          <w:rFonts w:ascii="Times New Roman" w:hAnsi="Times New Roman" w:cs="Times New Roman"/>
          <w:sz w:val="24"/>
          <w:szCs w:val="24"/>
        </w:rPr>
        <w:t xml:space="preserve"> Malaysian Healthcare Performance Unit, National Institute of Health, Kuala Lumpur Hospital, Level 3, Administration &amp; Finance Block, </w:t>
      </w:r>
      <w:proofErr w:type="spellStart"/>
      <w:r w:rsidR="00600997" w:rsidRPr="00ED2BB7">
        <w:rPr>
          <w:rFonts w:ascii="Times New Roman" w:hAnsi="Times New Roman" w:cs="Times New Roman"/>
          <w:sz w:val="24"/>
          <w:szCs w:val="24"/>
        </w:rPr>
        <w:t>Jalan</w:t>
      </w:r>
      <w:proofErr w:type="spellEnd"/>
      <w:r w:rsidR="00600997" w:rsidRPr="00ED2BB7">
        <w:rPr>
          <w:rFonts w:ascii="Times New Roman" w:hAnsi="Times New Roman" w:cs="Times New Roman"/>
          <w:sz w:val="24"/>
          <w:szCs w:val="24"/>
        </w:rPr>
        <w:t xml:space="preserve"> Pahang, 50586 Kuala Lumpur</w:t>
      </w:r>
      <w:r w:rsidR="00711A2B" w:rsidRPr="00ED2BB7">
        <w:rPr>
          <w:rFonts w:ascii="Times New Roman" w:hAnsi="Times New Roman" w:cs="Times New Roman"/>
          <w:sz w:val="24"/>
          <w:szCs w:val="24"/>
        </w:rPr>
        <w:t>, Malaysia.</w:t>
      </w:r>
    </w:p>
    <w:p w14:paraId="66F90CA1" w14:textId="66BECAC1" w:rsidR="004147AA" w:rsidRPr="00ED2BB7" w:rsidRDefault="007C4538" w:rsidP="00ED2BB7">
      <w:pPr>
        <w:spacing w:after="240" w:line="240" w:lineRule="auto"/>
        <w:rPr>
          <w:rFonts w:ascii="Times New Roman" w:hAnsi="Times New Roman" w:cs="Times New Roman"/>
          <w:sz w:val="24"/>
          <w:szCs w:val="24"/>
        </w:rPr>
      </w:pPr>
      <w:r w:rsidRPr="00ED2BB7">
        <w:rPr>
          <w:rFonts w:ascii="Times New Roman" w:hAnsi="Times New Roman" w:cs="Times New Roman"/>
          <w:sz w:val="24"/>
          <w:szCs w:val="24"/>
          <w:vertAlign w:val="superscript"/>
        </w:rPr>
        <w:t>2</w:t>
      </w:r>
      <w:r w:rsidR="00EA2C70" w:rsidRPr="00ED2BB7">
        <w:rPr>
          <w:rFonts w:ascii="Times New Roman" w:hAnsi="Times New Roman" w:cs="Times New Roman"/>
          <w:sz w:val="24"/>
          <w:szCs w:val="24"/>
          <w:vertAlign w:val="superscript"/>
        </w:rPr>
        <w:t>.</w:t>
      </w:r>
      <w:r w:rsidR="00EA2C70" w:rsidRPr="00ED2BB7">
        <w:rPr>
          <w:rFonts w:ascii="Times New Roman" w:hAnsi="Times New Roman" w:cs="Times New Roman"/>
          <w:sz w:val="24"/>
          <w:szCs w:val="24"/>
        </w:rPr>
        <w:t xml:space="preserve"> </w:t>
      </w:r>
      <w:r w:rsidR="00600997" w:rsidRPr="00ED2BB7">
        <w:rPr>
          <w:rFonts w:ascii="Times New Roman" w:hAnsi="Times New Roman" w:cs="Times New Roman"/>
          <w:sz w:val="24"/>
          <w:szCs w:val="24"/>
        </w:rPr>
        <w:t>Centre for Coordination of Clinical Research Network, Institute for Clinical Research,</w:t>
      </w:r>
      <w:r w:rsidR="00711A2B" w:rsidRPr="00ED2BB7">
        <w:rPr>
          <w:rFonts w:ascii="Times New Roman" w:hAnsi="Times New Roman" w:cs="Times New Roman"/>
          <w:sz w:val="24"/>
          <w:szCs w:val="24"/>
        </w:rPr>
        <w:t xml:space="preserve"> National Institutes of Health (NIH) Malaysia, Blok B4, </w:t>
      </w:r>
      <w:proofErr w:type="spellStart"/>
      <w:r w:rsidR="00711A2B" w:rsidRPr="00ED2BB7">
        <w:rPr>
          <w:rFonts w:ascii="Times New Roman" w:hAnsi="Times New Roman" w:cs="Times New Roman"/>
          <w:sz w:val="24"/>
          <w:szCs w:val="24"/>
        </w:rPr>
        <w:t>Jalan</w:t>
      </w:r>
      <w:proofErr w:type="spellEnd"/>
      <w:r w:rsidR="00711A2B" w:rsidRPr="00ED2BB7">
        <w:rPr>
          <w:rFonts w:ascii="Times New Roman" w:hAnsi="Times New Roman" w:cs="Times New Roman"/>
          <w:sz w:val="24"/>
          <w:szCs w:val="24"/>
        </w:rPr>
        <w:t xml:space="preserve"> </w:t>
      </w:r>
      <w:proofErr w:type="spellStart"/>
      <w:r w:rsidR="00711A2B" w:rsidRPr="00ED2BB7">
        <w:rPr>
          <w:rFonts w:ascii="Times New Roman" w:hAnsi="Times New Roman" w:cs="Times New Roman"/>
          <w:sz w:val="24"/>
          <w:szCs w:val="24"/>
        </w:rPr>
        <w:t>Setia</w:t>
      </w:r>
      <w:proofErr w:type="spellEnd"/>
      <w:r w:rsidR="00711A2B" w:rsidRPr="00ED2BB7">
        <w:rPr>
          <w:rFonts w:ascii="Times New Roman" w:hAnsi="Times New Roman" w:cs="Times New Roman"/>
          <w:sz w:val="24"/>
          <w:szCs w:val="24"/>
        </w:rPr>
        <w:t xml:space="preserve"> </w:t>
      </w:r>
      <w:proofErr w:type="spellStart"/>
      <w:r w:rsidR="00711A2B" w:rsidRPr="00ED2BB7">
        <w:rPr>
          <w:rFonts w:ascii="Times New Roman" w:hAnsi="Times New Roman" w:cs="Times New Roman"/>
          <w:sz w:val="24"/>
          <w:szCs w:val="24"/>
        </w:rPr>
        <w:t>Murni</w:t>
      </w:r>
      <w:proofErr w:type="spellEnd"/>
      <w:r w:rsidR="00711A2B" w:rsidRPr="00ED2BB7">
        <w:rPr>
          <w:rFonts w:ascii="Times New Roman" w:hAnsi="Times New Roman" w:cs="Times New Roman"/>
          <w:sz w:val="24"/>
          <w:szCs w:val="24"/>
        </w:rPr>
        <w:t xml:space="preserve"> U13/52, </w:t>
      </w:r>
      <w:proofErr w:type="spellStart"/>
      <w:r w:rsidR="00711A2B" w:rsidRPr="00ED2BB7">
        <w:rPr>
          <w:rFonts w:ascii="Times New Roman" w:hAnsi="Times New Roman" w:cs="Times New Roman"/>
          <w:sz w:val="24"/>
          <w:szCs w:val="24"/>
        </w:rPr>
        <w:t>Seksyen</w:t>
      </w:r>
      <w:proofErr w:type="spellEnd"/>
      <w:r w:rsidR="00711A2B" w:rsidRPr="00ED2BB7">
        <w:rPr>
          <w:rFonts w:ascii="Times New Roman" w:hAnsi="Times New Roman" w:cs="Times New Roman"/>
          <w:sz w:val="24"/>
          <w:szCs w:val="24"/>
        </w:rPr>
        <w:t xml:space="preserve"> U13 </w:t>
      </w:r>
      <w:proofErr w:type="spellStart"/>
      <w:r w:rsidR="00711A2B" w:rsidRPr="00ED2BB7">
        <w:rPr>
          <w:rFonts w:ascii="Times New Roman" w:hAnsi="Times New Roman" w:cs="Times New Roman"/>
          <w:sz w:val="24"/>
          <w:szCs w:val="24"/>
        </w:rPr>
        <w:t>Setia</w:t>
      </w:r>
      <w:proofErr w:type="spellEnd"/>
      <w:r w:rsidR="00711A2B" w:rsidRPr="00ED2BB7">
        <w:rPr>
          <w:rFonts w:ascii="Times New Roman" w:hAnsi="Times New Roman" w:cs="Times New Roman"/>
          <w:sz w:val="24"/>
          <w:szCs w:val="24"/>
        </w:rPr>
        <w:t xml:space="preserve"> Alam, 40170 Shah Alam, Malaysia.</w:t>
      </w:r>
      <w:r w:rsidR="00600997" w:rsidRPr="00ED2BB7">
        <w:rPr>
          <w:rFonts w:ascii="Times New Roman" w:hAnsi="Times New Roman" w:cs="Times New Roman"/>
          <w:sz w:val="24"/>
          <w:szCs w:val="24"/>
        </w:rPr>
        <w:t xml:space="preserve"> </w:t>
      </w:r>
    </w:p>
    <w:p w14:paraId="48F486C9" w14:textId="611A09C6" w:rsidR="00711A2B" w:rsidRPr="00ED2BB7" w:rsidRDefault="007C4538" w:rsidP="00ED2BB7">
      <w:pPr>
        <w:spacing w:after="240" w:line="240" w:lineRule="auto"/>
        <w:rPr>
          <w:rFonts w:ascii="Times New Roman" w:hAnsi="Times New Roman" w:cs="Times New Roman"/>
          <w:sz w:val="24"/>
          <w:szCs w:val="24"/>
        </w:rPr>
      </w:pPr>
      <w:r w:rsidRPr="00ED2BB7">
        <w:rPr>
          <w:rFonts w:ascii="Times New Roman" w:hAnsi="Times New Roman" w:cs="Times New Roman"/>
          <w:sz w:val="24"/>
          <w:szCs w:val="24"/>
          <w:vertAlign w:val="superscript"/>
        </w:rPr>
        <w:t>3</w:t>
      </w:r>
      <w:r w:rsidR="004D78E5" w:rsidRPr="00ED2BB7">
        <w:rPr>
          <w:rFonts w:ascii="Times New Roman" w:hAnsi="Times New Roman" w:cs="Times New Roman"/>
          <w:sz w:val="24"/>
          <w:szCs w:val="24"/>
          <w:vertAlign w:val="superscript"/>
        </w:rPr>
        <w:t>.</w:t>
      </w:r>
      <w:r w:rsidR="00711A2B" w:rsidRPr="00ED2BB7">
        <w:rPr>
          <w:rFonts w:ascii="Times New Roman" w:hAnsi="Times New Roman" w:cs="Times New Roman"/>
          <w:sz w:val="24"/>
          <w:szCs w:val="24"/>
        </w:rPr>
        <w:t xml:space="preserve"> Faculty of Science, University of Malaya, 50603, Kuala Lumpur, Malaysia.</w:t>
      </w:r>
    </w:p>
    <w:p w14:paraId="688D4ECB" w14:textId="03040D2F" w:rsidR="00EA2C70" w:rsidRPr="00ED2BB7" w:rsidRDefault="00711A2B" w:rsidP="00ED2BB7">
      <w:pPr>
        <w:spacing w:after="240" w:line="240" w:lineRule="auto"/>
        <w:rPr>
          <w:rFonts w:ascii="Times New Roman" w:hAnsi="Times New Roman" w:cs="Times New Roman"/>
          <w:sz w:val="24"/>
          <w:szCs w:val="24"/>
        </w:rPr>
      </w:pPr>
      <w:r w:rsidRPr="00ED2BB7">
        <w:rPr>
          <w:rFonts w:ascii="Times New Roman" w:hAnsi="Times New Roman" w:cs="Times New Roman"/>
          <w:sz w:val="24"/>
          <w:szCs w:val="24"/>
          <w:vertAlign w:val="superscript"/>
        </w:rPr>
        <w:t>4.</w:t>
      </w:r>
      <w:r w:rsidRPr="00ED2BB7">
        <w:rPr>
          <w:rFonts w:ascii="Times New Roman" w:hAnsi="Times New Roman" w:cs="Times New Roman"/>
          <w:sz w:val="24"/>
          <w:szCs w:val="24"/>
        </w:rPr>
        <w:t xml:space="preserve"> </w:t>
      </w:r>
      <w:r w:rsidR="00EA2C70" w:rsidRPr="00ED2BB7">
        <w:rPr>
          <w:rFonts w:ascii="Times New Roman" w:hAnsi="Times New Roman" w:cs="Times New Roman"/>
          <w:sz w:val="24"/>
          <w:szCs w:val="24"/>
        </w:rPr>
        <w:t>Medical Research Ethics Committee, Ministry of Health c/o Institute for Health</w:t>
      </w:r>
      <w:r w:rsidRPr="00ED2BB7">
        <w:rPr>
          <w:rFonts w:ascii="Times New Roman" w:hAnsi="Times New Roman" w:cs="Times New Roman"/>
          <w:sz w:val="24"/>
          <w:szCs w:val="24"/>
        </w:rPr>
        <w:t xml:space="preserve"> </w:t>
      </w:r>
      <w:r w:rsidR="00EA2C70" w:rsidRPr="00ED2BB7">
        <w:rPr>
          <w:rFonts w:ascii="Times New Roman" w:hAnsi="Times New Roman" w:cs="Times New Roman"/>
          <w:sz w:val="24"/>
          <w:szCs w:val="24"/>
        </w:rPr>
        <w:t xml:space="preserve">Management, </w:t>
      </w:r>
      <w:proofErr w:type="spellStart"/>
      <w:r w:rsidR="00EA2C70" w:rsidRPr="00ED2BB7">
        <w:rPr>
          <w:rFonts w:ascii="Times New Roman" w:hAnsi="Times New Roman" w:cs="Times New Roman"/>
          <w:sz w:val="24"/>
          <w:szCs w:val="24"/>
        </w:rPr>
        <w:t>Jalan</w:t>
      </w:r>
      <w:proofErr w:type="spellEnd"/>
      <w:r w:rsidR="00EA2C70" w:rsidRPr="00ED2BB7">
        <w:rPr>
          <w:rFonts w:ascii="Times New Roman" w:hAnsi="Times New Roman" w:cs="Times New Roman"/>
          <w:sz w:val="24"/>
          <w:szCs w:val="24"/>
        </w:rPr>
        <w:t xml:space="preserve"> </w:t>
      </w:r>
      <w:proofErr w:type="spellStart"/>
      <w:r w:rsidR="00EA2C70" w:rsidRPr="00ED2BB7">
        <w:rPr>
          <w:rFonts w:ascii="Times New Roman" w:hAnsi="Times New Roman" w:cs="Times New Roman"/>
          <w:sz w:val="24"/>
          <w:szCs w:val="24"/>
        </w:rPr>
        <w:t>Rumah</w:t>
      </w:r>
      <w:proofErr w:type="spellEnd"/>
      <w:r w:rsidR="00EA2C70" w:rsidRPr="00ED2BB7">
        <w:rPr>
          <w:rFonts w:ascii="Times New Roman" w:hAnsi="Times New Roman" w:cs="Times New Roman"/>
          <w:sz w:val="24"/>
          <w:szCs w:val="24"/>
        </w:rPr>
        <w:t xml:space="preserve"> </w:t>
      </w:r>
      <w:proofErr w:type="spellStart"/>
      <w:r w:rsidR="00EA2C70" w:rsidRPr="00ED2BB7">
        <w:rPr>
          <w:rFonts w:ascii="Times New Roman" w:hAnsi="Times New Roman" w:cs="Times New Roman"/>
          <w:sz w:val="24"/>
          <w:szCs w:val="24"/>
        </w:rPr>
        <w:t>Sakit</w:t>
      </w:r>
      <w:proofErr w:type="spellEnd"/>
      <w:r w:rsidR="00EA2C70" w:rsidRPr="00ED2BB7">
        <w:rPr>
          <w:rFonts w:ascii="Times New Roman" w:hAnsi="Times New Roman" w:cs="Times New Roman"/>
          <w:sz w:val="24"/>
          <w:szCs w:val="24"/>
        </w:rPr>
        <w:t xml:space="preserve"> </w:t>
      </w:r>
      <w:proofErr w:type="spellStart"/>
      <w:r w:rsidR="00EA2C70" w:rsidRPr="00ED2BB7">
        <w:rPr>
          <w:rFonts w:ascii="Times New Roman" w:hAnsi="Times New Roman" w:cs="Times New Roman"/>
          <w:sz w:val="24"/>
          <w:szCs w:val="24"/>
        </w:rPr>
        <w:t>Bangsar</w:t>
      </w:r>
      <w:proofErr w:type="spellEnd"/>
      <w:r w:rsidR="00EA2C70" w:rsidRPr="00ED2BB7">
        <w:rPr>
          <w:rFonts w:ascii="Times New Roman" w:hAnsi="Times New Roman" w:cs="Times New Roman"/>
          <w:sz w:val="24"/>
          <w:szCs w:val="24"/>
        </w:rPr>
        <w:t>, 59000</w:t>
      </w:r>
      <w:r w:rsidR="00B8014F" w:rsidRPr="00ED2BB7">
        <w:rPr>
          <w:rFonts w:ascii="Times New Roman" w:hAnsi="Times New Roman" w:cs="Times New Roman"/>
          <w:sz w:val="24"/>
          <w:szCs w:val="24"/>
        </w:rPr>
        <w:t>,</w:t>
      </w:r>
      <w:r w:rsidR="00EA2C70" w:rsidRPr="00ED2BB7">
        <w:rPr>
          <w:rFonts w:ascii="Times New Roman" w:hAnsi="Times New Roman" w:cs="Times New Roman"/>
          <w:sz w:val="24"/>
          <w:szCs w:val="24"/>
        </w:rPr>
        <w:t xml:space="preserve"> Kuala Lumpur, Malaysia.</w:t>
      </w:r>
    </w:p>
    <w:p w14:paraId="4D7A7407" w14:textId="5518E650" w:rsidR="00711A2B" w:rsidRPr="00ED2BB7" w:rsidRDefault="00711A2B" w:rsidP="00ED2BB7">
      <w:pPr>
        <w:spacing w:after="240" w:line="240" w:lineRule="auto"/>
        <w:rPr>
          <w:rFonts w:ascii="Times New Roman" w:hAnsi="Times New Roman" w:cs="Times New Roman"/>
          <w:sz w:val="24"/>
          <w:szCs w:val="24"/>
        </w:rPr>
      </w:pPr>
      <w:r w:rsidRPr="00ED2BB7">
        <w:rPr>
          <w:rFonts w:ascii="Times New Roman" w:hAnsi="Times New Roman" w:cs="Times New Roman"/>
          <w:sz w:val="24"/>
          <w:szCs w:val="24"/>
          <w:vertAlign w:val="superscript"/>
        </w:rPr>
        <w:t>5.</w:t>
      </w:r>
      <w:r w:rsidRPr="00ED2BB7">
        <w:rPr>
          <w:rFonts w:ascii="Times New Roman" w:hAnsi="Times New Roman" w:cs="Times New Roman"/>
          <w:sz w:val="24"/>
          <w:szCs w:val="24"/>
        </w:rPr>
        <w:t xml:space="preserve"> Sector for Biostatistics &amp; Data Repository, National Institutes of Health (NIH) Malaysia, Blok B4, </w:t>
      </w:r>
      <w:proofErr w:type="spellStart"/>
      <w:r w:rsidRPr="00ED2BB7">
        <w:rPr>
          <w:rFonts w:ascii="Times New Roman" w:hAnsi="Times New Roman" w:cs="Times New Roman"/>
          <w:sz w:val="24"/>
          <w:szCs w:val="24"/>
        </w:rPr>
        <w:t>Jalan</w:t>
      </w:r>
      <w:proofErr w:type="spellEnd"/>
      <w:r w:rsidRPr="00ED2BB7">
        <w:rPr>
          <w:rFonts w:ascii="Times New Roman" w:hAnsi="Times New Roman" w:cs="Times New Roman"/>
          <w:sz w:val="24"/>
          <w:szCs w:val="24"/>
        </w:rPr>
        <w:t xml:space="preserve"> </w:t>
      </w:r>
      <w:proofErr w:type="spellStart"/>
      <w:r w:rsidRPr="00ED2BB7">
        <w:rPr>
          <w:rFonts w:ascii="Times New Roman" w:hAnsi="Times New Roman" w:cs="Times New Roman"/>
          <w:sz w:val="24"/>
          <w:szCs w:val="24"/>
        </w:rPr>
        <w:t>Setia</w:t>
      </w:r>
      <w:proofErr w:type="spellEnd"/>
      <w:r w:rsidRPr="00ED2BB7">
        <w:rPr>
          <w:rFonts w:ascii="Times New Roman" w:hAnsi="Times New Roman" w:cs="Times New Roman"/>
          <w:sz w:val="24"/>
          <w:szCs w:val="24"/>
        </w:rPr>
        <w:t xml:space="preserve"> </w:t>
      </w:r>
      <w:proofErr w:type="spellStart"/>
      <w:r w:rsidRPr="00ED2BB7">
        <w:rPr>
          <w:rFonts w:ascii="Times New Roman" w:hAnsi="Times New Roman" w:cs="Times New Roman"/>
          <w:sz w:val="24"/>
          <w:szCs w:val="24"/>
        </w:rPr>
        <w:t>Murni</w:t>
      </w:r>
      <w:proofErr w:type="spellEnd"/>
      <w:r w:rsidRPr="00ED2BB7">
        <w:rPr>
          <w:rFonts w:ascii="Times New Roman" w:hAnsi="Times New Roman" w:cs="Times New Roman"/>
          <w:sz w:val="24"/>
          <w:szCs w:val="24"/>
        </w:rPr>
        <w:t xml:space="preserve"> U13/52, </w:t>
      </w:r>
      <w:proofErr w:type="spellStart"/>
      <w:r w:rsidRPr="00ED2BB7">
        <w:rPr>
          <w:rFonts w:ascii="Times New Roman" w:hAnsi="Times New Roman" w:cs="Times New Roman"/>
          <w:sz w:val="24"/>
          <w:szCs w:val="24"/>
        </w:rPr>
        <w:t>Seksyen</w:t>
      </w:r>
      <w:proofErr w:type="spellEnd"/>
      <w:r w:rsidRPr="00ED2BB7">
        <w:rPr>
          <w:rFonts w:ascii="Times New Roman" w:hAnsi="Times New Roman" w:cs="Times New Roman"/>
          <w:sz w:val="24"/>
          <w:szCs w:val="24"/>
        </w:rPr>
        <w:t xml:space="preserve"> U13 </w:t>
      </w:r>
      <w:proofErr w:type="spellStart"/>
      <w:r w:rsidRPr="00ED2BB7">
        <w:rPr>
          <w:rFonts w:ascii="Times New Roman" w:hAnsi="Times New Roman" w:cs="Times New Roman"/>
          <w:sz w:val="24"/>
          <w:szCs w:val="24"/>
        </w:rPr>
        <w:t>Setia</w:t>
      </w:r>
      <w:proofErr w:type="spellEnd"/>
      <w:r w:rsidRPr="00ED2BB7">
        <w:rPr>
          <w:rFonts w:ascii="Times New Roman" w:hAnsi="Times New Roman" w:cs="Times New Roman"/>
          <w:sz w:val="24"/>
          <w:szCs w:val="24"/>
        </w:rPr>
        <w:t xml:space="preserve"> Alam, 40170 Shah Alam, Malaysia.</w:t>
      </w:r>
    </w:p>
    <w:p w14:paraId="1014A6AE" w14:textId="77777777" w:rsidR="00EA2C70" w:rsidRPr="00ED2BB7" w:rsidRDefault="00EA2C70" w:rsidP="00ED2BB7">
      <w:pPr>
        <w:pStyle w:val="NormalWeb"/>
        <w:spacing w:before="0" w:beforeAutospacing="0" w:after="240" w:afterAutospacing="0"/>
        <w:rPr>
          <w:b/>
          <w:bCs/>
        </w:rPr>
      </w:pPr>
    </w:p>
    <w:bookmarkEnd w:id="4"/>
    <w:p w14:paraId="38F61B98" w14:textId="77777777" w:rsidR="00331B48" w:rsidRPr="00ED2BB7" w:rsidRDefault="00331B48" w:rsidP="00ED2BB7">
      <w:pPr>
        <w:pStyle w:val="NormalWeb"/>
        <w:spacing w:before="0" w:beforeAutospacing="0" w:after="240" w:afterAutospacing="0"/>
        <w:rPr>
          <w:b/>
          <w:bCs/>
        </w:rPr>
      </w:pPr>
    </w:p>
    <w:p w14:paraId="281173EB" w14:textId="77777777" w:rsidR="00AA101C" w:rsidRPr="00ED2BB7" w:rsidRDefault="00AA101C" w:rsidP="00ED2BB7">
      <w:pPr>
        <w:spacing w:after="240" w:line="240" w:lineRule="auto"/>
        <w:rPr>
          <w:rFonts w:ascii="Times New Roman" w:eastAsia="Times New Roman" w:hAnsi="Times New Roman" w:cs="Times New Roman"/>
          <w:b/>
          <w:bCs/>
          <w:sz w:val="24"/>
          <w:szCs w:val="24"/>
          <w:lang w:eastAsia="en-AU"/>
        </w:rPr>
      </w:pPr>
      <w:r w:rsidRPr="00ED2BB7">
        <w:rPr>
          <w:rFonts w:ascii="Times New Roman" w:hAnsi="Times New Roman" w:cs="Times New Roman"/>
          <w:b/>
          <w:bCs/>
          <w:sz w:val="24"/>
          <w:szCs w:val="24"/>
        </w:rPr>
        <w:br w:type="page"/>
      </w:r>
    </w:p>
    <w:p w14:paraId="034B0807" w14:textId="7E3FC476" w:rsidR="00EA2C70" w:rsidRPr="00ED2BB7" w:rsidRDefault="00AA101C" w:rsidP="00ED2BB7">
      <w:pPr>
        <w:pStyle w:val="NormalWeb"/>
        <w:spacing w:before="0" w:beforeAutospacing="0" w:after="240" w:afterAutospacing="0"/>
        <w:rPr>
          <w:b/>
          <w:bCs/>
        </w:rPr>
      </w:pPr>
      <w:r w:rsidRPr="00ED2BB7">
        <w:rPr>
          <w:b/>
          <w:bCs/>
        </w:rPr>
        <w:lastRenderedPageBreak/>
        <w:t>ABSTRACT</w:t>
      </w:r>
    </w:p>
    <w:p w14:paraId="653A43AF" w14:textId="2C80C4FE" w:rsidR="00EF11D1" w:rsidRPr="00ED2BB7" w:rsidRDefault="00F64723" w:rsidP="00ED2BB7">
      <w:pPr>
        <w:pStyle w:val="NormalWeb"/>
        <w:spacing w:after="240" w:afterAutospacing="0"/>
        <w:ind w:firstLine="720"/>
        <w:rPr>
          <w:lang w:val="en-GB"/>
        </w:rPr>
      </w:pPr>
      <w:r w:rsidRPr="00ED2BB7">
        <w:rPr>
          <w:shd w:val="clear" w:color="auto" w:fill="FFFFFF"/>
        </w:rPr>
        <w:t xml:space="preserve">Postgraduate medical protocols (PMPs) collectively represent approximately 20% of the total number of medical research protocols </w:t>
      </w:r>
      <w:r w:rsidR="00D52792" w:rsidRPr="00ED2BB7">
        <w:rPr>
          <w:shd w:val="clear" w:color="auto" w:fill="FFFFFF"/>
        </w:rPr>
        <w:t xml:space="preserve">approved by </w:t>
      </w:r>
      <w:r w:rsidR="00D52792" w:rsidRPr="00ED2BB7">
        <w:t>Medical Research &amp; Ethics Committee</w:t>
      </w:r>
      <w:r w:rsidR="00D52792" w:rsidRPr="00ED2BB7">
        <w:rPr>
          <w:shd w:val="clear" w:color="auto" w:fill="FFFFFF"/>
        </w:rPr>
        <w:t xml:space="preserve"> (MREC) in 2012. Previous studies found </w:t>
      </w:r>
      <w:r w:rsidRPr="00ED2BB7">
        <w:rPr>
          <w:shd w:val="clear" w:color="auto" w:fill="FFFFFF"/>
        </w:rPr>
        <w:t>most of these PMPs require</w:t>
      </w:r>
      <w:r w:rsidR="00D52792" w:rsidRPr="00ED2BB7">
        <w:rPr>
          <w:shd w:val="clear" w:color="auto" w:fill="FFFFFF"/>
        </w:rPr>
        <w:t>d</w:t>
      </w:r>
      <w:r w:rsidRPr="00ED2BB7">
        <w:rPr>
          <w:shd w:val="clear" w:color="auto" w:fill="FFFFFF"/>
        </w:rPr>
        <w:t xml:space="preserve"> further amendment upon an initial MREC review</w:t>
      </w:r>
      <w:r w:rsidR="00D52792" w:rsidRPr="00ED2BB7">
        <w:rPr>
          <w:shd w:val="clear" w:color="auto" w:fill="FFFFFF"/>
        </w:rPr>
        <w:t>,</w:t>
      </w:r>
      <w:r w:rsidRPr="00ED2BB7">
        <w:rPr>
          <w:shd w:val="clear" w:color="auto" w:fill="FFFFFF"/>
        </w:rPr>
        <w:t xml:space="preserve"> </w:t>
      </w:r>
      <w:r w:rsidR="00D52792" w:rsidRPr="00ED2BB7">
        <w:rPr>
          <w:shd w:val="clear" w:color="auto" w:fill="FFFFFF"/>
        </w:rPr>
        <w:t>which led to a delay in obtaining ethical approval. T</w:t>
      </w:r>
      <w:r w:rsidRPr="00ED2BB7">
        <w:rPr>
          <w:shd w:val="clear" w:color="auto" w:fill="FFFFFF"/>
        </w:rPr>
        <w:t>herefore</w:t>
      </w:r>
      <w:r w:rsidR="00D52792" w:rsidRPr="00ED2BB7">
        <w:rPr>
          <w:shd w:val="clear" w:color="auto" w:fill="FFFFFF"/>
        </w:rPr>
        <w:t>,</w:t>
      </w:r>
      <w:r w:rsidRPr="00ED2BB7">
        <w:rPr>
          <w:shd w:val="clear" w:color="auto" w:fill="FFFFFF"/>
        </w:rPr>
        <w:t xml:space="preserve"> this cross-sectional study </w:t>
      </w:r>
      <w:r w:rsidR="00D52792" w:rsidRPr="00ED2BB7">
        <w:rPr>
          <w:shd w:val="clear" w:color="auto" w:fill="FFFFFF"/>
        </w:rPr>
        <w:t xml:space="preserve">aimed </w:t>
      </w:r>
      <w:r w:rsidRPr="00ED2BB7">
        <w:rPr>
          <w:shd w:val="clear" w:color="auto" w:fill="FFFFFF"/>
        </w:rPr>
        <w:t xml:space="preserve">to </w:t>
      </w:r>
      <w:r w:rsidR="00AF64BB" w:rsidRPr="00ED2BB7">
        <w:rPr>
          <w:shd w:val="clear" w:color="auto" w:fill="FFFFFF"/>
        </w:rPr>
        <w:t>identify</w:t>
      </w:r>
      <w:r w:rsidRPr="00ED2BB7">
        <w:rPr>
          <w:shd w:val="clear" w:color="auto" w:fill="FFFFFF"/>
        </w:rPr>
        <w:t xml:space="preserve"> the </w:t>
      </w:r>
      <w:r w:rsidR="00AF64BB" w:rsidRPr="00ED2BB7">
        <w:rPr>
          <w:shd w:val="clear" w:color="auto" w:fill="FFFFFF"/>
        </w:rPr>
        <w:t>weaknesses of PMPs submitted for ethical approval.</w:t>
      </w:r>
      <w:r w:rsidR="008C7BEA" w:rsidRPr="00ED2BB7">
        <w:rPr>
          <w:shd w:val="clear" w:color="auto" w:fill="FFFFFF"/>
        </w:rPr>
        <w:t xml:space="preserve"> </w:t>
      </w:r>
      <w:r w:rsidR="008C7BEA" w:rsidRPr="00ED2BB7">
        <w:rPr>
          <w:lang w:val="en-GB"/>
        </w:rPr>
        <w:t xml:space="preserve">Present findings </w:t>
      </w:r>
      <w:r w:rsidR="00D81DBE" w:rsidRPr="00ED2BB7">
        <w:rPr>
          <w:lang w:val="en-GB"/>
        </w:rPr>
        <w:t>demonstrated</w:t>
      </w:r>
      <w:r w:rsidR="008C7BEA" w:rsidRPr="00ED2BB7">
        <w:rPr>
          <w:lang w:val="en-GB"/>
        </w:rPr>
        <w:t xml:space="preserve"> the three main weaknesses identified in </w:t>
      </w:r>
      <w:r w:rsidR="000027DB" w:rsidRPr="00ED2BB7">
        <w:rPr>
          <w:lang w:val="en-GB"/>
        </w:rPr>
        <w:t>research protocols</w:t>
      </w:r>
      <w:r w:rsidR="008C7BEA" w:rsidRPr="00ED2BB7">
        <w:rPr>
          <w:lang w:val="en-GB"/>
        </w:rPr>
        <w:t xml:space="preserve"> are </w:t>
      </w:r>
      <w:r w:rsidR="00D81DBE" w:rsidRPr="00ED2BB7">
        <w:rPr>
          <w:lang w:val="en-GB"/>
        </w:rPr>
        <w:t xml:space="preserve">the lack of description for </w:t>
      </w:r>
      <w:r w:rsidR="008C7BEA" w:rsidRPr="00ED2BB7">
        <w:rPr>
          <w:lang w:val="en-GB"/>
        </w:rPr>
        <w:t>(i) study design</w:t>
      </w:r>
      <w:r w:rsidR="00D81DBE" w:rsidRPr="00ED2BB7">
        <w:rPr>
          <w:lang w:val="en-GB"/>
        </w:rPr>
        <w:t xml:space="preserve">, (ii) </w:t>
      </w:r>
      <w:r w:rsidR="008C7BEA" w:rsidRPr="00ED2BB7">
        <w:rPr>
          <w:lang w:val="en-GB"/>
        </w:rPr>
        <w:t xml:space="preserve">total number of subjects planned to be enrolled and </w:t>
      </w:r>
      <w:r w:rsidR="00D81DBE" w:rsidRPr="00ED2BB7">
        <w:rPr>
          <w:lang w:val="en-GB"/>
        </w:rPr>
        <w:t xml:space="preserve">(iii) </w:t>
      </w:r>
      <w:r w:rsidR="008C7BEA" w:rsidRPr="00ED2BB7">
        <w:rPr>
          <w:lang w:val="en-GB"/>
        </w:rPr>
        <w:t xml:space="preserve">subject’s exclusion criteria; each with error rates of 21%, 20% and 13%, respectively. </w:t>
      </w:r>
      <w:r w:rsidR="00D81DBE" w:rsidRPr="00ED2BB7">
        <w:rPr>
          <w:lang w:val="en-GB"/>
        </w:rPr>
        <w:t>In addition, the two main weaknesses found in patient information sheets/ informed consent forms (PIS/ICFs) are the lack of description for (i) compensation in the event of trial related injury and (ii) anticipated trial expenses; each with error rates of 16% and 15%, re</w:t>
      </w:r>
      <w:r w:rsidR="000646C9" w:rsidRPr="00ED2BB7">
        <w:rPr>
          <w:lang w:val="en-GB"/>
        </w:rPr>
        <w:t>spectively. Hence, this paper provides an in-de</w:t>
      </w:r>
      <w:r w:rsidR="00861F9E" w:rsidRPr="00ED2BB7">
        <w:rPr>
          <w:lang w:val="en-GB"/>
        </w:rPr>
        <w:t xml:space="preserve">pth discussion of how to improve the development of both research protocols and PIS/ICFs based on </w:t>
      </w:r>
      <w:r w:rsidR="000646C9" w:rsidRPr="00ED2BB7">
        <w:rPr>
          <w:lang w:val="en-GB"/>
        </w:rPr>
        <w:t xml:space="preserve">the </w:t>
      </w:r>
      <w:r w:rsidR="00166404" w:rsidRPr="00ED2BB7">
        <w:rPr>
          <w:lang w:val="en-GB"/>
        </w:rPr>
        <w:t xml:space="preserve">five </w:t>
      </w:r>
      <w:r w:rsidR="00861F9E" w:rsidRPr="00ED2BB7">
        <w:rPr>
          <w:lang w:val="en-GB"/>
        </w:rPr>
        <w:t>common weaknesses</w:t>
      </w:r>
      <w:r w:rsidR="00166404" w:rsidRPr="00ED2BB7">
        <w:rPr>
          <w:lang w:val="en-GB"/>
        </w:rPr>
        <w:t xml:space="preserve"> </w:t>
      </w:r>
      <w:r w:rsidR="00FD61D5" w:rsidRPr="00ED2BB7">
        <w:rPr>
          <w:lang w:val="en-GB"/>
        </w:rPr>
        <w:t xml:space="preserve">identified in this study. It also aims to serve as a useful guide for medical students to develop </w:t>
      </w:r>
      <w:r w:rsidR="000027DB" w:rsidRPr="00ED2BB7">
        <w:rPr>
          <w:lang w:val="en-GB"/>
        </w:rPr>
        <w:t xml:space="preserve">quality </w:t>
      </w:r>
      <w:r w:rsidR="00FD61D5" w:rsidRPr="00ED2BB7">
        <w:rPr>
          <w:lang w:val="en-GB"/>
        </w:rPr>
        <w:t>PMPs</w:t>
      </w:r>
      <w:r w:rsidR="00FD61D5" w:rsidRPr="00ED2BB7">
        <w:t xml:space="preserve"> which are both ethical and scientifically-sound by adhering to all the applicable regulatory requirements.</w:t>
      </w:r>
      <w:r w:rsidR="00FD61D5" w:rsidRPr="00ED2BB7">
        <w:rPr>
          <w:shd w:val="clear" w:color="auto" w:fill="FFFFFF"/>
        </w:rPr>
        <w:t xml:space="preserve"> </w:t>
      </w:r>
      <w:r w:rsidRPr="00ED2BB7">
        <w:rPr>
          <w:shd w:val="clear" w:color="auto" w:fill="FFFFFF"/>
        </w:rPr>
        <w:t xml:space="preserve"> </w:t>
      </w:r>
      <w:r w:rsidR="00FD61D5" w:rsidRPr="00ED2BB7">
        <w:rPr>
          <w:shd w:val="clear" w:color="auto" w:fill="FFFFFF"/>
        </w:rPr>
        <w:t xml:space="preserve"> </w:t>
      </w:r>
      <w:r w:rsidRPr="00ED2BB7">
        <w:rPr>
          <w:shd w:val="clear" w:color="auto" w:fill="FFFFFF"/>
        </w:rPr>
        <w:t xml:space="preserve"> </w:t>
      </w:r>
      <w:r w:rsidR="00F3601D" w:rsidRPr="00ED2BB7">
        <w:rPr>
          <w:shd w:val="clear" w:color="auto" w:fill="FFFFFF"/>
        </w:rPr>
        <w:t xml:space="preserve"> </w:t>
      </w:r>
    </w:p>
    <w:p w14:paraId="403EDE01" w14:textId="77777777" w:rsidR="000027DB" w:rsidRPr="00ED2BB7" w:rsidRDefault="000027DB" w:rsidP="00ED2BB7">
      <w:pPr>
        <w:pStyle w:val="NormalWeb"/>
        <w:spacing w:after="240" w:afterAutospacing="0"/>
        <w:rPr>
          <w:b/>
          <w:bCs/>
        </w:rPr>
      </w:pPr>
    </w:p>
    <w:p w14:paraId="2E7D47D9" w14:textId="074376A1" w:rsidR="00EA2C70" w:rsidRPr="00ED2BB7" w:rsidRDefault="00EA2C70" w:rsidP="00ED2BB7">
      <w:pPr>
        <w:pStyle w:val="NormalWeb"/>
        <w:spacing w:after="240" w:afterAutospacing="0"/>
        <w:rPr>
          <w:shd w:val="clear" w:color="auto" w:fill="FFFFFF"/>
        </w:rPr>
      </w:pPr>
      <w:r w:rsidRPr="00ED2BB7">
        <w:rPr>
          <w:b/>
          <w:bCs/>
        </w:rPr>
        <w:t>Keywords:</w:t>
      </w:r>
      <w:r w:rsidRPr="00ED2BB7">
        <w:t xml:space="preserve"> </w:t>
      </w:r>
      <w:r w:rsidRPr="00ED2BB7">
        <w:rPr>
          <w:i/>
        </w:rPr>
        <w:t xml:space="preserve">quality, postgraduate medical </w:t>
      </w:r>
      <w:r w:rsidR="00A101DA" w:rsidRPr="00ED2BB7">
        <w:rPr>
          <w:i/>
        </w:rPr>
        <w:t>pro</w:t>
      </w:r>
      <w:r w:rsidR="009A1B4A" w:rsidRPr="00ED2BB7">
        <w:rPr>
          <w:i/>
        </w:rPr>
        <w:t>tocol</w:t>
      </w:r>
    </w:p>
    <w:p w14:paraId="79360C20" w14:textId="77777777" w:rsidR="00FF6BA8" w:rsidRPr="00ED2BB7" w:rsidRDefault="00FF6BA8" w:rsidP="00ED2BB7">
      <w:pPr>
        <w:spacing w:after="240" w:line="240" w:lineRule="auto"/>
        <w:rPr>
          <w:rFonts w:ascii="Times New Roman" w:hAnsi="Times New Roman" w:cs="Times New Roman"/>
          <w:b/>
          <w:sz w:val="24"/>
          <w:szCs w:val="24"/>
        </w:rPr>
      </w:pPr>
      <w:r w:rsidRPr="00ED2BB7">
        <w:rPr>
          <w:rFonts w:ascii="Times New Roman" w:hAnsi="Times New Roman" w:cs="Times New Roman"/>
          <w:b/>
          <w:sz w:val="24"/>
          <w:szCs w:val="24"/>
        </w:rPr>
        <w:br w:type="page"/>
      </w:r>
    </w:p>
    <w:p w14:paraId="2DE776F3" w14:textId="498B1F21" w:rsidR="007C56A8" w:rsidRPr="00ED2BB7" w:rsidRDefault="004C607E" w:rsidP="00ED2BB7">
      <w:pPr>
        <w:spacing w:after="240" w:line="240" w:lineRule="auto"/>
        <w:rPr>
          <w:rFonts w:ascii="Times New Roman" w:hAnsi="Times New Roman" w:cs="Times New Roman"/>
          <w:b/>
          <w:sz w:val="24"/>
          <w:szCs w:val="24"/>
        </w:rPr>
      </w:pPr>
      <w:r w:rsidRPr="00ED2BB7">
        <w:rPr>
          <w:rFonts w:ascii="Times New Roman" w:hAnsi="Times New Roman" w:cs="Times New Roman"/>
          <w:b/>
          <w:sz w:val="24"/>
          <w:szCs w:val="24"/>
        </w:rPr>
        <w:lastRenderedPageBreak/>
        <w:t>INTRODUCTION</w:t>
      </w:r>
    </w:p>
    <w:p w14:paraId="38964944" w14:textId="0C6B17CD" w:rsidR="00451B06" w:rsidRPr="00ED2BB7" w:rsidRDefault="00451B06" w:rsidP="00ED2BB7">
      <w:pPr>
        <w:spacing w:after="240" w:line="240" w:lineRule="auto"/>
        <w:ind w:firstLine="720"/>
        <w:rPr>
          <w:rFonts w:ascii="Times New Roman" w:hAnsi="Times New Roman" w:cs="Times New Roman"/>
          <w:sz w:val="24"/>
          <w:szCs w:val="24"/>
        </w:rPr>
      </w:pPr>
      <w:r w:rsidRPr="00ED2BB7">
        <w:rPr>
          <w:rFonts w:ascii="Times New Roman" w:hAnsi="Times New Roman" w:cs="Times New Roman"/>
          <w:sz w:val="24"/>
          <w:szCs w:val="24"/>
        </w:rPr>
        <w:t xml:space="preserve">Malaysia has a growing influence for the proper conduct of clinical research within the ASEAN region. This has arisen from a good collaboration between public and private hospitals and clinical research organizations, together with </w:t>
      </w:r>
      <w:r w:rsidR="002A562E" w:rsidRPr="00ED2BB7">
        <w:rPr>
          <w:rFonts w:ascii="Times New Roman" w:hAnsi="Times New Roman" w:cs="Times New Roman"/>
          <w:sz w:val="24"/>
          <w:szCs w:val="24"/>
        </w:rPr>
        <w:t>an increased accessibility</w:t>
      </w:r>
      <w:r w:rsidRPr="00ED2BB7">
        <w:rPr>
          <w:rFonts w:ascii="Times New Roman" w:hAnsi="Times New Roman" w:cs="Times New Roman"/>
          <w:sz w:val="24"/>
          <w:szCs w:val="24"/>
        </w:rPr>
        <w:t xml:space="preserve"> of a diverse patient pool and low-cost, highly-qualified talented clinical research practitioners</w:t>
      </w:r>
      <w:r w:rsidR="00F54E89" w:rsidRPr="00ED2BB7">
        <w:rPr>
          <w:rFonts w:ascii="Times New Roman" w:hAnsi="Times New Roman" w:cs="Times New Roman"/>
          <w:sz w:val="24"/>
          <w:szCs w:val="24"/>
        </w:rPr>
        <w:t xml:space="preserve"> [1]</w:t>
      </w:r>
      <w:r w:rsidRPr="00ED2BB7">
        <w:rPr>
          <w:rFonts w:ascii="Times New Roman" w:hAnsi="Times New Roman" w:cs="Times New Roman"/>
          <w:sz w:val="24"/>
          <w:szCs w:val="24"/>
        </w:rPr>
        <w:t>. In addition, Malaysia is also one of the favourite destinations for all types of clinical research which is partially attributed to a concerted effort of the Malaysian Government</w:t>
      </w:r>
      <w:r w:rsidR="002A562E" w:rsidRPr="00ED2BB7">
        <w:rPr>
          <w:rFonts w:ascii="Times New Roman" w:hAnsi="Times New Roman" w:cs="Times New Roman"/>
          <w:sz w:val="24"/>
          <w:szCs w:val="24"/>
        </w:rPr>
        <w:t xml:space="preserve"> f</w:t>
      </w:r>
      <w:r w:rsidRPr="00ED2BB7">
        <w:rPr>
          <w:rFonts w:ascii="Times New Roman" w:hAnsi="Times New Roman" w:cs="Times New Roman"/>
          <w:sz w:val="24"/>
          <w:szCs w:val="24"/>
        </w:rPr>
        <w:t>o</w:t>
      </w:r>
      <w:r w:rsidR="002A562E" w:rsidRPr="00ED2BB7">
        <w:rPr>
          <w:rFonts w:ascii="Times New Roman" w:hAnsi="Times New Roman" w:cs="Times New Roman"/>
          <w:sz w:val="24"/>
          <w:szCs w:val="24"/>
        </w:rPr>
        <w:t>r encouraging</w:t>
      </w:r>
      <w:r w:rsidRPr="00ED2BB7">
        <w:rPr>
          <w:rFonts w:ascii="Times New Roman" w:hAnsi="Times New Roman" w:cs="Times New Roman"/>
          <w:sz w:val="24"/>
          <w:szCs w:val="24"/>
        </w:rPr>
        <w:t xml:space="preserve"> indu</w:t>
      </w:r>
      <w:r w:rsidR="000D5D60" w:rsidRPr="00ED2BB7">
        <w:rPr>
          <w:rFonts w:ascii="Times New Roman" w:hAnsi="Times New Roman" w:cs="Times New Roman"/>
          <w:sz w:val="24"/>
          <w:szCs w:val="24"/>
        </w:rPr>
        <w:t>stry-sponsored trials</w:t>
      </w:r>
      <w:r w:rsidRPr="00ED2BB7">
        <w:rPr>
          <w:rFonts w:ascii="Times New Roman" w:hAnsi="Times New Roman" w:cs="Times New Roman"/>
          <w:sz w:val="24"/>
          <w:szCs w:val="24"/>
        </w:rPr>
        <w:t xml:space="preserve">. The most recent example of this is the establishment of Clinical Research Malaysia (CRM) to promote Malaysia as a hub for </w:t>
      </w:r>
      <w:r w:rsidR="002A562E" w:rsidRPr="00ED2BB7">
        <w:rPr>
          <w:rFonts w:ascii="Times New Roman" w:hAnsi="Times New Roman" w:cs="Times New Roman"/>
          <w:sz w:val="24"/>
          <w:szCs w:val="24"/>
        </w:rPr>
        <w:t>promoting industry-sponsored research (p</w:t>
      </w:r>
      <w:r w:rsidRPr="00ED2BB7">
        <w:rPr>
          <w:rFonts w:ascii="Times New Roman" w:hAnsi="Times New Roman" w:cs="Times New Roman"/>
          <w:sz w:val="24"/>
          <w:szCs w:val="24"/>
        </w:rPr>
        <w:t>articularly clinical trials</w:t>
      </w:r>
      <w:r w:rsidR="002A562E" w:rsidRPr="00ED2BB7">
        <w:rPr>
          <w:rFonts w:ascii="Times New Roman" w:hAnsi="Times New Roman" w:cs="Times New Roman"/>
          <w:sz w:val="24"/>
          <w:szCs w:val="24"/>
        </w:rPr>
        <w:t>) within Malaysia and its nearby ASEAN region</w:t>
      </w:r>
      <w:r w:rsidRPr="00ED2BB7">
        <w:rPr>
          <w:rFonts w:ascii="Times New Roman" w:hAnsi="Times New Roman" w:cs="Times New Roman"/>
          <w:sz w:val="24"/>
          <w:szCs w:val="24"/>
        </w:rPr>
        <w:t xml:space="preserve">.  </w:t>
      </w:r>
    </w:p>
    <w:p w14:paraId="78A2B169" w14:textId="55F8DF37" w:rsidR="005E2A9E" w:rsidRPr="00ED2BB7" w:rsidRDefault="00451B06" w:rsidP="00ED2BB7">
      <w:pPr>
        <w:spacing w:after="240" w:line="240" w:lineRule="auto"/>
        <w:ind w:firstLine="720"/>
        <w:rPr>
          <w:rFonts w:ascii="Times New Roman" w:hAnsi="Times New Roman" w:cs="Times New Roman"/>
          <w:sz w:val="24"/>
          <w:szCs w:val="24"/>
        </w:rPr>
      </w:pPr>
      <w:r w:rsidRPr="00ED2BB7">
        <w:rPr>
          <w:rFonts w:ascii="Times New Roman" w:hAnsi="Times New Roman" w:cs="Times New Roman"/>
          <w:sz w:val="24"/>
          <w:szCs w:val="24"/>
        </w:rPr>
        <w:t xml:space="preserve">Clinical trials involving human subjects are now becoming larger and more complex, with an increasing number of trials enrolling thousands of patients across multiple centres, both locally and abroad. Although this phase of drug development contributes to the overall progress of clinical research, however the Institutional Review Board (IRB) will now have to </w:t>
      </w:r>
      <w:r w:rsidR="002A562E" w:rsidRPr="00ED2BB7">
        <w:rPr>
          <w:rFonts w:ascii="Times New Roman" w:hAnsi="Times New Roman" w:cs="Times New Roman"/>
          <w:sz w:val="24"/>
          <w:szCs w:val="24"/>
        </w:rPr>
        <w:t>assume a</w:t>
      </w:r>
      <w:r w:rsidRPr="00ED2BB7">
        <w:rPr>
          <w:rFonts w:ascii="Times New Roman" w:hAnsi="Times New Roman" w:cs="Times New Roman"/>
          <w:sz w:val="24"/>
          <w:szCs w:val="24"/>
        </w:rPr>
        <w:t xml:space="preserve"> greater r</w:t>
      </w:r>
      <w:r w:rsidR="002A562E" w:rsidRPr="00ED2BB7">
        <w:rPr>
          <w:rFonts w:ascii="Times New Roman" w:hAnsi="Times New Roman" w:cs="Times New Roman"/>
          <w:sz w:val="24"/>
          <w:szCs w:val="24"/>
        </w:rPr>
        <w:t xml:space="preserve">ole </w:t>
      </w:r>
      <w:r w:rsidRPr="00ED2BB7">
        <w:rPr>
          <w:rFonts w:ascii="Times New Roman" w:hAnsi="Times New Roman" w:cs="Times New Roman"/>
          <w:sz w:val="24"/>
          <w:szCs w:val="24"/>
        </w:rPr>
        <w:t xml:space="preserve">in both the </w:t>
      </w:r>
      <w:r w:rsidR="000D5D60" w:rsidRPr="00ED2BB7">
        <w:rPr>
          <w:rFonts w:ascii="Times New Roman" w:hAnsi="Times New Roman" w:cs="Times New Roman"/>
          <w:sz w:val="24"/>
          <w:szCs w:val="24"/>
        </w:rPr>
        <w:t xml:space="preserve">ethical </w:t>
      </w:r>
      <w:r w:rsidRPr="00ED2BB7">
        <w:rPr>
          <w:rFonts w:ascii="Times New Roman" w:hAnsi="Times New Roman" w:cs="Times New Roman"/>
          <w:sz w:val="24"/>
          <w:szCs w:val="24"/>
        </w:rPr>
        <w:t xml:space="preserve">review and approval of research protocols.  Medical Research &amp; Ethics Committee (MREC) is the ethics committee </w:t>
      </w:r>
      <w:r w:rsidR="000D5D60" w:rsidRPr="00ED2BB7">
        <w:rPr>
          <w:rFonts w:ascii="Times New Roman" w:hAnsi="Times New Roman" w:cs="Times New Roman"/>
          <w:sz w:val="24"/>
          <w:szCs w:val="24"/>
        </w:rPr>
        <w:t>within the Malaysian Ministry of Health</w:t>
      </w:r>
      <w:r w:rsidR="00DA3BEE" w:rsidRPr="00ED2BB7">
        <w:rPr>
          <w:rFonts w:ascii="Times New Roman" w:hAnsi="Times New Roman" w:cs="Times New Roman"/>
          <w:sz w:val="24"/>
          <w:szCs w:val="24"/>
        </w:rPr>
        <w:t xml:space="preserve"> (MOH)</w:t>
      </w:r>
      <w:r w:rsidR="000D5D60" w:rsidRPr="00ED2BB7">
        <w:rPr>
          <w:rFonts w:ascii="Times New Roman" w:hAnsi="Times New Roman" w:cs="Times New Roman"/>
          <w:sz w:val="24"/>
          <w:szCs w:val="24"/>
        </w:rPr>
        <w:t xml:space="preserve"> </w:t>
      </w:r>
      <w:r w:rsidRPr="00ED2BB7">
        <w:rPr>
          <w:rFonts w:ascii="Times New Roman" w:hAnsi="Times New Roman" w:cs="Times New Roman"/>
          <w:sz w:val="24"/>
          <w:szCs w:val="24"/>
        </w:rPr>
        <w:t xml:space="preserve">which has been </w:t>
      </w:r>
      <w:r w:rsidR="002B3FC7" w:rsidRPr="00ED2BB7">
        <w:rPr>
          <w:rFonts w:ascii="Times New Roman" w:hAnsi="Times New Roman" w:cs="Times New Roman"/>
          <w:sz w:val="24"/>
          <w:szCs w:val="24"/>
        </w:rPr>
        <w:t>tasked</w:t>
      </w:r>
      <w:r w:rsidRPr="00ED2BB7">
        <w:rPr>
          <w:rFonts w:ascii="Times New Roman" w:hAnsi="Times New Roman" w:cs="Times New Roman"/>
          <w:sz w:val="24"/>
          <w:szCs w:val="24"/>
        </w:rPr>
        <w:t xml:space="preserve"> to review research protocol </w:t>
      </w:r>
      <w:r w:rsidR="002B3FC7" w:rsidRPr="00ED2BB7">
        <w:rPr>
          <w:rFonts w:ascii="Times New Roman" w:hAnsi="Times New Roman" w:cs="Times New Roman"/>
          <w:sz w:val="24"/>
          <w:szCs w:val="24"/>
        </w:rPr>
        <w:t xml:space="preserve">and </w:t>
      </w:r>
      <w:r w:rsidRPr="00ED2BB7">
        <w:rPr>
          <w:rFonts w:ascii="Times New Roman" w:hAnsi="Times New Roman" w:cs="Times New Roman"/>
          <w:sz w:val="24"/>
          <w:szCs w:val="24"/>
        </w:rPr>
        <w:t xml:space="preserve">to </w:t>
      </w:r>
      <w:r w:rsidR="000D5D60" w:rsidRPr="00ED2BB7">
        <w:rPr>
          <w:rFonts w:ascii="Times New Roman" w:hAnsi="Times New Roman" w:cs="Times New Roman"/>
          <w:sz w:val="24"/>
          <w:szCs w:val="24"/>
        </w:rPr>
        <w:t>grant ethical</w:t>
      </w:r>
      <w:r w:rsidRPr="00ED2BB7">
        <w:rPr>
          <w:rFonts w:ascii="Times New Roman" w:hAnsi="Times New Roman" w:cs="Times New Roman"/>
          <w:sz w:val="24"/>
          <w:szCs w:val="24"/>
        </w:rPr>
        <w:t xml:space="preserve"> approval for research </w:t>
      </w:r>
      <w:r w:rsidR="00DA3BEE" w:rsidRPr="00ED2BB7">
        <w:rPr>
          <w:rFonts w:ascii="Times New Roman" w:hAnsi="Times New Roman" w:cs="Times New Roman"/>
          <w:sz w:val="24"/>
          <w:szCs w:val="24"/>
        </w:rPr>
        <w:t xml:space="preserve">involving MOH researcher and/or MOH facilities.  </w:t>
      </w:r>
    </w:p>
    <w:p w14:paraId="7088F339" w14:textId="3486CBC3" w:rsidR="009A3D23" w:rsidRPr="00ED2BB7" w:rsidRDefault="00451B06" w:rsidP="00ED2BB7">
      <w:pPr>
        <w:spacing w:after="240" w:line="240" w:lineRule="auto"/>
        <w:ind w:firstLine="720"/>
        <w:rPr>
          <w:rFonts w:ascii="Times New Roman" w:hAnsi="Times New Roman" w:cs="Times New Roman"/>
          <w:sz w:val="24"/>
          <w:szCs w:val="24"/>
        </w:rPr>
      </w:pPr>
      <w:r w:rsidRPr="00ED2BB7">
        <w:rPr>
          <w:rFonts w:ascii="Times New Roman" w:hAnsi="Times New Roman" w:cs="Times New Roman"/>
          <w:sz w:val="24"/>
          <w:szCs w:val="24"/>
        </w:rPr>
        <w:t>A gradual but significant increase in the total number of research protocols have been submitted to MREC since its inception in 2</w:t>
      </w:r>
      <w:r w:rsidR="0067308A" w:rsidRPr="00ED2BB7">
        <w:rPr>
          <w:rFonts w:ascii="Times New Roman" w:hAnsi="Times New Roman" w:cs="Times New Roman"/>
          <w:sz w:val="24"/>
          <w:szCs w:val="24"/>
        </w:rPr>
        <w:t xml:space="preserve">002; and it was found that over </w:t>
      </w:r>
      <w:r w:rsidR="00884991" w:rsidRPr="00ED2BB7">
        <w:rPr>
          <w:rFonts w:ascii="Times New Roman" w:hAnsi="Times New Roman" w:cs="Times New Roman"/>
          <w:sz w:val="24"/>
          <w:szCs w:val="24"/>
        </w:rPr>
        <w:t xml:space="preserve">the </w:t>
      </w:r>
      <w:r w:rsidRPr="00ED2BB7">
        <w:rPr>
          <w:rFonts w:ascii="Times New Roman" w:hAnsi="Times New Roman" w:cs="Times New Roman"/>
          <w:sz w:val="24"/>
          <w:szCs w:val="24"/>
        </w:rPr>
        <w:t>years, the quality of research protocol</w:t>
      </w:r>
      <w:r w:rsidR="0067308A" w:rsidRPr="00ED2BB7">
        <w:rPr>
          <w:rFonts w:ascii="Times New Roman" w:hAnsi="Times New Roman" w:cs="Times New Roman"/>
          <w:sz w:val="24"/>
          <w:szCs w:val="24"/>
        </w:rPr>
        <w:t>s</w:t>
      </w:r>
      <w:r w:rsidRPr="00ED2BB7">
        <w:rPr>
          <w:rFonts w:ascii="Times New Roman" w:hAnsi="Times New Roman" w:cs="Times New Roman"/>
          <w:sz w:val="24"/>
          <w:szCs w:val="24"/>
        </w:rPr>
        <w:t xml:space="preserve"> that were submitted to MREC has varied widely. </w:t>
      </w:r>
      <w:r w:rsidR="00676E33" w:rsidRPr="00ED2BB7">
        <w:rPr>
          <w:rFonts w:ascii="Times New Roman" w:hAnsi="Times New Roman" w:cs="Times New Roman"/>
          <w:sz w:val="24"/>
          <w:szCs w:val="24"/>
        </w:rPr>
        <w:t>P</w:t>
      </w:r>
      <w:r w:rsidR="000D5D60" w:rsidRPr="00ED2BB7">
        <w:rPr>
          <w:rFonts w:ascii="Times New Roman" w:hAnsi="Times New Roman" w:cs="Times New Roman"/>
          <w:sz w:val="24"/>
          <w:szCs w:val="24"/>
        </w:rPr>
        <w:t xml:space="preserve">ostgraduate medical </w:t>
      </w:r>
      <w:r w:rsidRPr="00ED2BB7">
        <w:rPr>
          <w:rFonts w:ascii="Times New Roman" w:hAnsi="Times New Roman" w:cs="Times New Roman"/>
          <w:sz w:val="24"/>
          <w:szCs w:val="24"/>
        </w:rPr>
        <w:t>protocol</w:t>
      </w:r>
      <w:r w:rsidR="00DA3BEE" w:rsidRPr="00ED2BB7">
        <w:rPr>
          <w:rFonts w:ascii="Times New Roman" w:hAnsi="Times New Roman" w:cs="Times New Roman"/>
          <w:sz w:val="24"/>
          <w:szCs w:val="24"/>
        </w:rPr>
        <w:t>s</w:t>
      </w:r>
      <w:r w:rsidRPr="00ED2BB7">
        <w:rPr>
          <w:rFonts w:ascii="Times New Roman" w:hAnsi="Times New Roman" w:cs="Times New Roman"/>
          <w:sz w:val="24"/>
          <w:szCs w:val="24"/>
        </w:rPr>
        <w:t xml:space="preserve"> (PMP</w:t>
      </w:r>
      <w:r w:rsidR="00DA3BEE" w:rsidRPr="00ED2BB7">
        <w:rPr>
          <w:rFonts w:ascii="Times New Roman" w:hAnsi="Times New Roman" w:cs="Times New Roman"/>
          <w:sz w:val="24"/>
          <w:szCs w:val="24"/>
        </w:rPr>
        <w:t>s</w:t>
      </w:r>
      <w:r w:rsidRPr="00ED2BB7">
        <w:rPr>
          <w:rFonts w:ascii="Times New Roman" w:hAnsi="Times New Roman" w:cs="Times New Roman"/>
          <w:sz w:val="24"/>
          <w:szCs w:val="24"/>
        </w:rPr>
        <w:t>)</w:t>
      </w:r>
      <w:r w:rsidR="000D5D60" w:rsidRPr="00ED2BB7">
        <w:rPr>
          <w:rFonts w:ascii="Times New Roman" w:hAnsi="Times New Roman" w:cs="Times New Roman"/>
          <w:sz w:val="24"/>
          <w:szCs w:val="24"/>
        </w:rPr>
        <w:t xml:space="preserve"> collectively represent</w:t>
      </w:r>
      <w:r w:rsidRPr="00ED2BB7">
        <w:rPr>
          <w:rFonts w:ascii="Times New Roman" w:hAnsi="Times New Roman" w:cs="Times New Roman"/>
          <w:sz w:val="24"/>
          <w:szCs w:val="24"/>
        </w:rPr>
        <w:t xml:space="preserve"> approximately 20% of the total number of medical </w:t>
      </w:r>
      <w:r w:rsidR="00767A06" w:rsidRPr="00ED2BB7">
        <w:rPr>
          <w:rFonts w:ascii="Times New Roman" w:hAnsi="Times New Roman" w:cs="Times New Roman"/>
          <w:sz w:val="24"/>
          <w:szCs w:val="24"/>
        </w:rPr>
        <w:t xml:space="preserve">research protocols </w:t>
      </w:r>
      <w:r w:rsidR="004F506D" w:rsidRPr="00ED2BB7">
        <w:rPr>
          <w:rFonts w:ascii="Times New Roman" w:hAnsi="Times New Roman" w:cs="Times New Roman"/>
          <w:sz w:val="24"/>
          <w:szCs w:val="24"/>
        </w:rPr>
        <w:t xml:space="preserve">approved </w:t>
      </w:r>
      <w:r w:rsidR="00767A06" w:rsidRPr="00ED2BB7">
        <w:rPr>
          <w:rFonts w:ascii="Times New Roman" w:hAnsi="Times New Roman" w:cs="Times New Roman"/>
          <w:sz w:val="24"/>
          <w:szCs w:val="24"/>
        </w:rPr>
        <w:t>within</w:t>
      </w:r>
      <w:r w:rsidR="00676E33" w:rsidRPr="00ED2BB7">
        <w:rPr>
          <w:rFonts w:ascii="Times New Roman" w:hAnsi="Times New Roman" w:cs="Times New Roman"/>
          <w:sz w:val="24"/>
          <w:szCs w:val="24"/>
        </w:rPr>
        <w:t xml:space="preserve"> </w:t>
      </w:r>
      <w:r w:rsidR="004F506D" w:rsidRPr="00ED2BB7">
        <w:rPr>
          <w:rFonts w:ascii="Times New Roman" w:hAnsi="Times New Roman" w:cs="Times New Roman"/>
          <w:sz w:val="24"/>
          <w:szCs w:val="24"/>
        </w:rPr>
        <w:t>Na</w:t>
      </w:r>
      <w:r w:rsidR="00531807" w:rsidRPr="00ED2BB7">
        <w:rPr>
          <w:rFonts w:ascii="Times New Roman" w:hAnsi="Times New Roman" w:cs="Times New Roman"/>
          <w:sz w:val="24"/>
          <w:szCs w:val="24"/>
        </w:rPr>
        <w:t>tional Medical Research Register</w:t>
      </w:r>
      <w:r w:rsidR="004F506D" w:rsidRPr="00ED2BB7">
        <w:rPr>
          <w:rFonts w:ascii="Times New Roman" w:hAnsi="Times New Roman" w:cs="Times New Roman"/>
          <w:sz w:val="24"/>
          <w:szCs w:val="24"/>
        </w:rPr>
        <w:t xml:space="preserve"> </w:t>
      </w:r>
      <w:r w:rsidR="00B13A04" w:rsidRPr="00ED2BB7">
        <w:rPr>
          <w:rFonts w:ascii="Times New Roman" w:hAnsi="Times New Roman" w:cs="Times New Roman"/>
          <w:sz w:val="24"/>
          <w:szCs w:val="24"/>
        </w:rPr>
        <w:t xml:space="preserve">(NMRR) </w:t>
      </w:r>
      <w:r w:rsidR="009A3D23" w:rsidRPr="00ED2BB7">
        <w:rPr>
          <w:rFonts w:ascii="Times New Roman" w:hAnsi="Times New Roman" w:cs="Times New Roman"/>
          <w:sz w:val="24"/>
          <w:szCs w:val="24"/>
        </w:rPr>
        <w:t>in 2012</w:t>
      </w:r>
      <w:r w:rsidR="00676E33" w:rsidRPr="00ED2BB7">
        <w:rPr>
          <w:rFonts w:ascii="Times New Roman" w:hAnsi="Times New Roman" w:cs="Times New Roman"/>
          <w:sz w:val="24"/>
          <w:szCs w:val="24"/>
        </w:rPr>
        <w:t>,</w:t>
      </w:r>
      <w:r w:rsidR="009A3D23" w:rsidRPr="00ED2BB7">
        <w:rPr>
          <w:rFonts w:ascii="Times New Roman" w:hAnsi="Times New Roman" w:cs="Times New Roman"/>
          <w:sz w:val="24"/>
          <w:szCs w:val="24"/>
        </w:rPr>
        <w:t xml:space="preserve"> which represent the largest proportion of research protocols being submitted to MREC compared to those submitted by </w:t>
      </w:r>
      <w:r w:rsidR="00365755" w:rsidRPr="00ED2BB7">
        <w:rPr>
          <w:rFonts w:ascii="Times New Roman" w:hAnsi="Times New Roman" w:cs="Times New Roman"/>
          <w:sz w:val="24"/>
          <w:szCs w:val="24"/>
        </w:rPr>
        <w:t xml:space="preserve">other investigators such as </w:t>
      </w:r>
      <w:r w:rsidR="009A3D23" w:rsidRPr="00ED2BB7">
        <w:rPr>
          <w:rFonts w:ascii="Times New Roman" w:hAnsi="Times New Roman" w:cs="Times New Roman"/>
          <w:sz w:val="24"/>
          <w:szCs w:val="24"/>
        </w:rPr>
        <w:t>undergraduates, diploma-holders, and</w:t>
      </w:r>
      <w:r w:rsidR="00676E33" w:rsidRPr="00ED2BB7">
        <w:rPr>
          <w:rFonts w:ascii="Times New Roman" w:hAnsi="Times New Roman" w:cs="Times New Roman"/>
          <w:sz w:val="24"/>
          <w:szCs w:val="24"/>
        </w:rPr>
        <w:t xml:space="preserve"> </w:t>
      </w:r>
      <w:r w:rsidR="00365755" w:rsidRPr="00ED2BB7">
        <w:rPr>
          <w:rFonts w:ascii="Times New Roman" w:hAnsi="Times New Roman" w:cs="Times New Roman"/>
          <w:sz w:val="24"/>
          <w:szCs w:val="24"/>
        </w:rPr>
        <w:t>r</w:t>
      </w:r>
      <w:r w:rsidR="009A3D23" w:rsidRPr="00ED2BB7">
        <w:rPr>
          <w:rFonts w:ascii="Times New Roman" w:hAnsi="Times New Roman" w:cs="Times New Roman"/>
          <w:sz w:val="24"/>
          <w:szCs w:val="24"/>
        </w:rPr>
        <w:t>es</w:t>
      </w:r>
      <w:r w:rsidR="00365755" w:rsidRPr="00ED2BB7">
        <w:rPr>
          <w:rFonts w:ascii="Times New Roman" w:hAnsi="Times New Roman" w:cs="Times New Roman"/>
          <w:sz w:val="24"/>
          <w:szCs w:val="24"/>
        </w:rPr>
        <w:t>earchers</w:t>
      </w:r>
      <w:r w:rsidR="009A3D23" w:rsidRPr="00ED2BB7">
        <w:rPr>
          <w:rFonts w:ascii="Times New Roman" w:hAnsi="Times New Roman" w:cs="Times New Roman"/>
          <w:sz w:val="24"/>
          <w:szCs w:val="24"/>
        </w:rPr>
        <w:t xml:space="preserve"> involved in industry-sponsored research</w:t>
      </w:r>
      <w:r w:rsidR="008008BA" w:rsidRPr="00ED2BB7">
        <w:rPr>
          <w:rFonts w:ascii="Times New Roman" w:hAnsi="Times New Roman" w:cs="Times New Roman"/>
          <w:sz w:val="24"/>
          <w:szCs w:val="24"/>
        </w:rPr>
        <w:t xml:space="preserve"> [2]</w:t>
      </w:r>
      <w:r w:rsidR="009A3D23" w:rsidRPr="00ED2BB7">
        <w:rPr>
          <w:rFonts w:ascii="Times New Roman" w:hAnsi="Times New Roman" w:cs="Times New Roman"/>
          <w:sz w:val="24"/>
          <w:szCs w:val="24"/>
        </w:rPr>
        <w:t>. In addition, it is also found that most of these PMPs will require further amendment upon an initial MREC</w:t>
      </w:r>
      <w:r w:rsidR="00D26E15" w:rsidRPr="00ED2BB7">
        <w:rPr>
          <w:rFonts w:ascii="Times New Roman" w:hAnsi="Times New Roman" w:cs="Times New Roman"/>
          <w:sz w:val="24"/>
          <w:szCs w:val="24"/>
        </w:rPr>
        <w:t xml:space="preserve"> review</w:t>
      </w:r>
      <w:r w:rsidR="00DC0F65" w:rsidRPr="00ED2BB7">
        <w:rPr>
          <w:rFonts w:ascii="Times New Roman" w:hAnsi="Times New Roman" w:cs="Times New Roman"/>
          <w:sz w:val="24"/>
          <w:szCs w:val="24"/>
        </w:rPr>
        <w:t xml:space="preserve">; therefore requiring </w:t>
      </w:r>
      <w:r w:rsidR="00D45A6C" w:rsidRPr="00ED2BB7">
        <w:rPr>
          <w:rFonts w:ascii="Times New Roman" w:hAnsi="Times New Roman" w:cs="Times New Roman"/>
          <w:sz w:val="24"/>
          <w:szCs w:val="24"/>
        </w:rPr>
        <w:t>longer period of time t</w:t>
      </w:r>
      <w:r w:rsidR="00DC0F65" w:rsidRPr="00ED2BB7">
        <w:rPr>
          <w:rFonts w:ascii="Times New Roman" w:hAnsi="Times New Roman" w:cs="Times New Roman"/>
          <w:sz w:val="24"/>
          <w:szCs w:val="24"/>
        </w:rPr>
        <w:t>o</w:t>
      </w:r>
      <w:r w:rsidR="00D45A6C" w:rsidRPr="00ED2BB7">
        <w:rPr>
          <w:rFonts w:ascii="Times New Roman" w:hAnsi="Times New Roman" w:cs="Times New Roman"/>
          <w:sz w:val="24"/>
          <w:szCs w:val="24"/>
        </w:rPr>
        <w:t xml:space="preserve"> obtain</w:t>
      </w:r>
      <w:r w:rsidR="00DC0F65" w:rsidRPr="00ED2BB7">
        <w:rPr>
          <w:rFonts w:ascii="Times New Roman" w:hAnsi="Times New Roman" w:cs="Times New Roman"/>
          <w:sz w:val="24"/>
          <w:szCs w:val="24"/>
        </w:rPr>
        <w:t xml:space="preserve"> a</w:t>
      </w:r>
      <w:r w:rsidR="00312B4D" w:rsidRPr="00ED2BB7">
        <w:rPr>
          <w:rFonts w:ascii="Times New Roman" w:hAnsi="Times New Roman" w:cs="Times New Roman"/>
          <w:sz w:val="24"/>
          <w:szCs w:val="24"/>
        </w:rPr>
        <w:t xml:space="preserve"> formal ethical</w:t>
      </w:r>
      <w:r w:rsidR="00D26E15" w:rsidRPr="00ED2BB7">
        <w:rPr>
          <w:rFonts w:ascii="Times New Roman" w:hAnsi="Times New Roman" w:cs="Times New Roman"/>
          <w:sz w:val="24"/>
          <w:szCs w:val="24"/>
        </w:rPr>
        <w:t xml:space="preserve"> approval</w:t>
      </w:r>
      <w:r w:rsidR="008008BA" w:rsidRPr="00ED2BB7">
        <w:rPr>
          <w:rFonts w:ascii="Times New Roman" w:hAnsi="Times New Roman" w:cs="Times New Roman"/>
          <w:sz w:val="24"/>
          <w:szCs w:val="24"/>
        </w:rPr>
        <w:t xml:space="preserve"> [2]</w:t>
      </w:r>
      <w:r w:rsidR="00B13A04" w:rsidRPr="00ED2BB7">
        <w:rPr>
          <w:rFonts w:ascii="Times New Roman" w:hAnsi="Times New Roman" w:cs="Times New Roman"/>
          <w:sz w:val="24"/>
          <w:szCs w:val="24"/>
        </w:rPr>
        <w:t>.</w:t>
      </w:r>
    </w:p>
    <w:p w14:paraId="5D7EFD9D" w14:textId="1030588D" w:rsidR="00092ACC" w:rsidRPr="00ED2BB7" w:rsidRDefault="00DC0F65" w:rsidP="00ED2BB7">
      <w:pPr>
        <w:spacing w:after="240" w:line="240" w:lineRule="auto"/>
        <w:ind w:firstLine="720"/>
        <w:rPr>
          <w:rFonts w:ascii="Times New Roman" w:hAnsi="Times New Roman" w:cs="Times New Roman"/>
          <w:sz w:val="24"/>
          <w:szCs w:val="24"/>
        </w:rPr>
      </w:pPr>
      <w:r w:rsidRPr="00ED2BB7">
        <w:rPr>
          <w:rFonts w:ascii="Times New Roman" w:hAnsi="Times New Roman" w:cs="Times New Roman"/>
          <w:sz w:val="24"/>
          <w:szCs w:val="24"/>
        </w:rPr>
        <w:t xml:space="preserve">Hence, to </w:t>
      </w:r>
      <w:r w:rsidR="009A3D23" w:rsidRPr="00ED2BB7">
        <w:rPr>
          <w:rFonts w:ascii="Times New Roman" w:hAnsi="Times New Roman" w:cs="Times New Roman"/>
          <w:sz w:val="24"/>
          <w:szCs w:val="24"/>
        </w:rPr>
        <w:t xml:space="preserve">mitigate this </w:t>
      </w:r>
      <w:r w:rsidR="00103FE0" w:rsidRPr="00ED2BB7">
        <w:rPr>
          <w:rFonts w:ascii="Times New Roman" w:hAnsi="Times New Roman" w:cs="Times New Roman"/>
          <w:sz w:val="24"/>
          <w:szCs w:val="24"/>
        </w:rPr>
        <w:t>issue</w:t>
      </w:r>
      <w:r w:rsidR="009A3D23" w:rsidRPr="00ED2BB7">
        <w:rPr>
          <w:rFonts w:ascii="Times New Roman" w:hAnsi="Times New Roman" w:cs="Times New Roman"/>
          <w:sz w:val="24"/>
          <w:szCs w:val="24"/>
        </w:rPr>
        <w:t xml:space="preserve">, this </w:t>
      </w:r>
      <w:r w:rsidR="00103FE0" w:rsidRPr="00ED2BB7">
        <w:rPr>
          <w:rFonts w:ascii="Times New Roman" w:hAnsi="Times New Roman" w:cs="Times New Roman"/>
          <w:sz w:val="24"/>
          <w:szCs w:val="24"/>
        </w:rPr>
        <w:t>study</w:t>
      </w:r>
      <w:r w:rsidR="009A3D23" w:rsidRPr="00ED2BB7">
        <w:rPr>
          <w:rFonts w:ascii="Times New Roman" w:hAnsi="Times New Roman" w:cs="Times New Roman"/>
          <w:sz w:val="24"/>
          <w:szCs w:val="24"/>
        </w:rPr>
        <w:t xml:space="preserve"> </w:t>
      </w:r>
      <w:r w:rsidR="009C0ED9" w:rsidRPr="00ED2BB7">
        <w:rPr>
          <w:rFonts w:ascii="Times New Roman" w:hAnsi="Times New Roman" w:cs="Times New Roman"/>
          <w:sz w:val="24"/>
          <w:szCs w:val="24"/>
        </w:rPr>
        <w:t xml:space="preserve">thereby </w:t>
      </w:r>
      <w:r w:rsidR="009A3D23" w:rsidRPr="00ED2BB7">
        <w:rPr>
          <w:rFonts w:ascii="Times New Roman" w:hAnsi="Times New Roman" w:cs="Times New Roman"/>
          <w:sz w:val="24"/>
          <w:szCs w:val="24"/>
        </w:rPr>
        <w:t xml:space="preserve">aims to provide </w:t>
      </w:r>
      <w:r w:rsidR="00103FE0" w:rsidRPr="00ED2BB7">
        <w:rPr>
          <w:rFonts w:ascii="Times New Roman" w:hAnsi="Times New Roman" w:cs="Times New Roman"/>
          <w:sz w:val="24"/>
          <w:szCs w:val="24"/>
        </w:rPr>
        <w:t xml:space="preserve">an </w:t>
      </w:r>
      <w:r w:rsidR="00B13A04" w:rsidRPr="00ED2BB7">
        <w:rPr>
          <w:rFonts w:ascii="Times New Roman" w:hAnsi="Times New Roman" w:cs="Times New Roman"/>
          <w:sz w:val="24"/>
          <w:szCs w:val="24"/>
        </w:rPr>
        <w:t xml:space="preserve">initial </w:t>
      </w:r>
      <w:r w:rsidR="00531807" w:rsidRPr="00ED2BB7">
        <w:rPr>
          <w:rFonts w:ascii="Times New Roman" w:hAnsi="Times New Roman" w:cs="Times New Roman"/>
          <w:sz w:val="24"/>
          <w:szCs w:val="24"/>
        </w:rPr>
        <w:t xml:space="preserve">overview of the most common </w:t>
      </w:r>
      <w:r w:rsidR="00103FE0" w:rsidRPr="00ED2BB7">
        <w:rPr>
          <w:rFonts w:ascii="Times New Roman" w:hAnsi="Times New Roman" w:cs="Times New Roman"/>
          <w:sz w:val="24"/>
          <w:szCs w:val="24"/>
        </w:rPr>
        <w:t>w</w:t>
      </w:r>
      <w:r w:rsidR="00531807" w:rsidRPr="00ED2BB7">
        <w:rPr>
          <w:rFonts w:ascii="Times New Roman" w:hAnsi="Times New Roman" w:cs="Times New Roman"/>
          <w:sz w:val="24"/>
          <w:szCs w:val="24"/>
        </w:rPr>
        <w:t>eaknesse</w:t>
      </w:r>
      <w:r w:rsidR="00103FE0" w:rsidRPr="00ED2BB7">
        <w:rPr>
          <w:rFonts w:ascii="Times New Roman" w:hAnsi="Times New Roman" w:cs="Times New Roman"/>
          <w:sz w:val="24"/>
          <w:szCs w:val="24"/>
        </w:rPr>
        <w:t xml:space="preserve">s </w:t>
      </w:r>
      <w:r w:rsidR="00B13A04" w:rsidRPr="00ED2BB7">
        <w:rPr>
          <w:rFonts w:ascii="Times New Roman" w:hAnsi="Times New Roman" w:cs="Times New Roman"/>
          <w:sz w:val="24"/>
          <w:szCs w:val="24"/>
        </w:rPr>
        <w:t xml:space="preserve">found </w:t>
      </w:r>
      <w:r w:rsidR="00103FE0" w:rsidRPr="00ED2BB7">
        <w:rPr>
          <w:rFonts w:ascii="Times New Roman" w:hAnsi="Times New Roman" w:cs="Times New Roman"/>
          <w:sz w:val="24"/>
          <w:szCs w:val="24"/>
        </w:rPr>
        <w:t>in PMP</w:t>
      </w:r>
      <w:r w:rsidR="00B13A04" w:rsidRPr="00ED2BB7">
        <w:rPr>
          <w:rFonts w:ascii="Times New Roman" w:hAnsi="Times New Roman" w:cs="Times New Roman"/>
          <w:sz w:val="24"/>
          <w:szCs w:val="24"/>
        </w:rPr>
        <w:t xml:space="preserve">s </w:t>
      </w:r>
      <w:r w:rsidR="00C043C2" w:rsidRPr="00ED2BB7">
        <w:rPr>
          <w:rFonts w:ascii="Times New Roman" w:hAnsi="Times New Roman" w:cs="Times New Roman"/>
          <w:sz w:val="24"/>
          <w:szCs w:val="24"/>
        </w:rPr>
        <w:t xml:space="preserve">that </w:t>
      </w:r>
      <w:r w:rsidR="00FE794D" w:rsidRPr="00ED2BB7">
        <w:rPr>
          <w:rFonts w:ascii="Times New Roman" w:hAnsi="Times New Roman" w:cs="Times New Roman"/>
          <w:sz w:val="24"/>
          <w:szCs w:val="24"/>
        </w:rPr>
        <w:t>were</w:t>
      </w:r>
      <w:r w:rsidR="00C043C2" w:rsidRPr="00ED2BB7">
        <w:rPr>
          <w:rFonts w:ascii="Times New Roman" w:hAnsi="Times New Roman" w:cs="Times New Roman"/>
          <w:sz w:val="24"/>
          <w:szCs w:val="24"/>
        </w:rPr>
        <w:t xml:space="preserve"> identified </w:t>
      </w:r>
      <w:r w:rsidR="00012674" w:rsidRPr="00ED2BB7">
        <w:rPr>
          <w:rFonts w:ascii="Times New Roman" w:hAnsi="Times New Roman" w:cs="Times New Roman"/>
          <w:sz w:val="24"/>
          <w:szCs w:val="24"/>
        </w:rPr>
        <w:t>by MREC review</w:t>
      </w:r>
      <w:r w:rsidR="00FE794D" w:rsidRPr="00ED2BB7">
        <w:rPr>
          <w:rFonts w:ascii="Times New Roman" w:hAnsi="Times New Roman" w:cs="Times New Roman"/>
          <w:sz w:val="24"/>
          <w:szCs w:val="24"/>
        </w:rPr>
        <w:t>ers</w:t>
      </w:r>
      <w:r w:rsidR="00642390" w:rsidRPr="00ED2BB7">
        <w:rPr>
          <w:rFonts w:ascii="Times New Roman" w:hAnsi="Times New Roman" w:cs="Times New Roman"/>
          <w:sz w:val="24"/>
          <w:szCs w:val="24"/>
        </w:rPr>
        <w:t>,</w:t>
      </w:r>
      <w:r w:rsidR="00012674" w:rsidRPr="00ED2BB7">
        <w:rPr>
          <w:rFonts w:ascii="Times New Roman" w:hAnsi="Times New Roman" w:cs="Times New Roman"/>
          <w:sz w:val="24"/>
          <w:szCs w:val="24"/>
        </w:rPr>
        <w:t xml:space="preserve"> </w:t>
      </w:r>
      <w:r w:rsidR="00103FE0" w:rsidRPr="00ED2BB7">
        <w:rPr>
          <w:rFonts w:ascii="Times New Roman" w:hAnsi="Times New Roman" w:cs="Times New Roman"/>
          <w:sz w:val="24"/>
          <w:szCs w:val="24"/>
        </w:rPr>
        <w:t>and</w:t>
      </w:r>
      <w:r w:rsidR="00B13A04" w:rsidRPr="00ED2BB7">
        <w:rPr>
          <w:rFonts w:ascii="Times New Roman" w:hAnsi="Times New Roman" w:cs="Times New Roman"/>
          <w:sz w:val="24"/>
          <w:szCs w:val="24"/>
        </w:rPr>
        <w:t xml:space="preserve"> then </w:t>
      </w:r>
      <w:r w:rsidR="00642390" w:rsidRPr="00ED2BB7">
        <w:rPr>
          <w:rFonts w:ascii="Times New Roman" w:hAnsi="Times New Roman" w:cs="Times New Roman"/>
          <w:sz w:val="24"/>
          <w:szCs w:val="24"/>
        </w:rPr>
        <w:t>provides</w:t>
      </w:r>
      <w:r w:rsidR="00012674" w:rsidRPr="00ED2BB7">
        <w:rPr>
          <w:rFonts w:ascii="Times New Roman" w:hAnsi="Times New Roman" w:cs="Times New Roman"/>
          <w:sz w:val="24"/>
          <w:szCs w:val="24"/>
        </w:rPr>
        <w:t xml:space="preserve"> </w:t>
      </w:r>
      <w:r w:rsidR="00B13A04" w:rsidRPr="00ED2BB7">
        <w:rPr>
          <w:rFonts w:ascii="Times New Roman" w:hAnsi="Times New Roman" w:cs="Times New Roman"/>
          <w:sz w:val="24"/>
          <w:szCs w:val="24"/>
        </w:rPr>
        <w:t xml:space="preserve">an </w:t>
      </w:r>
      <w:r w:rsidR="00103FE0" w:rsidRPr="00ED2BB7">
        <w:rPr>
          <w:rFonts w:ascii="Times New Roman" w:hAnsi="Times New Roman" w:cs="Times New Roman"/>
          <w:sz w:val="24"/>
          <w:szCs w:val="24"/>
        </w:rPr>
        <w:t>in-depth discussion of the</w:t>
      </w:r>
      <w:r w:rsidR="00642390" w:rsidRPr="00ED2BB7">
        <w:rPr>
          <w:rFonts w:ascii="Times New Roman" w:hAnsi="Times New Roman" w:cs="Times New Roman"/>
          <w:sz w:val="24"/>
          <w:szCs w:val="24"/>
        </w:rPr>
        <w:t xml:space="preserve">se weaknesses </w:t>
      </w:r>
      <w:r w:rsidR="00312B4D" w:rsidRPr="00ED2BB7">
        <w:rPr>
          <w:rFonts w:ascii="Times New Roman" w:hAnsi="Times New Roman" w:cs="Times New Roman"/>
          <w:sz w:val="24"/>
          <w:szCs w:val="24"/>
        </w:rPr>
        <w:t>and</w:t>
      </w:r>
      <w:r w:rsidR="00103FE0" w:rsidRPr="00ED2BB7">
        <w:rPr>
          <w:rFonts w:ascii="Times New Roman" w:hAnsi="Times New Roman" w:cs="Times New Roman"/>
          <w:sz w:val="24"/>
          <w:szCs w:val="24"/>
        </w:rPr>
        <w:t xml:space="preserve"> serve</w:t>
      </w:r>
      <w:r w:rsidR="00312B4D" w:rsidRPr="00ED2BB7">
        <w:rPr>
          <w:rFonts w:ascii="Times New Roman" w:hAnsi="Times New Roman" w:cs="Times New Roman"/>
          <w:sz w:val="24"/>
          <w:szCs w:val="24"/>
        </w:rPr>
        <w:t>s</w:t>
      </w:r>
      <w:r w:rsidR="00103FE0" w:rsidRPr="00ED2BB7">
        <w:rPr>
          <w:rFonts w:ascii="Times New Roman" w:hAnsi="Times New Roman" w:cs="Times New Roman"/>
          <w:sz w:val="24"/>
          <w:szCs w:val="24"/>
        </w:rPr>
        <w:t xml:space="preserve"> as </w:t>
      </w:r>
      <w:r w:rsidR="00531807" w:rsidRPr="00ED2BB7">
        <w:rPr>
          <w:rFonts w:ascii="Times New Roman" w:hAnsi="Times New Roman" w:cs="Times New Roman"/>
          <w:sz w:val="24"/>
          <w:szCs w:val="24"/>
        </w:rPr>
        <w:t xml:space="preserve">useful </w:t>
      </w:r>
      <w:r w:rsidR="00103FE0" w:rsidRPr="00ED2BB7">
        <w:rPr>
          <w:rFonts w:ascii="Times New Roman" w:hAnsi="Times New Roman" w:cs="Times New Roman"/>
          <w:sz w:val="24"/>
          <w:szCs w:val="24"/>
        </w:rPr>
        <w:t xml:space="preserve">reference for future </w:t>
      </w:r>
      <w:r w:rsidR="00D10899" w:rsidRPr="00ED2BB7">
        <w:rPr>
          <w:rFonts w:ascii="Times New Roman" w:hAnsi="Times New Roman" w:cs="Times New Roman"/>
          <w:sz w:val="24"/>
          <w:szCs w:val="24"/>
        </w:rPr>
        <w:t xml:space="preserve">medical </w:t>
      </w:r>
      <w:r w:rsidR="00103FE0" w:rsidRPr="00ED2BB7">
        <w:rPr>
          <w:rFonts w:ascii="Times New Roman" w:hAnsi="Times New Roman" w:cs="Times New Roman"/>
          <w:sz w:val="24"/>
          <w:szCs w:val="24"/>
        </w:rPr>
        <w:t>students</w:t>
      </w:r>
      <w:r w:rsidR="00012674" w:rsidRPr="00ED2BB7">
        <w:rPr>
          <w:rFonts w:ascii="Times New Roman" w:hAnsi="Times New Roman" w:cs="Times New Roman"/>
          <w:sz w:val="24"/>
          <w:szCs w:val="24"/>
        </w:rPr>
        <w:t xml:space="preserve"> </w:t>
      </w:r>
      <w:r w:rsidR="00D10899" w:rsidRPr="00ED2BB7">
        <w:rPr>
          <w:rFonts w:ascii="Times New Roman" w:hAnsi="Times New Roman" w:cs="Times New Roman"/>
          <w:sz w:val="24"/>
          <w:szCs w:val="24"/>
        </w:rPr>
        <w:t>when they intend to submit their research</w:t>
      </w:r>
      <w:r w:rsidR="00C043C2" w:rsidRPr="00ED2BB7">
        <w:rPr>
          <w:rFonts w:ascii="Times New Roman" w:hAnsi="Times New Roman" w:cs="Times New Roman"/>
          <w:sz w:val="24"/>
          <w:szCs w:val="24"/>
        </w:rPr>
        <w:t xml:space="preserve"> protocols to MREC</w:t>
      </w:r>
      <w:r w:rsidR="00D10899" w:rsidRPr="00ED2BB7">
        <w:rPr>
          <w:rFonts w:ascii="Times New Roman" w:hAnsi="Times New Roman" w:cs="Times New Roman"/>
          <w:sz w:val="24"/>
          <w:szCs w:val="24"/>
        </w:rPr>
        <w:t>.</w:t>
      </w:r>
      <w:r w:rsidR="00012674" w:rsidRPr="00ED2BB7">
        <w:rPr>
          <w:rFonts w:ascii="Times New Roman" w:hAnsi="Times New Roman" w:cs="Times New Roman"/>
          <w:sz w:val="24"/>
          <w:szCs w:val="24"/>
        </w:rPr>
        <w:t xml:space="preserve"> </w:t>
      </w:r>
    </w:p>
    <w:p w14:paraId="1F10EA4C" w14:textId="77777777" w:rsidR="00BA1F98" w:rsidRPr="00ED2BB7" w:rsidRDefault="00BA1F98" w:rsidP="00ED2BB7">
      <w:pPr>
        <w:spacing w:after="240" w:line="240" w:lineRule="auto"/>
        <w:rPr>
          <w:rFonts w:ascii="Times New Roman" w:hAnsi="Times New Roman" w:cs="Times New Roman"/>
          <w:b/>
          <w:sz w:val="24"/>
          <w:szCs w:val="24"/>
        </w:rPr>
      </w:pPr>
    </w:p>
    <w:p w14:paraId="66811626" w14:textId="7F3493A4" w:rsidR="001120CA" w:rsidRPr="00ED2BB7" w:rsidRDefault="00C85CC0" w:rsidP="00ED2BB7">
      <w:pPr>
        <w:spacing w:after="240" w:line="240" w:lineRule="auto"/>
        <w:rPr>
          <w:rFonts w:ascii="Times New Roman" w:eastAsia="Times New Roman" w:hAnsi="Times New Roman" w:cs="Times New Roman"/>
          <w:b/>
          <w:sz w:val="24"/>
          <w:szCs w:val="24"/>
          <w:lang w:eastAsia="en-AU"/>
        </w:rPr>
      </w:pPr>
      <w:r w:rsidRPr="00ED2BB7">
        <w:rPr>
          <w:rFonts w:ascii="Times New Roman" w:hAnsi="Times New Roman" w:cs="Times New Roman"/>
          <w:b/>
          <w:sz w:val="24"/>
          <w:szCs w:val="24"/>
        </w:rPr>
        <w:t>MATERIALS AND METHODS</w:t>
      </w:r>
    </w:p>
    <w:p w14:paraId="19344AEB" w14:textId="754A7016" w:rsidR="00C202CE" w:rsidRPr="00ED2BB7" w:rsidRDefault="00520CFD" w:rsidP="00ED2BB7">
      <w:pPr>
        <w:pStyle w:val="NormalWeb"/>
        <w:spacing w:after="240" w:afterAutospacing="0"/>
        <w:rPr>
          <w:i/>
          <w:lang w:val="en-GB"/>
        </w:rPr>
      </w:pPr>
      <w:r w:rsidRPr="00ED2BB7">
        <w:rPr>
          <w:i/>
          <w:lang w:val="en-GB"/>
        </w:rPr>
        <w:t>Study Design</w:t>
      </w:r>
    </w:p>
    <w:p w14:paraId="616C62B8" w14:textId="7D60BE49" w:rsidR="00C202CE" w:rsidRPr="00ED2BB7" w:rsidRDefault="000F4E47" w:rsidP="00ED2BB7">
      <w:pPr>
        <w:pStyle w:val="NormalWeb"/>
        <w:spacing w:after="240" w:afterAutospacing="0"/>
        <w:ind w:firstLine="720"/>
        <w:rPr>
          <w:lang w:val="en-GB"/>
        </w:rPr>
      </w:pPr>
      <w:r w:rsidRPr="00ED2BB7">
        <w:rPr>
          <w:lang w:val="en-GB"/>
        </w:rPr>
        <w:t xml:space="preserve">This is a </w:t>
      </w:r>
      <w:r w:rsidR="002D267E" w:rsidRPr="00ED2BB7">
        <w:rPr>
          <w:lang w:val="en-GB"/>
        </w:rPr>
        <w:t xml:space="preserve">cross sectional </w:t>
      </w:r>
      <w:r w:rsidRPr="00ED2BB7">
        <w:rPr>
          <w:lang w:val="en-GB"/>
        </w:rPr>
        <w:t>study of a compilation of comments provided by</w:t>
      </w:r>
      <w:r w:rsidR="00C202CE" w:rsidRPr="00ED2BB7">
        <w:rPr>
          <w:lang w:val="en-GB"/>
        </w:rPr>
        <w:t xml:space="preserve"> MREC reviewers </w:t>
      </w:r>
      <w:r w:rsidR="003B44F4" w:rsidRPr="00ED2BB7">
        <w:rPr>
          <w:lang w:val="en-GB"/>
        </w:rPr>
        <w:t xml:space="preserve">during initial review for </w:t>
      </w:r>
      <w:r w:rsidRPr="00ED2BB7">
        <w:rPr>
          <w:lang w:val="en-GB"/>
        </w:rPr>
        <w:t>P</w:t>
      </w:r>
      <w:r w:rsidR="006114A3" w:rsidRPr="00ED2BB7">
        <w:rPr>
          <w:lang w:val="en-GB"/>
        </w:rPr>
        <w:t>MPs</w:t>
      </w:r>
      <w:r w:rsidR="002D267E" w:rsidRPr="00ED2BB7">
        <w:rPr>
          <w:lang w:val="en-GB"/>
        </w:rPr>
        <w:t xml:space="preserve">. Comments were compiled and categorised to three main areas </w:t>
      </w:r>
      <w:r w:rsidR="006114A3" w:rsidRPr="00ED2BB7">
        <w:rPr>
          <w:lang w:val="en-GB"/>
        </w:rPr>
        <w:t>namely</w:t>
      </w:r>
      <w:r w:rsidR="003B44F4" w:rsidRPr="00ED2BB7">
        <w:rPr>
          <w:lang w:val="en-GB"/>
        </w:rPr>
        <w:t>:</w:t>
      </w:r>
      <w:r w:rsidR="006114A3" w:rsidRPr="00ED2BB7">
        <w:rPr>
          <w:lang w:val="en-GB"/>
        </w:rPr>
        <w:t xml:space="preserve"> ethical, scientific and administrative</w:t>
      </w:r>
      <w:r w:rsidR="00C202CE" w:rsidRPr="00ED2BB7">
        <w:rPr>
          <w:lang w:val="en-GB"/>
        </w:rPr>
        <w:t xml:space="preserve">.  </w:t>
      </w:r>
    </w:p>
    <w:p w14:paraId="3E71B3CB" w14:textId="57A4DDBD" w:rsidR="003B44F4" w:rsidRPr="00ED2BB7" w:rsidRDefault="001309B9" w:rsidP="00ED2BB7">
      <w:pPr>
        <w:pStyle w:val="NormalWeb"/>
        <w:spacing w:after="240" w:afterAutospacing="0"/>
        <w:rPr>
          <w:i/>
          <w:lang w:val="en-GB"/>
        </w:rPr>
      </w:pPr>
      <w:r w:rsidRPr="00ED2BB7">
        <w:rPr>
          <w:i/>
          <w:lang w:val="en-GB"/>
        </w:rPr>
        <w:t>Study Population</w:t>
      </w:r>
    </w:p>
    <w:p w14:paraId="4B809E97" w14:textId="44CBA56B" w:rsidR="00C202CE" w:rsidRPr="00ED2BB7" w:rsidRDefault="00C202CE" w:rsidP="00ED2BB7">
      <w:pPr>
        <w:pStyle w:val="NormalWeb"/>
        <w:spacing w:after="240" w:afterAutospacing="0"/>
        <w:ind w:firstLine="720"/>
        <w:rPr>
          <w:i/>
          <w:lang w:val="en-GB"/>
        </w:rPr>
      </w:pPr>
      <w:r w:rsidRPr="00ED2BB7">
        <w:rPr>
          <w:lang w:val="en-GB"/>
        </w:rPr>
        <w:lastRenderedPageBreak/>
        <w:t xml:space="preserve">This study </w:t>
      </w:r>
      <w:r w:rsidR="003B44F4" w:rsidRPr="00ED2BB7">
        <w:rPr>
          <w:lang w:val="en-GB"/>
        </w:rPr>
        <w:t>retrieve</w:t>
      </w:r>
      <w:r w:rsidR="00B95BD6" w:rsidRPr="00ED2BB7">
        <w:rPr>
          <w:lang w:val="en-GB"/>
        </w:rPr>
        <w:t>d</w:t>
      </w:r>
      <w:r w:rsidR="003B44F4" w:rsidRPr="00ED2BB7">
        <w:rPr>
          <w:lang w:val="en-GB"/>
        </w:rPr>
        <w:t xml:space="preserve"> data </w:t>
      </w:r>
      <w:r w:rsidR="004237DE" w:rsidRPr="00ED2BB7">
        <w:rPr>
          <w:lang w:val="en-GB"/>
        </w:rPr>
        <w:t xml:space="preserve">from PMPs receiving ethical approval from MREC </w:t>
      </w:r>
      <w:r w:rsidR="003B44F4" w:rsidRPr="00ED2BB7">
        <w:rPr>
          <w:lang w:val="en-GB"/>
        </w:rPr>
        <w:t>during the period from</w:t>
      </w:r>
      <w:r w:rsidR="009042CE" w:rsidRPr="00ED2BB7">
        <w:rPr>
          <w:lang w:val="en-GB"/>
        </w:rPr>
        <w:t xml:space="preserve"> 1</w:t>
      </w:r>
      <w:r w:rsidR="009042CE" w:rsidRPr="00ED2BB7">
        <w:rPr>
          <w:vertAlign w:val="superscript"/>
          <w:lang w:val="en-GB"/>
        </w:rPr>
        <w:t>st</w:t>
      </w:r>
      <w:r w:rsidRPr="00ED2BB7">
        <w:rPr>
          <w:lang w:val="en-GB"/>
        </w:rPr>
        <w:t xml:space="preserve"> January</w:t>
      </w:r>
      <w:r w:rsidR="003B44F4" w:rsidRPr="00ED2BB7">
        <w:rPr>
          <w:lang w:val="en-GB"/>
        </w:rPr>
        <w:t xml:space="preserve"> 2012</w:t>
      </w:r>
      <w:r w:rsidR="009042CE" w:rsidRPr="00ED2BB7">
        <w:rPr>
          <w:lang w:val="en-GB"/>
        </w:rPr>
        <w:t xml:space="preserve"> to 31</w:t>
      </w:r>
      <w:r w:rsidR="009042CE" w:rsidRPr="00ED2BB7">
        <w:rPr>
          <w:vertAlign w:val="superscript"/>
          <w:lang w:val="en-GB"/>
        </w:rPr>
        <w:t>st</w:t>
      </w:r>
      <w:r w:rsidRPr="00ED2BB7">
        <w:rPr>
          <w:lang w:val="en-GB"/>
        </w:rPr>
        <w:t xml:space="preserve"> December 2012. </w:t>
      </w:r>
    </w:p>
    <w:p w14:paraId="59056721" w14:textId="5A60633C" w:rsidR="00C202CE" w:rsidRPr="00ED2BB7" w:rsidRDefault="00D46E8C" w:rsidP="00ED2BB7">
      <w:pPr>
        <w:pStyle w:val="NormalWeb"/>
        <w:spacing w:after="240" w:afterAutospacing="0"/>
        <w:rPr>
          <w:i/>
          <w:lang w:val="en-GB"/>
        </w:rPr>
      </w:pPr>
      <w:r w:rsidRPr="00ED2BB7">
        <w:rPr>
          <w:i/>
          <w:lang w:val="en-GB"/>
        </w:rPr>
        <w:t>Study Conduct</w:t>
      </w:r>
    </w:p>
    <w:p w14:paraId="27330EA6" w14:textId="2D4E81C0" w:rsidR="000709BE" w:rsidRPr="00ED2BB7" w:rsidRDefault="0037460D" w:rsidP="00ED2BB7">
      <w:pPr>
        <w:autoSpaceDE w:val="0"/>
        <w:autoSpaceDN w:val="0"/>
        <w:adjustRightInd w:val="0"/>
        <w:spacing w:after="240" w:line="240" w:lineRule="auto"/>
        <w:ind w:firstLine="709"/>
        <w:rPr>
          <w:rFonts w:ascii="Times New Roman" w:eastAsia="Times New Roman" w:hAnsi="Times New Roman" w:cs="Times New Roman"/>
          <w:b/>
          <w:sz w:val="24"/>
          <w:szCs w:val="24"/>
          <w:lang w:val="en-GB" w:eastAsia="en-AU"/>
        </w:rPr>
      </w:pPr>
      <w:r w:rsidRPr="00ED2BB7">
        <w:rPr>
          <w:rFonts w:ascii="Times New Roman" w:hAnsi="Times New Roman" w:cs="Times New Roman"/>
          <w:sz w:val="24"/>
          <w:szCs w:val="24"/>
          <w:lang w:val="en-GB"/>
        </w:rPr>
        <w:t xml:space="preserve">Primary source data were anonymised by NMRR secretariat by replacing personal identifiers with a study code. Coded data were transmitted to investigators and kept in </w:t>
      </w:r>
      <w:r w:rsidR="006B45FA" w:rsidRPr="00ED2BB7">
        <w:rPr>
          <w:rFonts w:ascii="Times New Roman" w:hAnsi="Times New Roman" w:cs="Times New Roman"/>
          <w:sz w:val="24"/>
          <w:szCs w:val="24"/>
          <w:lang w:val="en-GB"/>
        </w:rPr>
        <w:t>Clinical Research Centre (</w:t>
      </w:r>
      <w:r w:rsidRPr="00ED2BB7">
        <w:rPr>
          <w:rFonts w:ascii="Times New Roman" w:hAnsi="Times New Roman" w:cs="Times New Roman"/>
          <w:sz w:val="24"/>
          <w:szCs w:val="24"/>
          <w:lang w:val="en-GB"/>
        </w:rPr>
        <w:t>CRC</w:t>
      </w:r>
      <w:r w:rsidR="006B45FA" w:rsidRPr="00ED2BB7">
        <w:rPr>
          <w:rFonts w:ascii="Times New Roman" w:hAnsi="Times New Roman" w:cs="Times New Roman"/>
          <w:sz w:val="24"/>
          <w:szCs w:val="24"/>
          <w:lang w:val="en-GB"/>
        </w:rPr>
        <w:t>)</w:t>
      </w:r>
      <w:r w:rsidRPr="00ED2BB7">
        <w:rPr>
          <w:rFonts w:ascii="Times New Roman" w:hAnsi="Times New Roman" w:cs="Times New Roman"/>
          <w:sz w:val="24"/>
          <w:szCs w:val="24"/>
          <w:lang w:val="en-GB"/>
        </w:rPr>
        <w:t xml:space="preserve"> server with access only to project team. The code and link to the primary source data were held by the NMRR secretariat.  Relevant information were extracted by the project team from the coded data, transferred into the data form and uploaded into the </w:t>
      </w:r>
      <w:r w:rsidR="006B45FA" w:rsidRPr="00ED2BB7">
        <w:rPr>
          <w:rFonts w:ascii="Times New Roman" w:hAnsi="Times New Roman" w:cs="Times New Roman"/>
          <w:sz w:val="24"/>
          <w:szCs w:val="24"/>
          <w:lang w:val="en-GB"/>
        </w:rPr>
        <w:t>CRC</w:t>
      </w:r>
      <w:r w:rsidRPr="00ED2BB7">
        <w:rPr>
          <w:rFonts w:ascii="Times New Roman" w:hAnsi="Times New Roman" w:cs="Times New Roman"/>
          <w:sz w:val="24"/>
          <w:szCs w:val="24"/>
          <w:lang w:val="en-GB"/>
        </w:rPr>
        <w:t xml:space="preserve"> server.  MREC </w:t>
      </w:r>
      <w:r w:rsidR="00C939A7" w:rsidRPr="00ED2BB7">
        <w:rPr>
          <w:rFonts w:ascii="Times New Roman" w:hAnsi="Times New Roman" w:cs="Times New Roman"/>
          <w:sz w:val="24"/>
          <w:szCs w:val="24"/>
          <w:lang w:val="en-GB"/>
        </w:rPr>
        <w:t>first</w:t>
      </w:r>
      <w:r w:rsidRPr="00ED2BB7">
        <w:rPr>
          <w:rFonts w:ascii="Times New Roman" w:hAnsi="Times New Roman" w:cs="Times New Roman"/>
          <w:sz w:val="24"/>
          <w:szCs w:val="24"/>
          <w:lang w:val="en-GB"/>
        </w:rPr>
        <w:t xml:space="preserve"> review decision letters were examined. Review comments from MREC were checked against elements in Malaysian G</w:t>
      </w:r>
      <w:r w:rsidR="00C939A7" w:rsidRPr="00ED2BB7">
        <w:rPr>
          <w:rFonts w:ascii="Times New Roman" w:hAnsi="Times New Roman" w:cs="Times New Roman"/>
          <w:sz w:val="24"/>
          <w:szCs w:val="24"/>
          <w:lang w:val="en-GB"/>
        </w:rPr>
        <w:t xml:space="preserve">ood </w:t>
      </w:r>
      <w:r w:rsidRPr="00ED2BB7">
        <w:rPr>
          <w:rFonts w:ascii="Times New Roman" w:hAnsi="Times New Roman" w:cs="Times New Roman"/>
          <w:sz w:val="24"/>
          <w:szCs w:val="24"/>
          <w:lang w:val="en-GB"/>
        </w:rPr>
        <w:t>C</w:t>
      </w:r>
      <w:r w:rsidR="00C939A7" w:rsidRPr="00ED2BB7">
        <w:rPr>
          <w:rFonts w:ascii="Times New Roman" w:hAnsi="Times New Roman" w:cs="Times New Roman"/>
          <w:sz w:val="24"/>
          <w:szCs w:val="24"/>
          <w:lang w:val="en-GB"/>
        </w:rPr>
        <w:t xml:space="preserve">linical </w:t>
      </w:r>
      <w:r w:rsidRPr="00ED2BB7">
        <w:rPr>
          <w:rFonts w:ascii="Times New Roman" w:hAnsi="Times New Roman" w:cs="Times New Roman"/>
          <w:sz w:val="24"/>
          <w:szCs w:val="24"/>
          <w:lang w:val="en-GB"/>
        </w:rPr>
        <w:t>P</w:t>
      </w:r>
      <w:r w:rsidR="00C939A7" w:rsidRPr="00ED2BB7">
        <w:rPr>
          <w:rFonts w:ascii="Times New Roman" w:hAnsi="Times New Roman" w:cs="Times New Roman"/>
          <w:sz w:val="24"/>
          <w:szCs w:val="24"/>
          <w:lang w:val="en-GB"/>
        </w:rPr>
        <w:t>ractice (GCP)</w:t>
      </w:r>
      <w:r w:rsidRPr="00ED2BB7">
        <w:rPr>
          <w:rFonts w:ascii="Times New Roman" w:hAnsi="Times New Roman" w:cs="Times New Roman"/>
          <w:sz w:val="24"/>
          <w:szCs w:val="24"/>
          <w:lang w:val="en-GB"/>
        </w:rPr>
        <w:t xml:space="preserve"> guideline and were grouped into 3 categories: ethical, scientific and administrative.  Frequency (%) </w:t>
      </w:r>
      <w:r w:rsidR="006B45FA" w:rsidRPr="00ED2BB7">
        <w:rPr>
          <w:rFonts w:ascii="Times New Roman" w:hAnsi="Times New Roman" w:cs="Times New Roman"/>
          <w:sz w:val="24"/>
          <w:szCs w:val="24"/>
          <w:lang w:val="en-GB"/>
        </w:rPr>
        <w:t>of comments</w:t>
      </w:r>
      <w:r w:rsidRPr="00ED2BB7">
        <w:rPr>
          <w:rFonts w:ascii="Times New Roman" w:hAnsi="Times New Roman" w:cs="Times New Roman"/>
          <w:sz w:val="24"/>
          <w:szCs w:val="24"/>
          <w:lang w:val="en-GB"/>
        </w:rPr>
        <w:t xml:space="preserve"> for elements in each category in protocols, patient information sheets (PIS) and informed consent forms (ICF) were calculated and tabulated.</w:t>
      </w:r>
    </w:p>
    <w:p w14:paraId="0206FBD5" w14:textId="77777777" w:rsidR="00BA1F98" w:rsidRPr="00ED2BB7" w:rsidRDefault="00BA1F98" w:rsidP="00ED2BB7">
      <w:pPr>
        <w:pStyle w:val="NormalWeb"/>
        <w:spacing w:before="0" w:beforeAutospacing="0" w:after="240" w:afterAutospacing="0"/>
        <w:rPr>
          <w:b/>
          <w:lang w:val="en-GB"/>
        </w:rPr>
      </w:pPr>
    </w:p>
    <w:p w14:paraId="756B3253" w14:textId="66F938DA" w:rsidR="00C202CE" w:rsidRPr="00ED2BB7" w:rsidRDefault="00C202CE" w:rsidP="00ED2BB7">
      <w:pPr>
        <w:pStyle w:val="NormalWeb"/>
        <w:spacing w:before="0" w:beforeAutospacing="0" w:after="240" w:afterAutospacing="0"/>
        <w:rPr>
          <w:lang w:val="en-GB"/>
        </w:rPr>
      </w:pPr>
      <w:r w:rsidRPr="00ED2BB7">
        <w:rPr>
          <w:b/>
          <w:lang w:val="en-GB"/>
        </w:rPr>
        <w:t>RESULTS</w:t>
      </w:r>
    </w:p>
    <w:p w14:paraId="2DE003B3" w14:textId="1DFE41FB" w:rsidR="000709BE" w:rsidRPr="00ED2BB7" w:rsidRDefault="000709BE" w:rsidP="00ED2BB7">
      <w:pPr>
        <w:spacing w:after="240" w:line="240" w:lineRule="auto"/>
        <w:ind w:firstLine="720"/>
        <w:rPr>
          <w:rFonts w:ascii="Times New Roman" w:hAnsi="Times New Roman" w:cs="Times New Roman"/>
          <w:sz w:val="24"/>
          <w:szCs w:val="24"/>
          <w:lang w:val="en-GB"/>
        </w:rPr>
      </w:pPr>
      <w:r w:rsidRPr="00ED2BB7">
        <w:rPr>
          <w:rFonts w:ascii="Times New Roman" w:hAnsi="Times New Roman" w:cs="Times New Roman"/>
          <w:sz w:val="24"/>
          <w:szCs w:val="24"/>
          <w:lang w:val="en-GB"/>
        </w:rPr>
        <w:t>Protocol issues identified by MREC reviewers were grouped into ethical, scientific and administrative categories and ranked according to their rate of erro</w:t>
      </w:r>
      <w:r w:rsidR="00287E32" w:rsidRPr="00ED2BB7">
        <w:rPr>
          <w:rFonts w:ascii="Times New Roman" w:hAnsi="Times New Roman" w:cs="Times New Roman"/>
          <w:sz w:val="24"/>
          <w:szCs w:val="24"/>
          <w:lang w:val="en-GB"/>
        </w:rPr>
        <w:t>r.  The 3 main ethical issues a</w:t>
      </w:r>
      <w:r w:rsidRPr="00ED2BB7">
        <w:rPr>
          <w:rFonts w:ascii="Times New Roman" w:hAnsi="Times New Roman" w:cs="Times New Roman"/>
          <w:sz w:val="24"/>
          <w:szCs w:val="24"/>
          <w:lang w:val="en-GB"/>
        </w:rPr>
        <w:t xml:space="preserve">re </w:t>
      </w:r>
      <w:r w:rsidR="00287E32" w:rsidRPr="00ED2BB7">
        <w:rPr>
          <w:rFonts w:ascii="Times New Roman" w:hAnsi="Times New Roman" w:cs="Times New Roman"/>
          <w:sz w:val="24"/>
          <w:szCs w:val="24"/>
          <w:lang w:val="en-GB"/>
        </w:rPr>
        <w:t xml:space="preserve">lack of description of (i) </w:t>
      </w:r>
      <w:r w:rsidRPr="00ED2BB7">
        <w:rPr>
          <w:rFonts w:ascii="Times New Roman" w:hAnsi="Times New Roman" w:cs="Times New Roman"/>
          <w:sz w:val="24"/>
          <w:szCs w:val="24"/>
          <w:lang w:val="en-GB"/>
        </w:rPr>
        <w:t>subject</w:t>
      </w:r>
      <w:r w:rsidR="00287E32" w:rsidRPr="00ED2BB7">
        <w:rPr>
          <w:rFonts w:ascii="Times New Roman" w:hAnsi="Times New Roman" w:cs="Times New Roman"/>
          <w:sz w:val="24"/>
          <w:szCs w:val="24"/>
          <w:lang w:val="en-GB"/>
        </w:rPr>
        <w:t>’s</w:t>
      </w:r>
      <w:r w:rsidRPr="00ED2BB7">
        <w:rPr>
          <w:rFonts w:ascii="Times New Roman" w:hAnsi="Times New Roman" w:cs="Times New Roman"/>
          <w:sz w:val="24"/>
          <w:szCs w:val="24"/>
          <w:lang w:val="en-GB"/>
        </w:rPr>
        <w:t xml:space="preserve"> exclusion criteria; </w:t>
      </w:r>
      <w:r w:rsidR="00287E32" w:rsidRPr="00ED2BB7">
        <w:rPr>
          <w:rFonts w:ascii="Times New Roman" w:hAnsi="Times New Roman" w:cs="Times New Roman"/>
          <w:sz w:val="24"/>
          <w:szCs w:val="24"/>
          <w:lang w:val="en-GB"/>
        </w:rPr>
        <w:t xml:space="preserve">(ii) </w:t>
      </w:r>
      <w:r w:rsidRPr="00ED2BB7">
        <w:rPr>
          <w:rFonts w:ascii="Times New Roman" w:hAnsi="Times New Roman" w:cs="Times New Roman"/>
          <w:sz w:val="24"/>
          <w:szCs w:val="24"/>
          <w:lang w:val="en-GB"/>
        </w:rPr>
        <w:t>subject</w:t>
      </w:r>
      <w:r w:rsidR="00287E32" w:rsidRPr="00ED2BB7">
        <w:rPr>
          <w:rFonts w:ascii="Times New Roman" w:hAnsi="Times New Roman" w:cs="Times New Roman"/>
          <w:sz w:val="24"/>
          <w:szCs w:val="24"/>
          <w:lang w:val="en-GB"/>
        </w:rPr>
        <w:t>’s</w:t>
      </w:r>
      <w:r w:rsidRPr="00ED2BB7">
        <w:rPr>
          <w:rFonts w:ascii="Times New Roman" w:hAnsi="Times New Roman" w:cs="Times New Roman"/>
          <w:sz w:val="24"/>
          <w:szCs w:val="24"/>
          <w:lang w:val="en-GB"/>
        </w:rPr>
        <w:t xml:space="preserve"> inclusion criteria; and </w:t>
      </w:r>
      <w:r w:rsidR="00287E32" w:rsidRPr="00ED2BB7">
        <w:rPr>
          <w:rFonts w:ascii="Times New Roman" w:hAnsi="Times New Roman" w:cs="Times New Roman"/>
          <w:sz w:val="24"/>
          <w:szCs w:val="24"/>
          <w:lang w:val="en-GB"/>
        </w:rPr>
        <w:t xml:space="preserve">(iii) </w:t>
      </w:r>
      <w:r w:rsidRPr="00ED2BB7">
        <w:rPr>
          <w:rFonts w:ascii="Times New Roman" w:hAnsi="Times New Roman" w:cs="Times New Roman"/>
          <w:sz w:val="24"/>
          <w:szCs w:val="24"/>
          <w:lang w:val="en-GB"/>
        </w:rPr>
        <w:t>subject</w:t>
      </w:r>
      <w:r w:rsidR="00287E32" w:rsidRPr="00ED2BB7">
        <w:rPr>
          <w:rFonts w:ascii="Times New Roman" w:hAnsi="Times New Roman" w:cs="Times New Roman"/>
          <w:sz w:val="24"/>
          <w:szCs w:val="24"/>
          <w:lang w:val="en-GB"/>
        </w:rPr>
        <w:t>’s</w:t>
      </w:r>
      <w:r w:rsidRPr="00ED2BB7">
        <w:rPr>
          <w:rFonts w:ascii="Times New Roman" w:hAnsi="Times New Roman" w:cs="Times New Roman"/>
          <w:sz w:val="24"/>
          <w:szCs w:val="24"/>
          <w:lang w:val="en-GB"/>
        </w:rPr>
        <w:t xml:space="preserve"> withdrawal criteria each with error rates of 13%, 7% and 5%, respectively. As for the scientific issues, they consist of </w:t>
      </w:r>
      <w:r w:rsidR="00287E32" w:rsidRPr="00ED2BB7">
        <w:rPr>
          <w:rFonts w:ascii="Times New Roman" w:hAnsi="Times New Roman" w:cs="Times New Roman"/>
          <w:sz w:val="24"/>
          <w:szCs w:val="24"/>
          <w:lang w:val="en-GB"/>
        </w:rPr>
        <w:t xml:space="preserve">lack of </w:t>
      </w:r>
      <w:r w:rsidRPr="00ED2BB7">
        <w:rPr>
          <w:rFonts w:ascii="Times New Roman" w:hAnsi="Times New Roman" w:cs="Times New Roman"/>
          <w:sz w:val="24"/>
          <w:szCs w:val="24"/>
          <w:lang w:val="en-GB"/>
        </w:rPr>
        <w:t xml:space="preserve">description of </w:t>
      </w:r>
      <w:r w:rsidR="00287E32" w:rsidRPr="00ED2BB7">
        <w:rPr>
          <w:rFonts w:ascii="Times New Roman" w:hAnsi="Times New Roman" w:cs="Times New Roman"/>
          <w:sz w:val="24"/>
          <w:szCs w:val="24"/>
          <w:lang w:val="en-GB"/>
        </w:rPr>
        <w:t xml:space="preserve">(i) </w:t>
      </w:r>
      <w:r w:rsidRPr="00ED2BB7">
        <w:rPr>
          <w:rFonts w:ascii="Times New Roman" w:hAnsi="Times New Roman" w:cs="Times New Roman"/>
          <w:sz w:val="24"/>
          <w:szCs w:val="24"/>
          <w:lang w:val="en-GB"/>
        </w:rPr>
        <w:t>the type/design of trial to be conducted and a schematic diagram of trial</w:t>
      </w:r>
      <w:r w:rsidR="00287E32" w:rsidRPr="00ED2BB7">
        <w:rPr>
          <w:rFonts w:ascii="Times New Roman" w:hAnsi="Times New Roman" w:cs="Times New Roman"/>
          <w:sz w:val="24"/>
          <w:szCs w:val="24"/>
          <w:lang w:val="en-GB"/>
        </w:rPr>
        <w:t xml:space="preserve"> design, procedures and stages; (ii) </w:t>
      </w:r>
      <w:r w:rsidRPr="00ED2BB7">
        <w:rPr>
          <w:rFonts w:ascii="Times New Roman" w:hAnsi="Times New Roman" w:cs="Times New Roman"/>
          <w:sz w:val="24"/>
          <w:szCs w:val="24"/>
          <w:lang w:val="en-GB"/>
        </w:rPr>
        <w:t xml:space="preserve">number of subjects planned to be enrolled; and </w:t>
      </w:r>
      <w:r w:rsidR="00287E32" w:rsidRPr="00ED2BB7">
        <w:rPr>
          <w:rFonts w:ascii="Times New Roman" w:hAnsi="Times New Roman" w:cs="Times New Roman"/>
          <w:sz w:val="24"/>
          <w:szCs w:val="24"/>
          <w:lang w:val="en-GB"/>
        </w:rPr>
        <w:t xml:space="preserve">(iii) </w:t>
      </w:r>
      <w:r w:rsidRPr="00ED2BB7">
        <w:rPr>
          <w:rFonts w:ascii="Times New Roman" w:hAnsi="Times New Roman" w:cs="Times New Roman"/>
          <w:sz w:val="24"/>
          <w:szCs w:val="24"/>
          <w:lang w:val="en-GB"/>
        </w:rPr>
        <w:t xml:space="preserve">the objectives and the purpose of the trial each with error rates of 21%, 20% and 13%, respectively.  Apart from that, the 3 main administrative issues </w:t>
      </w:r>
      <w:r w:rsidR="00E273A1" w:rsidRPr="00ED2BB7">
        <w:rPr>
          <w:rFonts w:ascii="Times New Roman" w:hAnsi="Times New Roman" w:cs="Times New Roman"/>
          <w:sz w:val="24"/>
          <w:szCs w:val="24"/>
          <w:lang w:val="en-GB"/>
        </w:rPr>
        <w:t>are</w:t>
      </w:r>
      <w:r w:rsidRPr="00ED2BB7">
        <w:rPr>
          <w:rFonts w:ascii="Times New Roman" w:hAnsi="Times New Roman" w:cs="Times New Roman"/>
          <w:sz w:val="24"/>
          <w:szCs w:val="24"/>
          <w:lang w:val="en-GB"/>
        </w:rPr>
        <w:t xml:space="preserve"> </w:t>
      </w:r>
      <w:r w:rsidR="00287E32" w:rsidRPr="00ED2BB7">
        <w:rPr>
          <w:rFonts w:ascii="Times New Roman" w:hAnsi="Times New Roman" w:cs="Times New Roman"/>
          <w:sz w:val="24"/>
          <w:szCs w:val="24"/>
          <w:lang w:val="en-GB"/>
        </w:rPr>
        <w:t xml:space="preserve">lack of description of (i) </w:t>
      </w:r>
      <w:r w:rsidRPr="00ED2BB7">
        <w:rPr>
          <w:rFonts w:ascii="Times New Roman" w:hAnsi="Times New Roman" w:cs="Times New Roman"/>
          <w:sz w:val="24"/>
          <w:szCs w:val="24"/>
          <w:lang w:val="en-GB"/>
        </w:rPr>
        <w:t xml:space="preserve">protocol title, protocol identifying number and date; </w:t>
      </w:r>
      <w:r w:rsidR="00287E32" w:rsidRPr="00ED2BB7">
        <w:rPr>
          <w:rFonts w:ascii="Times New Roman" w:hAnsi="Times New Roman" w:cs="Times New Roman"/>
          <w:sz w:val="24"/>
          <w:szCs w:val="24"/>
          <w:lang w:val="en-GB"/>
        </w:rPr>
        <w:t xml:space="preserve">(ii) </w:t>
      </w:r>
      <w:r w:rsidRPr="00ED2BB7">
        <w:rPr>
          <w:rFonts w:ascii="Times New Roman" w:hAnsi="Times New Roman" w:cs="Times New Roman"/>
          <w:sz w:val="24"/>
          <w:szCs w:val="24"/>
          <w:lang w:val="en-GB"/>
        </w:rPr>
        <w:t xml:space="preserve">the name and title of the investigator(s) who </w:t>
      </w:r>
      <w:proofErr w:type="gramStart"/>
      <w:r w:rsidRPr="00ED2BB7">
        <w:rPr>
          <w:rFonts w:ascii="Times New Roman" w:hAnsi="Times New Roman" w:cs="Times New Roman"/>
          <w:sz w:val="24"/>
          <w:szCs w:val="24"/>
          <w:lang w:val="en-GB"/>
        </w:rPr>
        <w:t>is(</w:t>
      </w:r>
      <w:proofErr w:type="gramEnd"/>
      <w:r w:rsidRPr="00ED2BB7">
        <w:rPr>
          <w:rFonts w:ascii="Times New Roman" w:hAnsi="Times New Roman" w:cs="Times New Roman"/>
          <w:sz w:val="24"/>
          <w:szCs w:val="24"/>
          <w:lang w:val="en-GB"/>
        </w:rPr>
        <w:t xml:space="preserve">are) responsible for conducting the trial, and the address and telephone number(s) of the trial site(s); and </w:t>
      </w:r>
      <w:r w:rsidR="00287E32" w:rsidRPr="00ED2BB7">
        <w:rPr>
          <w:rFonts w:ascii="Times New Roman" w:hAnsi="Times New Roman" w:cs="Times New Roman"/>
          <w:sz w:val="24"/>
          <w:szCs w:val="24"/>
          <w:lang w:val="en-GB"/>
        </w:rPr>
        <w:t xml:space="preserve">(iii) </w:t>
      </w:r>
      <w:r w:rsidRPr="00ED2BB7">
        <w:rPr>
          <w:rFonts w:ascii="Times New Roman" w:hAnsi="Times New Roman" w:cs="Times New Roman"/>
          <w:sz w:val="24"/>
          <w:szCs w:val="24"/>
          <w:lang w:val="en-GB"/>
        </w:rPr>
        <w:t>the publication policy each with error rate</w:t>
      </w:r>
      <w:r w:rsidR="00F35931" w:rsidRPr="00ED2BB7">
        <w:rPr>
          <w:rFonts w:ascii="Times New Roman" w:hAnsi="Times New Roman" w:cs="Times New Roman"/>
          <w:sz w:val="24"/>
          <w:szCs w:val="24"/>
          <w:lang w:val="en-GB"/>
        </w:rPr>
        <w:t>s</w:t>
      </w:r>
      <w:r w:rsidRPr="00ED2BB7">
        <w:rPr>
          <w:rFonts w:ascii="Times New Roman" w:hAnsi="Times New Roman" w:cs="Times New Roman"/>
          <w:sz w:val="24"/>
          <w:szCs w:val="24"/>
          <w:lang w:val="en-GB"/>
        </w:rPr>
        <w:t xml:space="preserve"> of 11%, 7% and 5%, respectively (Table 1).  Present results show the most </w:t>
      </w:r>
      <w:r w:rsidR="00287E32" w:rsidRPr="00ED2BB7">
        <w:rPr>
          <w:rFonts w:ascii="Times New Roman" w:hAnsi="Times New Roman" w:cs="Times New Roman"/>
          <w:sz w:val="24"/>
          <w:szCs w:val="24"/>
          <w:lang w:val="en-GB"/>
        </w:rPr>
        <w:t>frequently compiled protocol issues a</w:t>
      </w:r>
      <w:r w:rsidRPr="00ED2BB7">
        <w:rPr>
          <w:rFonts w:ascii="Times New Roman" w:hAnsi="Times New Roman" w:cs="Times New Roman"/>
          <w:sz w:val="24"/>
          <w:szCs w:val="24"/>
          <w:lang w:val="en-GB"/>
        </w:rPr>
        <w:t>re elements from scientific category and these fi</w:t>
      </w:r>
      <w:r w:rsidR="00E273A1" w:rsidRPr="00ED2BB7">
        <w:rPr>
          <w:rFonts w:ascii="Times New Roman" w:hAnsi="Times New Roman" w:cs="Times New Roman"/>
          <w:sz w:val="24"/>
          <w:szCs w:val="24"/>
          <w:lang w:val="en-GB"/>
        </w:rPr>
        <w:t>ndings suggest that the skills of m</w:t>
      </w:r>
      <w:r w:rsidRPr="00ED2BB7">
        <w:rPr>
          <w:rFonts w:ascii="Times New Roman" w:hAnsi="Times New Roman" w:cs="Times New Roman"/>
          <w:sz w:val="24"/>
          <w:szCs w:val="24"/>
          <w:lang w:val="en-GB"/>
        </w:rPr>
        <w:t>e</w:t>
      </w:r>
      <w:r w:rsidR="00E273A1" w:rsidRPr="00ED2BB7">
        <w:rPr>
          <w:rFonts w:ascii="Times New Roman" w:hAnsi="Times New Roman" w:cs="Times New Roman"/>
          <w:sz w:val="24"/>
          <w:szCs w:val="24"/>
          <w:lang w:val="en-GB"/>
        </w:rPr>
        <w:t>dical students in preparing a scientifically-</w:t>
      </w:r>
      <w:r w:rsidRPr="00ED2BB7">
        <w:rPr>
          <w:rFonts w:ascii="Times New Roman" w:hAnsi="Times New Roman" w:cs="Times New Roman"/>
          <w:sz w:val="24"/>
          <w:szCs w:val="24"/>
          <w:lang w:val="en-GB"/>
        </w:rPr>
        <w:t xml:space="preserve">sound </w:t>
      </w:r>
      <w:r w:rsidR="00E273A1" w:rsidRPr="00ED2BB7">
        <w:rPr>
          <w:rFonts w:ascii="Times New Roman" w:hAnsi="Times New Roman" w:cs="Times New Roman"/>
          <w:sz w:val="24"/>
          <w:szCs w:val="24"/>
          <w:lang w:val="en-GB"/>
        </w:rPr>
        <w:t>research protoco</w:t>
      </w:r>
      <w:r w:rsidRPr="00ED2BB7">
        <w:rPr>
          <w:rFonts w:ascii="Times New Roman" w:hAnsi="Times New Roman" w:cs="Times New Roman"/>
          <w:sz w:val="24"/>
          <w:szCs w:val="24"/>
          <w:lang w:val="en-GB"/>
        </w:rPr>
        <w:t>l</w:t>
      </w:r>
      <w:r w:rsidR="00287E32" w:rsidRPr="00ED2BB7">
        <w:rPr>
          <w:rFonts w:ascii="Times New Roman" w:hAnsi="Times New Roman" w:cs="Times New Roman"/>
          <w:sz w:val="24"/>
          <w:szCs w:val="24"/>
          <w:lang w:val="en-GB"/>
        </w:rPr>
        <w:t xml:space="preserve"> a</w:t>
      </w:r>
      <w:r w:rsidR="00E273A1" w:rsidRPr="00ED2BB7">
        <w:rPr>
          <w:rFonts w:ascii="Times New Roman" w:hAnsi="Times New Roman" w:cs="Times New Roman"/>
          <w:sz w:val="24"/>
          <w:szCs w:val="24"/>
          <w:lang w:val="en-GB"/>
        </w:rPr>
        <w:t>re poor</w:t>
      </w:r>
      <w:r w:rsidRPr="00ED2BB7">
        <w:rPr>
          <w:rFonts w:ascii="Times New Roman" w:hAnsi="Times New Roman" w:cs="Times New Roman"/>
          <w:sz w:val="24"/>
          <w:szCs w:val="24"/>
          <w:lang w:val="en-GB"/>
        </w:rPr>
        <w:t>.</w:t>
      </w:r>
    </w:p>
    <w:p w14:paraId="67202CCC" w14:textId="3E9A0D33" w:rsidR="000709BE" w:rsidRPr="00ED2BB7" w:rsidRDefault="000709BE" w:rsidP="00ED2BB7">
      <w:pPr>
        <w:spacing w:after="240" w:line="240" w:lineRule="auto"/>
        <w:ind w:firstLine="720"/>
        <w:rPr>
          <w:rFonts w:ascii="Times New Roman" w:hAnsi="Times New Roman" w:cs="Times New Roman"/>
          <w:sz w:val="24"/>
          <w:szCs w:val="24"/>
          <w:lang w:val="en-GB"/>
        </w:rPr>
      </w:pPr>
      <w:r w:rsidRPr="00ED2BB7">
        <w:rPr>
          <w:rFonts w:ascii="Times New Roman" w:hAnsi="Times New Roman" w:cs="Times New Roman"/>
          <w:sz w:val="24"/>
          <w:szCs w:val="24"/>
          <w:lang w:val="en-GB"/>
        </w:rPr>
        <w:t>Subsequently, issues in the PIS</w:t>
      </w:r>
      <w:r w:rsidR="00853696" w:rsidRPr="00ED2BB7">
        <w:rPr>
          <w:rFonts w:ascii="Times New Roman" w:hAnsi="Times New Roman" w:cs="Times New Roman"/>
          <w:sz w:val="24"/>
          <w:szCs w:val="24"/>
          <w:lang w:val="en-GB"/>
        </w:rPr>
        <w:t>/ICF</w:t>
      </w:r>
      <w:r w:rsidRPr="00ED2BB7">
        <w:rPr>
          <w:rFonts w:ascii="Times New Roman" w:hAnsi="Times New Roman" w:cs="Times New Roman"/>
          <w:sz w:val="24"/>
          <w:szCs w:val="24"/>
          <w:lang w:val="en-GB"/>
        </w:rPr>
        <w:t xml:space="preserve"> identified during initial MREC review are listed in Table 2. The </w:t>
      </w:r>
      <w:r w:rsidR="005877DA" w:rsidRPr="00ED2BB7">
        <w:rPr>
          <w:rFonts w:ascii="Times New Roman" w:hAnsi="Times New Roman" w:cs="Times New Roman"/>
          <w:sz w:val="24"/>
          <w:szCs w:val="24"/>
          <w:lang w:val="en-GB"/>
        </w:rPr>
        <w:t xml:space="preserve">two main </w:t>
      </w:r>
      <w:r w:rsidRPr="00ED2BB7">
        <w:rPr>
          <w:rFonts w:ascii="Times New Roman" w:hAnsi="Times New Roman" w:cs="Times New Roman"/>
          <w:sz w:val="24"/>
          <w:szCs w:val="24"/>
          <w:lang w:val="en-GB"/>
        </w:rPr>
        <w:t xml:space="preserve">issues </w:t>
      </w:r>
      <w:r w:rsidR="00E273A1" w:rsidRPr="00ED2BB7">
        <w:rPr>
          <w:rFonts w:ascii="Times New Roman" w:hAnsi="Times New Roman" w:cs="Times New Roman"/>
          <w:sz w:val="24"/>
          <w:szCs w:val="24"/>
          <w:lang w:val="en-GB"/>
        </w:rPr>
        <w:t>are</w:t>
      </w:r>
      <w:r w:rsidRPr="00ED2BB7">
        <w:rPr>
          <w:rFonts w:ascii="Times New Roman" w:hAnsi="Times New Roman" w:cs="Times New Roman"/>
          <w:sz w:val="24"/>
          <w:szCs w:val="24"/>
          <w:lang w:val="en-GB"/>
        </w:rPr>
        <w:t xml:space="preserve"> </w:t>
      </w:r>
      <w:r w:rsidR="005877DA" w:rsidRPr="00ED2BB7">
        <w:rPr>
          <w:rFonts w:ascii="Times New Roman" w:hAnsi="Times New Roman" w:cs="Times New Roman"/>
          <w:sz w:val="24"/>
          <w:szCs w:val="24"/>
          <w:lang w:val="en-GB"/>
        </w:rPr>
        <w:t xml:space="preserve">lack of description of (i) </w:t>
      </w:r>
      <w:r w:rsidRPr="00ED2BB7">
        <w:rPr>
          <w:rFonts w:ascii="Times New Roman" w:hAnsi="Times New Roman" w:cs="Times New Roman"/>
          <w:sz w:val="24"/>
          <w:szCs w:val="24"/>
          <w:lang w:val="en-GB"/>
        </w:rPr>
        <w:t xml:space="preserve">compensation in the event of trial related injury; and </w:t>
      </w:r>
      <w:r w:rsidR="005877DA" w:rsidRPr="00ED2BB7">
        <w:rPr>
          <w:rFonts w:ascii="Times New Roman" w:hAnsi="Times New Roman" w:cs="Times New Roman"/>
          <w:sz w:val="24"/>
          <w:szCs w:val="24"/>
          <w:lang w:val="en-GB"/>
        </w:rPr>
        <w:t xml:space="preserve">(ii) </w:t>
      </w:r>
      <w:r w:rsidRPr="00ED2BB7">
        <w:rPr>
          <w:rFonts w:ascii="Times New Roman" w:hAnsi="Times New Roman" w:cs="Times New Roman"/>
          <w:sz w:val="24"/>
          <w:szCs w:val="24"/>
          <w:lang w:val="en-GB"/>
        </w:rPr>
        <w:t>anticipated trial expenses with error rates of 16% and 15%</w:t>
      </w:r>
      <w:r w:rsidR="00E273A1" w:rsidRPr="00ED2BB7">
        <w:rPr>
          <w:rFonts w:ascii="Times New Roman" w:hAnsi="Times New Roman" w:cs="Times New Roman"/>
          <w:sz w:val="24"/>
          <w:szCs w:val="24"/>
          <w:lang w:val="en-GB"/>
        </w:rPr>
        <w:t>,</w:t>
      </w:r>
      <w:r w:rsidRPr="00ED2BB7">
        <w:rPr>
          <w:rFonts w:ascii="Times New Roman" w:hAnsi="Times New Roman" w:cs="Times New Roman"/>
          <w:sz w:val="24"/>
          <w:szCs w:val="24"/>
          <w:lang w:val="en-GB"/>
        </w:rPr>
        <w:t xml:space="preserve"> respectively.  Although monetary elements </w:t>
      </w:r>
      <w:r w:rsidR="00E273A1" w:rsidRPr="00ED2BB7">
        <w:rPr>
          <w:rFonts w:ascii="Times New Roman" w:hAnsi="Times New Roman" w:cs="Times New Roman"/>
          <w:sz w:val="24"/>
          <w:szCs w:val="24"/>
          <w:lang w:val="en-GB"/>
        </w:rPr>
        <w:t>are</w:t>
      </w:r>
      <w:r w:rsidRPr="00ED2BB7">
        <w:rPr>
          <w:rFonts w:ascii="Times New Roman" w:hAnsi="Times New Roman" w:cs="Times New Roman"/>
          <w:sz w:val="24"/>
          <w:szCs w:val="24"/>
          <w:lang w:val="en-GB"/>
        </w:rPr>
        <w:t xml:space="preserve"> the most </w:t>
      </w:r>
      <w:r w:rsidR="00E273A1" w:rsidRPr="00ED2BB7">
        <w:rPr>
          <w:rFonts w:ascii="Times New Roman" w:hAnsi="Times New Roman" w:cs="Times New Roman"/>
          <w:sz w:val="24"/>
          <w:szCs w:val="24"/>
          <w:lang w:val="en-GB"/>
        </w:rPr>
        <w:t xml:space="preserve">frequently </w:t>
      </w:r>
      <w:r w:rsidRPr="00ED2BB7">
        <w:rPr>
          <w:rFonts w:ascii="Times New Roman" w:hAnsi="Times New Roman" w:cs="Times New Roman"/>
          <w:sz w:val="24"/>
          <w:szCs w:val="24"/>
          <w:lang w:val="en-GB"/>
        </w:rPr>
        <w:t xml:space="preserve">compiled </w:t>
      </w:r>
      <w:r w:rsidR="00E273A1" w:rsidRPr="00ED2BB7">
        <w:rPr>
          <w:rFonts w:ascii="Times New Roman" w:hAnsi="Times New Roman" w:cs="Times New Roman"/>
          <w:sz w:val="24"/>
          <w:szCs w:val="24"/>
          <w:lang w:val="en-GB"/>
        </w:rPr>
        <w:t>issues in PIS</w:t>
      </w:r>
      <w:r w:rsidR="00853696" w:rsidRPr="00ED2BB7">
        <w:rPr>
          <w:rFonts w:ascii="Times New Roman" w:hAnsi="Times New Roman" w:cs="Times New Roman"/>
          <w:sz w:val="24"/>
          <w:szCs w:val="24"/>
          <w:lang w:val="en-GB"/>
        </w:rPr>
        <w:t>/ICF</w:t>
      </w:r>
      <w:r w:rsidR="00E273A1" w:rsidRPr="00ED2BB7">
        <w:rPr>
          <w:rFonts w:ascii="Times New Roman" w:hAnsi="Times New Roman" w:cs="Times New Roman"/>
          <w:sz w:val="24"/>
          <w:szCs w:val="24"/>
          <w:lang w:val="en-GB"/>
        </w:rPr>
        <w:t xml:space="preserve">, which could possibly because </w:t>
      </w:r>
      <w:r w:rsidRPr="00ED2BB7">
        <w:rPr>
          <w:rFonts w:ascii="Times New Roman" w:hAnsi="Times New Roman" w:cs="Times New Roman"/>
          <w:sz w:val="24"/>
          <w:szCs w:val="24"/>
          <w:lang w:val="en-GB"/>
        </w:rPr>
        <w:t>most PMPs were either self-funded studies that do not involve compensation or trial expenses were covered by MOH according to government directive that participants in investigator initiated trial (IIT) are exempted from hospital charge</w:t>
      </w:r>
      <w:r w:rsidR="00F607AA" w:rsidRPr="00ED2BB7">
        <w:rPr>
          <w:rFonts w:ascii="Times New Roman" w:hAnsi="Times New Roman" w:cs="Times New Roman"/>
          <w:sz w:val="24"/>
          <w:szCs w:val="24"/>
          <w:lang w:val="en-GB"/>
        </w:rPr>
        <w:t>s</w:t>
      </w:r>
      <w:r w:rsidRPr="00ED2BB7">
        <w:rPr>
          <w:rFonts w:ascii="Times New Roman" w:hAnsi="Times New Roman" w:cs="Times New Roman"/>
          <w:sz w:val="24"/>
          <w:szCs w:val="24"/>
          <w:lang w:val="en-GB"/>
        </w:rPr>
        <w:t xml:space="preserve">.  </w:t>
      </w:r>
    </w:p>
    <w:p w14:paraId="202ABF02" w14:textId="22EE6F1E" w:rsidR="00BA1F98" w:rsidRPr="00ED2BB7" w:rsidRDefault="00BA1F98" w:rsidP="00ED2BB7">
      <w:pPr>
        <w:pStyle w:val="NormalWeb"/>
        <w:spacing w:after="240" w:afterAutospacing="0"/>
        <w:rPr>
          <w:b/>
        </w:rPr>
      </w:pPr>
    </w:p>
    <w:p w14:paraId="30299F00" w14:textId="47C59951" w:rsidR="00BA1F98" w:rsidRPr="00ED2BB7" w:rsidRDefault="00BA1F98" w:rsidP="00ED2BB7">
      <w:pPr>
        <w:pStyle w:val="NormalWeb"/>
        <w:spacing w:after="240" w:afterAutospacing="0"/>
        <w:rPr>
          <w:b/>
        </w:rPr>
      </w:pPr>
    </w:p>
    <w:p w14:paraId="02979BDC" w14:textId="77777777" w:rsidR="00BA1F98" w:rsidRPr="00ED2BB7" w:rsidRDefault="00BA1F98" w:rsidP="00ED2BB7">
      <w:pPr>
        <w:pStyle w:val="NormalWeb"/>
        <w:spacing w:after="240" w:afterAutospacing="0"/>
        <w:rPr>
          <w:b/>
        </w:rPr>
      </w:pPr>
    </w:p>
    <w:p w14:paraId="232DA4A0" w14:textId="60F7DEC9" w:rsidR="00EA2C70" w:rsidRPr="00ED2BB7" w:rsidRDefault="00EA2C70" w:rsidP="00ED2BB7">
      <w:pPr>
        <w:pStyle w:val="NormalWeb"/>
        <w:spacing w:after="240" w:afterAutospacing="0"/>
        <w:rPr>
          <w:lang w:val="en-GB"/>
        </w:rPr>
      </w:pPr>
      <w:r w:rsidRPr="00ED2BB7">
        <w:rPr>
          <w:b/>
        </w:rPr>
        <w:lastRenderedPageBreak/>
        <w:t>D</w:t>
      </w:r>
      <w:r w:rsidR="004C607E" w:rsidRPr="00ED2BB7">
        <w:rPr>
          <w:b/>
        </w:rPr>
        <w:t>ISCUSSION</w:t>
      </w:r>
    </w:p>
    <w:p w14:paraId="18444FC8" w14:textId="77777777" w:rsidR="00451B06" w:rsidRPr="00ED2BB7" w:rsidRDefault="00451B06" w:rsidP="00ED2BB7">
      <w:pPr>
        <w:pStyle w:val="NormalWeb"/>
        <w:spacing w:after="240" w:afterAutospacing="0"/>
        <w:rPr>
          <w:i/>
        </w:rPr>
      </w:pPr>
      <w:r w:rsidRPr="00ED2BB7">
        <w:rPr>
          <w:i/>
        </w:rPr>
        <w:t xml:space="preserve">Trial Design </w:t>
      </w:r>
    </w:p>
    <w:p w14:paraId="3B1DF7E3" w14:textId="5367E7EA" w:rsidR="00451B06" w:rsidRPr="00ED2BB7" w:rsidRDefault="00451B06" w:rsidP="00ED2BB7">
      <w:pPr>
        <w:pStyle w:val="NormalWeb"/>
        <w:spacing w:after="240" w:afterAutospacing="0"/>
      </w:pPr>
      <w:r w:rsidRPr="00ED2BB7">
        <w:t xml:space="preserve">      Trial design is an important aspect of a well-designed medical research. In an interventional study, the study population typically undergoes a pre-specified intervention (usually either a clinical drug therapy or a surgical procedure) while in an observational study, the study population does not undergo a pre-specified intervention but instead, the researcher will draw inferences from a sample </w:t>
      </w:r>
      <w:r w:rsidR="00767A06" w:rsidRPr="00ED2BB7">
        <w:t xml:space="preserve">which should be representative </w:t>
      </w:r>
      <w:r w:rsidRPr="00ED2BB7">
        <w:t xml:space="preserve">of the </w:t>
      </w:r>
      <w:r w:rsidR="00767A06" w:rsidRPr="00ED2BB7">
        <w:t xml:space="preserve">entire </w:t>
      </w:r>
      <w:r w:rsidRPr="00ED2BB7">
        <w:t>population</w:t>
      </w:r>
      <w:r w:rsidR="00767A06" w:rsidRPr="00ED2BB7">
        <w:t xml:space="preserve">. This means that </w:t>
      </w:r>
      <w:r w:rsidRPr="00ED2BB7">
        <w:t>the independent variable will not be under the control of the researcher</w:t>
      </w:r>
      <w:r w:rsidR="00767A06" w:rsidRPr="00ED2BB7">
        <w:t xml:space="preserve"> in an observational study</w:t>
      </w:r>
      <w:r w:rsidRPr="00ED2BB7">
        <w:t xml:space="preserve"> </w:t>
      </w:r>
      <w:r w:rsidR="00F54E89" w:rsidRPr="00ED2BB7">
        <w:t>[</w:t>
      </w:r>
      <w:r w:rsidR="008008BA" w:rsidRPr="00ED2BB7">
        <w:t>3</w:t>
      </w:r>
      <w:r w:rsidR="00F54E89" w:rsidRPr="00ED2BB7">
        <w:t>]</w:t>
      </w:r>
      <w:r w:rsidRPr="00ED2BB7">
        <w:t xml:space="preserve">. Therefore, it is </w:t>
      </w:r>
      <w:r w:rsidR="00134514" w:rsidRPr="00ED2BB7">
        <w:t>essential</w:t>
      </w:r>
      <w:r w:rsidRPr="00ED2BB7">
        <w:t xml:space="preserve"> for medical students to thoroughly understand the </w:t>
      </w:r>
      <w:r w:rsidR="006E287E" w:rsidRPr="00ED2BB7">
        <w:t xml:space="preserve">strengths and </w:t>
      </w:r>
      <w:r w:rsidRPr="00ED2BB7">
        <w:t>limitations of each clinical trial design and then apply the most appropriate clinical trial design to achieve the clinical trial objectives (by answering the primary clinical research question). Hence, the correct clinical trial design for a PMP should enable investigator(s) to (i)</w:t>
      </w:r>
      <w:r w:rsidR="00D552E8" w:rsidRPr="00ED2BB7">
        <w:t xml:space="preserve"> </w:t>
      </w:r>
      <w:r w:rsidRPr="00ED2BB7">
        <w:t>fulfil ethical requirements for conducting the research; (ii)</w:t>
      </w:r>
      <w:r w:rsidR="00D552E8" w:rsidRPr="00ED2BB7">
        <w:t xml:space="preserve"> </w:t>
      </w:r>
      <w:r w:rsidRPr="00ED2BB7">
        <w:t>permit efficient use of scarce research resources; (iii)</w:t>
      </w:r>
      <w:r w:rsidR="00D552E8" w:rsidRPr="00ED2BB7">
        <w:t xml:space="preserve"> </w:t>
      </w:r>
      <w:r w:rsidRPr="00ED2BB7">
        <w:t>isolate the treatment effect of interest from confounders; (iv)</w:t>
      </w:r>
      <w:r w:rsidR="00D552E8" w:rsidRPr="00ED2BB7">
        <w:t xml:space="preserve"> </w:t>
      </w:r>
      <w:r w:rsidRPr="00ED2BB7">
        <w:t>improve precision by reducing both selection bias and observer bias; (v)</w:t>
      </w:r>
      <w:r w:rsidR="00D552E8" w:rsidRPr="00ED2BB7">
        <w:t xml:space="preserve"> </w:t>
      </w:r>
      <w:r w:rsidRPr="00ED2BB7">
        <w:t>quantify and minimize any random error or uncertainty; (vi)</w:t>
      </w:r>
      <w:r w:rsidR="00D552E8" w:rsidRPr="00ED2BB7">
        <w:t xml:space="preserve"> </w:t>
      </w:r>
      <w:r w:rsidRPr="00ED2BB7">
        <w:t>simplify and validate the statistical analysis; and (vii) increase the external validi</w:t>
      </w:r>
      <w:r w:rsidR="00134514" w:rsidRPr="00ED2BB7">
        <w:t xml:space="preserve">ty of the trial </w:t>
      </w:r>
      <w:r w:rsidR="00F54E89" w:rsidRPr="00ED2BB7">
        <w:t>[</w:t>
      </w:r>
      <w:r w:rsidR="008008BA" w:rsidRPr="00ED2BB7">
        <w:t>4</w:t>
      </w:r>
      <w:r w:rsidR="00F54E89" w:rsidRPr="00ED2BB7">
        <w:t>]</w:t>
      </w:r>
      <w:r w:rsidR="00134514" w:rsidRPr="00ED2BB7">
        <w:t>. All in all</w:t>
      </w:r>
      <w:r w:rsidRPr="00ED2BB7">
        <w:t xml:space="preserve">, selecting the correct trial design when preparing clinical trial protocol is </w:t>
      </w:r>
      <w:r w:rsidR="00134514" w:rsidRPr="00ED2BB7">
        <w:t>of paramount importance to avoid</w:t>
      </w:r>
      <w:r w:rsidRPr="00ED2BB7">
        <w:t xml:space="preserve"> any potential bias and confounding throughout the clinical trial and also to ensure that the study protocol can be prac</w:t>
      </w:r>
      <w:r w:rsidR="004C607E" w:rsidRPr="00ED2BB7">
        <w:t>tically implemented as planned.</w:t>
      </w:r>
    </w:p>
    <w:p w14:paraId="07BB99C2" w14:textId="77777777" w:rsidR="00451B06" w:rsidRPr="00ED2BB7" w:rsidRDefault="00451B06" w:rsidP="00ED2BB7">
      <w:pPr>
        <w:pStyle w:val="NormalWeb"/>
        <w:spacing w:after="240" w:afterAutospacing="0"/>
        <w:rPr>
          <w:i/>
        </w:rPr>
      </w:pPr>
      <w:r w:rsidRPr="00ED2BB7">
        <w:rPr>
          <w:i/>
        </w:rPr>
        <w:t xml:space="preserve">Sample Size </w:t>
      </w:r>
    </w:p>
    <w:p w14:paraId="6526FC75" w14:textId="4503D594" w:rsidR="00451B06" w:rsidRPr="00ED2BB7" w:rsidRDefault="00451B06" w:rsidP="00ED2BB7">
      <w:pPr>
        <w:pStyle w:val="NormalWeb"/>
        <w:spacing w:after="240" w:afterAutospacing="0"/>
        <w:ind w:firstLine="720"/>
      </w:pPr>
      <w:r w:rsidRPr="00ED2BB7">
        <w:t>In a clinical trial, the sample size is the minimum number of patients or other experimental units which is required to be recruited in order to have sufficient power to answer the research question(s). Sample size plays a pivotal role in research planning as it affects both the d</w:t>
      </w:r>
      <w:r w:rsidR="00767A06" w:rsidRPr="00ED2BB7">
        <w:t xml:space="preserve">uration and cost incurred by a </w:t>
      </w:r>
      <w:r w:rsidRPr="00ED2BB7">
        <w:t xml:space="preserve">study. Apart from that, sample size also enables the estimation of statistical power attained by a study and so it provides a rough pre-determination of probability of success of a study or experiment </w:t>
      </w:r>
      <w:r w:rsidR="00F54E89" w:rsidRPr="00ED2BB7">
        <w:t>[</w:t>
      </w:r>
      <w:r w:rsidR="008008BA" w:rsidRPr="00ED2BB7">
        <w:t>5</w:t>
      </w:r>
      <w:r w:rsidR="00F54E89" w:rsidRPr="00ED2BB7">
        <w:t>]</w:t>
      </w:r>
      <w:r w:rsidRPr="00ED2BB7">
        <w:t>. In order to ensure that a research study is be</w:t>
      </w:r>
      <w:r w:rsidR="00767A06" w:rsidRPr="00ED2BB7">
        <w:t xml:space="preserve">ing conducted successfully, </w:t>
      </w:r>
      <w:r w:rsidR="00692ECA" w:rsidRPr="00ED2BB7">
        <w:t xml:space="preserve">it is necessary to collect </w:t>
      </w:r>
      <w:r w:rsidR="00767A06" w:rsidRPr="00ED2BB7">
        <w:t>a good</w:t>
      </w:r>
      <w:r w:rsidR="007E3E2B" w:rsidRPr="00ED2BB7">
        <w:t xml:space="preserve"> </w:t>
      </w:r>
      <w:r w:rsidRPr="00ED2BB7">
        <w:t xml:space="preserve">quality sample </w:t>
      </w:r>
      <w:r w:rsidR="006708C1" w:rsidRPr="00ED2BB7">
        <w:t>that is represen</w:t>
      </w:r>
      <w:r w:rsidR="00692ECA" w:rsidRPr="00ED2BB7">
        <w:t>tative of the entire population. S</w:t>
      </w:r>
      <w:r w:rsidR="006708C1" w:rsidRPr="00ED2BB7">
        <w:t xml:space="preserve">ample collection </w:t>
      </w:r>
      <w:r w:rsidR="00692ECA" w:rsidRPr="00ED2BB7">
        <w:t xml:space="preserve">depends highly </w:t>
      </w:r>
      <w:r w:rsidRPr="00ED2BB7">
        <w:t xml:space="preserve">on total number of subjects recruited in a sample and also the sampling method for recruiting them. Therefore, a good sample of the experimental or observational units in a PMP must be obtained from the appropriate target population, which is </w:t>
      </w:r>
      <w:r w:rsidR="00F607AA" w:rsidRPr="00ED2BB7">
        <w:t xml:space="preserve">duly randomized </w:t>
      </w:r>
      <w:r w:rsidRPr="00ED2BB7">
        <w:t xml:space="preserve">according to proper randomisation procedures and all measurements must be obtained by using reliable measurements </w:t>
      </w:r>
      <w:r w:rsidR="00F54E89" w:rsidRPr="00ED2BB7">
        <w:t>[</w:t>
      </w:r>
      <w:r w:rsidR="008008BA" w:rsidRPr="00ED2BB7">
        <w:t>6</w:t>
      </w:r>
      <w:r w:rsidR="00F54E89" w:rsidRPr="00ED2BB7">
        <w:t>]</w:t>
      </w:r>
      <w:r w:rsidRPr="00ED2BB7">
        <w:t xml:space="preserve">. </w:t>
      </w:r>
      <w:r w:rsidR="00263A0C" w:rsidRPr="00ED2BB7">
        <w:t xml:space="preserve">It </w:t>
      </w:r>
      <w:r w:rsidRPr="00ED2BB7">
        <w:t>s</w:t>
      </w:r>
      <w:r w:rsidR="00263A0C" w:rsidRPr="00ED2BB7">
        <w:t>hould also be</w:t>
      </w:r>
      <w:r w:rsidRPr="00ED2BB7">
        <w:t xml:space="preserve"> noted that the minimum number of subjects in a research study should directly correspond to the number of goals of a study in order for a study to be deemed </w:t>
      </w:r>
      <w:r w:rsidR="00263A0C" w:rsidRPr="00ED2BB7">
        <w:t xml:space="preserve">to be both </w:t>
      </w:r>
      <w:r w:rsidRPr="00ED2BB7">
        <w:t xml:space="preserve">scientifically </w:t>
      </w:r>
      <w:r w:rsidR="00263A0C" w:rsidRPr="00ED2BB7">
        <w:t xml:space="preserve">and statistically </w:t>
      </w:r>
      <w:r w:rsidR="00692ECA" w:rsidRPr="00ED2BB7">
        <w:t>val</w:t>
      </w:r>
      <w:r w:rsidRPr="00ED2BB7">
        <w:t>i</w:t>
      </w:r>
      <w:r w:rsidR="00692ECA" w:rsidRPr="00ED2BB7">
        <w:t>d</w:t>
      </w:r>
      <w:r w:rsidRPr="00ED2BB7">
        <w:t xml:space="preserve"> by reducing </w:t>
      </w:r>
      <w:r w:rsidR="00C44776" w:rsidRPr="00ED2BB7">
        <w:t xml:space="preserve">the number of </w:t>
      </w:r>
      <w:r w:rsidRPr="00ED2BB7">
        <w:t xml:space="preserve">outliers or extreme observations </w:t>
      </w:r>
      <w:r w:rsidR="00F54E89" w:rsidRPr="00ED2BB7">
        <w:t>[</w:t>
      </w:r>
      <w:r w:rsidR="008008BA" w:rsidRPr="00ED2BB7">
        <w:t>6</w:t>
      </w:r>
      <w:r w:rsidR="00F54E89" w:rsidRPr="00ED2BB7">
        <w:t>]</w:t>
      </w:r>
      <w:r w:rsidRPr="00ED2BB7">
        <w:t xml:space="preserve">. Furthermore, sample size also has an impact on both economic and ethical aspects of a study because an under-sized study can subsequently produce useless or redundant results, whereas an over-sized study may utilize more resources than are necessary </w:t>
      </w:r>
      <w:r w:rsidR="00F54E89" w:rsidRPr="00ED2BB7">
        <w:t>[</w:t>
      </w:r>
      <w:r w:rsidR="008008BA" w:rsidRPr="00ED2BB7">
        <w:t>7</w:t>
      </w:r>
      <w:r w:rsidR="00F54E89" w:rsidRPr="00ED2BB7">
        <w:t>]</w:t>
      </w:r>
      <w:r w:rsidRPr="00ED2BB7">
        <w:t>. For trials involving human subjects, an appropriate sample size is essential because an under-sized experiment might unnecessarily expose the subjects to potentially harmful treatments without producing valid research findings</w:t>
      </w:r>
      <w:r w:rsidR="00263A0C" w:rsidRPr="00ED2BB7">
        <w:t xml:space="preserve"> whereas an over-sized experiment</w:t>
      </w:r>
      <w:r w:rsidRPr="00ED2BB7">
        <w:t xml:space="preserve"> may be exposing an unnecessarily large number of subjects to a potenti</w:t>
      </w:r>
      <w:r w:rsidR="00263A0C" w:rsidRPr="00ED2BB7">
        <w:t xml:space="preserve">ally harmful treatment </w:t>
      </w:r>
      <w:r w:rsidR="00F54E89" w:rsidRPr="00ED2BB7">
        <w:t>[</w:t>
      </w:r>
      <w:r w:rsidR="008008BA" w:rsidRPr="00ED2BB7">
        <w:t>6</w:t>
      </w:r>
      <w:r w:rsidR="00F54E89" w:rsidRPr="00ED2BB7">
        <w:t>]</w:t>
      </w:r>
      <w:r w:rsidRPr="00ED2BB7">
        <w:t>. From the above, it is clear that it is very important to fathom the minimum number of study subjects required for a clinical trial by perfor</w:t>
      </w:r>
      <w:r w:rsidR="00263A0C" w:rsidRPr="00ED2BB7">
        <w:t xml:space="preserve">ming </w:t>
      </w:r>
      <w:r w:rsidR="00C44776" w:rsidRPr="00ED2BB7">
        <w:t xml:space="preserve">a valid </w:t>
      </w:r>
      <w:r w:rsidR="00263A0C" w:rsidRPr="00ED2BB7">
        <w:t>sample size calculation using</w:t>
      </w:r>
      <w:r w:rsidRPr="00ED2BB7">
        <w:t xml:space="preserve"> several reliable methods and tools. To date, various online and commercial computer </w:t>
      </w:r>
      <w:r w:rsidRPr="00ED2BB7">
        <w:lastRenderedPageBreak/>
        <w:t>sof</w:t>
      </w:r>
      <w:r w:rsidR="00263A0C" w:rsidRPr="00ED2BB7">
        <w:t>tware programs are available to calculate</w:t>
      </w:r>
      <w:r w:rsidRPr="00ED2BB7">
        <w:t xml:space="preserve"> the power of a study and also the estimated sample size </w:t>
      </w:r>
      <w:r w:rsidR="00263A0C" w:rsidRPr="00ED2BB7">
        <w:t xml:space="preserve">required </w:t>
      </w:r>
      <w:r w:rsidRPr="00ED2BB7">
        <w:t xml:space="preserve">for </w:t>
      </w:r>
      <w:r w:rsidR="00263A0C" w:rsidRPr="00ED2BB7">
        <w:t>a</w:t>
      </w:r>
      <w:r w:rsidR="006708C1" w:rsidRPr="00ED2BB7">
        <w:t>ttaining a sufficient level of power for the</w:t>
      </w:r>
      <w:r w:rsidRPr="00ED2BB7">
        <w:t xml:space="preserve"> study. Two popular websites for a researcher to refer </w:t>
      </w:r>
      <w:r w:rsidR="00C44776" w:rsidRPr="00ED2BB7">
        <w:t xml:space="preserve">to </w:t>
      </w:r>
      <w:r w:rsidRPr="00ED2BB7">
        <w:t>when calculating a minimum sample size required for a</w:t>
      </w:r>
      <w:r w:rsidR="006708C1" w:rsidRPr="00ED2BB7">
        <w:t>ttaining a sufficient level of power for the</w:t>
      </w:r>
      <w:r w:rsidRPr="00ED2BB7">
        <w:t xml:space="preserve"> study are Russell </w:t>
      </w:r>
      <w:proofErr w:type="spellStart"/>
      <w:r w:rsidRPr="00ED2BB7">
        <w:t>Lenth’s</w:t>
      </w:r>
      <w:proofErr w:type="spellEnd"/>
      <w:r w:rsidRPr="00ED2BB7">
        <w:t xml:space="preserve"> website at http://www.math.uiowa.edu/~rlenth/Power/ and John </w:t>
      </w:r>
      <w:proofErr w:type="spellStart"/>
      <w:r w:rsidRPr="00ED2BB7">
        <w:t>Pezzullo’s</w:t>
      </w:r>
      <w:proofErr w:type="spellEnd"/>
      <w:r w:rsidRPr="00ED2BB7">
        <w:t xml:space="preserve"> website at http://statpages.org/. In summary, an adequate sample of study subjects must be recruited in order to ensure </w:t>
      </w:r>
      <w:r w:rsidR="006708C1" w:rsidRPr="00ED2BB7">
        <w:t xml:space="preserve">that a clinical trial is both </w:t>
      </w:r>
      <w:r w:rsidRPr="00ED2BB7">
        <w:t>scientific</w:t>
      </w:r>
      <w:r w:rsidR="006708C1" w:rsidRPr="00ED2BB7">
        <w:t>ally</w:t>
      </w:r>
      <w:r w:rsidRPr="00ED2BB7">
        <w:t xml:space="preserve"> and statistical</w:t>
      </w:r>
      <w:r w:rsidR="006708C1" w:rsidRPr="00ED2BB7">
        <w:t>ly valid</w:t>
      </w:r>
      <w:r w:rsidR="006E287E" w:rsidRPr="00ED2BB7">
        <w:t>, by attaining a sufficient level of power for the clinical trial</w:t>
      </w:r>
      <w:r w:rsidRPr="00ED2BB7">
        <w:t>.</w:t>
      </w:r>
    </w:p>
    <w:p w14:paraId="23B00B58" w14:textId="78530EEC" w:rsidR="00451B06" w:rsidRPr="00ED2BB7" w:rsidRDefault="004C607E" w:rsidP="00ED2BB7">
      <w:pPr>
        <w:pStyle w:val="NormalWeb"/>
        <w:spacing w:after="240" w:afterAutospacing="0"/>
        <w:rPr>
          <w:i/>
        </w:rPr>
      </w:pPr>
      <w:r w:rsidRPr="00ED2BB7">
        <w:rPr>
          <w:i/>
        </w:rPr>
        <w:t xml:space="preserve">Primary </w:t>
      </w:r>
      <w:r w:rsidR="00451B06" w:rsidRPr="00ED2BB7">
        <w:rPr>
          <w:i/>
        </w:rPr>
        <w:t>Objective</w:t>
      </w:r>
      <w:r w:rsidRPr="00ED2BB7">
        <w:rPr>
          <w:i/>
        </w:rPr>
        <w:t>(s)</w:t>
      </w:r>
      <w:r w:rsidR="00451B06" w:rsidRPr="00ED2BB7">
        <w:rPr>
          <w:i/>
        </w:rPr>
        <w:t xml:space="preserve"> of a Research Study</w:t>
      </w:r>
    </w:p>
    <w:p w14:paraId="33AFE598" w14:textId="7FB97C33" w:rsidR="00451B06" w:rsidRPr="00ED2BB7" w:rsidRDefault="00451B06" w:rsidP="00ED2BB7">
      <w:pPr>
        <w:pStyle w:val="NormalWeb"/>
        <w:spacing w:after="240" w:afterAutospacing="0"/>
        <w:ind w:firstLine="720"/>
      </w:pPr>
      <w:r w:rsidRPr="00ED2BB7">
        <w:t xml:space="preserve">The research objectives of a clinical trial are the key elements for conducting a research study in that they are also the goals to be accomplished by the whole research process. Generally, these research objectives are categorized as either ‘general’ or ‘specific’. A general research objective is one to be achieved by the research protocol while specific research objectives correspond to the specific research questions that the investigator wants to answer through the proposed study which can then be </w:t>
      </w:r>
      <w:r w:rsidR="00692ECA" w:rsidRPr="00ED2BB7">
        <w:t>further classifi</w:t>
      </w:r>
      <w:r w:rsidRPr="00ED2BB7">
        <w:t xml:space="preserve">ed as primary and secondary objectives </w:t>
      </w:r>
      <w:r w:rsidR="00F54E89" w:rsidRPr="00ED2BB7">
        <w:t>[</w:t>
      </w:r>
      <w:r w:rsidR="008008BA" w:rsidRPr="00ED2BB7">
        <w:t>8</w:t>
      </w:r>
      <w:r w:rsidR="00F54E89" w:rsidRPr="00ED2BB7">
        <w:t>]</w:t>
      </w:r>
      <w:r w:rsidRPr="00ED2BB7">
        <w:t xml:space="preserve">. The objectives in the research protocol are preferable to be written in a precise and meaningful manner that is </w:t>
      </w:r>
      <w:r w:rsidR="00692ECA" w:rsidRPr="00ED2BB7">
        <w:t xml:space="preserve">both </w:t>
      </w:r>
      <w:proofErr w:type="spellStart"/>
      <w:r w:rsidRPr="00ED2BB7">
        <w:t>operationalizable</w:t>
      </w:r>
      <w:proofErr w:type="spellEnd"/>
      <w:r w:rsidRPr="00ED2BB7">
        <w:t xml:space="preserve"> and achievable. A clear research objective might enable the readers to shed light on the </w:t>
      </w:r>
      <w:r w:rsidR="00692ECA" w:rsidRPr="00ED2BB7">
        <w:t xml:space="preserve">primary </w:t>
      </w:r>
      <w:r w:rsidRPr="00ED2BB7">
        <w:t xml:space="preserve">purpose of the entire research protocol so as to avoid unnecessary confusion throughout the research process. It is also advisable not to include those objectives that are overambitious as they might start out to be optimistic but eventually </w:t>
      </w:r>
      <w:r w:rsidR="00692ECA" w:rsidRPr="00ED2BB7">
        <w:t xml:space="preserve">may </w:t>
      </w:r>
      <w:r w:rsidRPr="00ED2BB7">
        <w:t xml:space="preserve">lead to failure </w:t>
      </w:r>
      <w:r w:rsidR="00F54E89" w:rsidRPr="00ED2BB7">
        <w:t>[</w:t>
      </w:r>
      <w:r w:rsidR="008008BA" w:rsidRPr="00ED2BB7">
        <w:t>9</w:t>
      </w:r>
      <w:r w:rsidR="00F54E89" w:rsidRPr="00ED2BB7">
        <w:t>]</w:t>
      </w:r>
      <w:r w:rsidRPr="00ED2BB7">
        <w:t xml:space="preserve">. The research objective ought to be exactly aligned with the parameter which it aims to evaluate, which means that the </w:t>
      </w:r>
      <w:r w:rsidR="00D11560" w:rsidRPr="00ED2BB7">
        <w:t>primary research objective</w:t>
      </w:r>
      <w:r w:rsidRPr="00ED2BB7">
        <w:t xml:space="preserve"> of the research study should be directly aligned with the </w:t>
      </w:r>
      <w:r w:rsidR="00D11560" w:rsidRPr="00ED2BB7">
        <w:t>primary research objective</w:t>
      </w:r>
      <w:r w:rsidRPr="00ED2BB7">
        <w:t xml:space="preserve"> that has been formulated in the study protocol since a single research protocol with too many </w:t>
      </w:r>
      <w:r w:rsidR="00D11560" w:rsidRPr="00ED2BB7">
        <w:t xml:space="preserve">research </w:t>
      </w:r>
      <w:r w:rsidRPr="00ED2BB7">
        <w:t xml:space="preserve">objectives may not be able to achieve </w:t>
      </w:r>
      <w:r w:rsidR="00F607AA" w:rsidRPr="00ED2BB7">
        <w:t xml:space="preserve">all of </w:t>
      </w:r>
      <w:r w:rsidRPr="00ED2BB7">
        <w:t xml:space="preserve">them </w:t>
      </w:r>
      <w:r w:rsidR="00F54E89" w:rsidRPr="00ED2BB7">
        <w:t>[</w:t>
      </w:r>
      <w:r w:rsidR="008008BA" w:rsidRPr="00ED2BB7">
        <w:t>10</w:t>
      </w:r>
      <w:r w:rsidR="00F54E89" w:rsidRPr="00ED2BB7">
        <w:t>]</w:t>
      </w:r>
      <w:r w:rsidRPr="00ED2BB7">
        <w:t xml:space="preserve">. </w:t>
      </w:r>
    </w:p>
    <w:p w14:paraId="09B6E1CB" w14:textId="77777777" w:rsidR="00451B06" w:rsidRPr="00ED2BB7" w:rsidRDefault="00451B06" w:rsidP="00ED2BB7">
      <w:pPr>
        <w:pStyle w:val="NormalWeb"/>
        <w:spacing w:after="240" w:afterAutospacing="0"/>
        <w:rPr>
          <w:i/>
        </w:rPr>
      </w:pPr>
      <w:r w:rsidRPr="00ED2BB7">
        <w:rPr>
          <w:i/>
        </w:rPr>
        <w:t>Exclusion Criteria for Prospective Subjects</w:t>
      </w:r>
    </w:p>
    <w:p w14:paraId="64AE4122" w14:textId="3B1A60B9" w:rsidR="00451B06" w:rsidRPr="00ED2BB7" w:rsidRDefault="00451B06" w:rsidP="00ED2BB7">
      <w:pPr>
        <w:pStyle w:val="NormalWeb"/>
        <w:spacing w:after="240" w:afterAutospacing="0"/>
        <w:ind w:firstLine="720"/>
      </w:pPr>
      <w:r w:rsidRPr="00ED2BB7">
        <w:t xml:space="preserve">One of the common errors in the preparation of a research protocol is the omission of exclusion criteria for prospective subjects. Exclusion criteria are those characteristics of prospective subjects that automatically disqualify them from being included in the study regardless of whether they have the potential to develop the outcome of interest. Examples of exclusion criteria include individuals who are incapable of meeting pre-test requirements for the study, suffering from major co-morbidities that can potentially confound the study results, or who are not able to attend future follow-up visits. </w:t>
      </w:r>
      <w:r w:rsidR="001962DD" w:rsidRPr="00ED2BB7">
        <w:t>Hence</w:t>
      </w:r>
      <w:r w:rsidRPr="00ED2BB7">
        <w:t xml:space="preserve">, patients having any of these characteristics should be excluded from participating in the study. In addition, individuals who are not fit to receive the aforementioned interventions or have already been participating in other clinical trials should also be excluded in a research study </w:t>
      </w:r>
      <w:r w:rsidR="00F54E89" w:rsidRPr="00ED2BB7">
        <w:t>[1</w:t>
      </w:r>
      <w:r w:rsidR="008008BA" w:rsidRPr="00ED2BB7">
        <w:t>1</w:t>
      </w:r>
      <w:r w:rsidR="00F54E89" w:rsidRPr="00ED2BB7">
        <w:t>]</w:t>
      </w:r>
      <w:r w:rsidRPr="00ED2BB7">
        <w:t>.  Furthermore, vulnerable study populations comprising of pregnant woman, children and elderly should also be excluded depending on the specific objectives of a research st</w:t>
      </w:r>
      <w:r w:rsidR="00D11560" w:rsidRPr="00ED2BB7">
        <w:t>udy. The exclusion criteria aim</w:t>
      </w:r>
      <w:r w:rsidRPr="00ED2BB7">
        <w:t xml:space="preserve"> to exclude a sub-set of in</w:t>
      </w:r>
      <w:r w:rsidR="00DD12EC" w:rsidRPr="00ED2BB7">
        <w:t>dividuals having a higher risk</w:t>
      </w:r>
      <w:r w:rsidRPr="00ED2BB7">
        <w:t xml:space="preserve"> of developing adver</w:t>
      </w:r>
      <w:r w:rsidR="00D11560" w:rsidRPr="00ED2BB7">
        <w:t>se effect of the intervention i</w:t>
      </w:r>
      <w:r w:rsidRPr="00ED2BB7">
        <w:t>n</w:t>
      </w:r>
      <w:r w:rsidR="00D11560" w:rsidRPr="00ED2BB7">
        <w:t xml:space="preserve"> or</w:t>
      </w:r>
      <w:r w:rsidRPr="00ED2BB7">
        <w:t>d</w:t>
      </w:r>
      <w:r w:rsidR="00D11560" w:rsidRPr="00ED2BB7">
        <w:t>er to afford protection for them</w:t>
      </w:r>
      <w:r w:rsidRPr="00ED2BB7">
        <w:t xml:space="preserve">. By excluding them, it is also possible to minimize any potential confounding effect of the patient’s other co-morbidities on the study outcomes </w:t>
      </w:r>
      <w:r w:rsidR="00F54E89" w:rsidRPr="00ED2BB7">
        <w:t>[1</w:t>
      </w:r>
      <w:r w:rsidR="008008BA" w:rsidRPr="00ED2BB7">
        <w:t>1</w:t>
      </w:r>
      <w:r w:rsidR="00F54E89" w:rsidRPr="00ED2BB7">
        <w:t>]</w:t>
      </w:r>
      <w:r w:rsidRPr="00ED2BB7">
        <w:t>. Previous studies of McElroy and Daniela had sta</w:t>
      </w:r>
      <w:r w:rsidR="00D11560" w:rsidRPr="00ED2BB7">
        <w:t>ted that exclusion criteria are</w:t>
      </w:r>
      <w:r w:rsidRPr="00ED2BB7">
        <w:t xml:space="preserve"> </w:t>
      </w:r>
      <w:r w:rsidR="00D11560" w:rsidRPr="00ED2BB7">
        <w:t xml:space="preserve">having an </w:t>
      </w:r>
      <w:r w:rsidRPr="00ED2BB7">
        <w:t xml:space="preserve">important </w:t>
      </w:r>
      <w:r w:rsidR="00D11560" w:rsidRPr="00ED2BB7">
        <w:t xml:space="preserve">role </w:t>
      </w:r>
      <w:r w:rsidRPr="00ED2BB7">
        <w:t xml:space="preserve">for striking a delicate balance between deﬁning a study population that is best suited to answer the research question and determining those individuals who are truly eligible for enrolment. This will enhance the probability of producing reproducible and reliable results or outcomes, and also </w:t>
      </w:r>
      <w:r w:rsidR="00D11560" w:rsidRPr="00ED2BB7">
        <w:t xml:space="preserve">avoiding incurring </w:t>
      </w:r>
      <w:r w:rsidR="00D11560" w:rsidRPr="00ED2BB7">
        <w:lastRenderedPageBreak/>
        <w:t>unnecessary risk in</w:t>
      </w:r>
      <w:r w:rsidRPr="00ED2BB7">
        <w:t xml:space="preserve"> all</w:t>
      </w:r>
      <w:r w:rsidR="00D11560" w:rsidRPr="00ED2BB7">
        <w:t xml:space="preserve"> the study subjects by inadvertent exploitation of vulnerable </w:t>
      </w:r>
      <w:r w:rsidRPr="00ED2BB7">
        <w:t xml:space="preserve">subjects </w:t>
      </w:r>
      <w:r w:rsidR="00F54E89" w:rsidRPr="00ED2BB7">
        <w:t>[1</w:t>
      </w:r>
      <w:r w:rsidR="008008BA" w:rsidRPr="00ED2BB7">
        <w:t>1</w:t>
      </w:r>
      <w:r w:rsidR="00F54E89" w:rsidRPr="00ED2BB7">
        <w:t>]</w:t>
      </w:r>
      <w:r w:rsidRPr="00ED2BB7">
        <w:t xml:space="preserve">. However, </w:t>
      </w:r>
      <w:r w:rsidR="00BB224F" w:rsidRPr="00ED2BB7">
        <w:t xml:space="preserve">having </w:t>
      </w:r>
      <w:r w:rsidRPr="00ED2BB7">
        <w:t xml:space="preserve">unclear or vague exclusion criteria found in a research protocol might often </w:t>
      </w:r>
      <w:r w:rsidR="00DD12EC" w:rsidRPr="00ED2BB7">
        <w:t>in</w:t>
      </w:r>
      <w:r w:rsidRPr="00ED2BB7">
        <w:t>t</w:t>
      </w:r>
      <w:r w:rsidR="00DD12EC" w:rsidRPr="00ED2BB7">
        <w:t>r</w:t>
      </w:r>
      <w:r w:rsidRPr="00ED2BB7">
        <w:t>o</w:t>
      </w:r>
      <w:r w:rsidR="00DD12EC" w:rsidRPr="00ED2BB7">
        <w:t>duce</w:t>
      </w:r>
      <w:r w:rsidRPr="00ED2BB7">
        <w:t xml:space="preserve"> bias thereby interfere with the accuracy of the results obtained from the clinical trial. Therefore, all exclusion criteria must be clearly stated in a positive manner, accompanied by strong justiﬁcations along with their underpinning rationale within a scientifically sound research protocol.</w:t>
      </w:r>
    </w:p>
    <w:p w14:paraId="0C05B482" w14:textId="62E394F9" w:rsidR="00451B06" w:rsidRPr="00ED2BB7" w:rsidRDefault="00451B06" w:rsidP="00ED2BB7">
      <w:pPr>
        <w:pStyle w:val="NormalWeb"/>
        <w:spacing w:after="240" w:afterAutospacing="0"/>
        <w:rPr>
          <w:i/>
        </w:rPr>
      </w:pPr>
      <w:r w:rsidRPr="00ED2BB7">
        <w:rPr>
          <w:i/>
        </w:rPr>
        <w:t xml:space="preserve">Compensation for </w:t>
      </w:r>
      <w:r w:rsidR="004C607E" w:rsidRPr="00ED2BB7">
        <w:rPr>
          <w:i/>
        </w:rPr>
        <w:t xml:space="preserve">Trial-related </w:t>
      </w:r>
      <w:r w:rsidRPr="00ED2BB7">
        <w:rPr>
          <w:i/>
        </w:rPr>
        <w:t>Injury</w:t>
      </w:r>
    </w:p>
    <w:p w14:paraId="51EA9C11" w14:textId="7DAF6446" w:rsidR="00451B06" w:rsidRPr="00ED2BB7" w:rsidRDefault="00451B06" w:rsidP="00ED2BB7">
      <w:pPr>
        <w:pStyle w:val="NormalWeb"/>
        <w:spacing w:after="240" w:afterAutospacing="0"/>
        <w:ind w:firstLine="720"/>
      </w:pPr>
      <w:r w:rsidRPr="00ED2BB7">
        <w:t xml:space="preserve">Previous findings have suggested that most of the PMPs </w:t>
      </w:r>
      <w:r w:rsidR="00BB224F" w:rsidRPr="00ED2BB7">
        <w:t>did not include a</w:t>
      </w:r>
      <w:r w:rsidRPr="00ED2BB7">
        <w:t xml:space="preserve"> </w:t>
      </w:r>
      <w:r w:rsidR="00BB224F" w:rsidRPr="00ED2BB7">
        <w:t>description</w:t>
      </w:r>
      <w:r w:rsidRPr="00ED2BB7">
        <w:t xml:space="preserve"> of compensation for </w:t>
      </w:r>
      <w:r w:rsidR="00BB224F" w:rsidRPr="00ED2BB7">
        <w:t xml:space="preserve">trial-related </w:t>
      </w:r>
      <w:r w:rsidRPr="00ED2BB7">
        <w:t>injury because these research studies are usually of minimal risk. However, this does not fully justify the students from omitting to mention about risk in the PIS</w:t>
      </w:r>
      <w:r w:rsidR="00853696" w:rsidRPr="00ED2BB7">
        <w:t>/ICF</w:t>
      </w:r>
      <w:r w:rsidRPr="00ED2BB7">
        <w:t>.  Trial-related injury is an inevitable component of any research study which can manifest itself in many different forms such as physical, psychological/emotional and social</w:t>
      </w:r>
      <w:r w:rsidR="00853696" w:rsidRPr="00ED2BB7">
        <w:t>;</w:t>
      </w:r>
      <w:r w:rsidRPr="00ED2BB7">
        <w:t xml:space="preserve"> all of which would require either emergency care or long term medical care </w:t>
      </w:r>
      <w:r w:rsidR="00F54E89" w:rsidRPr="00ED2BB7">
        <w:t>[1</w:t>
      </w:r>
      <w:r w:rsidR="008008BA" w:rsidRPr="00ED2BB7">
        <w:t>2</w:t>
      </w:r>
      <w:r w:rsidR="00F54E89" w:rsidRPr="00ED2BB7">
        <w:t>]</w:t>
      </w:r>
      <w:r w:rsidRPr="00ED2BB7">
        <w:t xml:space="preserve">. Therefore, </w:t>
      </w:r>
      <w:r w:rsidR="001962DD" w:rsidRPr="00ED2BB7">
        <w:t>it has been a usual practice for compensation to be</w:t>
      </w:r>
      <w:r w:rsidRPr="00ED2BB7">
        <w:t xml:space="preserve"> provided to subjects who have suffered from trial-related injury by either monetary or non-monetary</w:t>
      </w:r>
      <w:r w:rsidR="001962DD" w:rsidRPr="00ED2BB7">
        <w:t xml:space="preserve"> means</w:t>
      </w:r>
      <w:r w:rsidRPr="00ED2BB7">
        <w:t>. The monetary means of compensation is referring to a sum of money being paid to the subject as a form of compensation for the costs incurred by these trial-related injuries such as loss of daily wages, etc.</w:t>
      </w:r>
      <w:r w:rsidR="001962DD" w:rsidRPr="00ED2BB7">
        <w:t>;</w:t>
      </w:r>
      <w:r w:rsidRPr="00ED2BB7">
        <w:t xml:space="preserve"> while non-monetary means of compensation is referring to the provision of free medical care </w:t>
      </w:r>
      <w:r w:rsidR="00BB224F" w:rsidRPr="00ED2BB7">
        <w:t>for ameliora</w:t>
      </w:r>
      <w:r w:rsidRPr="00ED2BB7">
        <w:t xml:space="preserve">ting the effects of trial-related injuries </w:t>
      </w:r>
      <w:r w:rsidR="00F54E89" w:rsidRPr="00ED2BB7">
        <w:t>[1</w:t>
      </w:r>
      <w:r w:rsidR="008008BA" w:rsidRPr="00ED2BB7">
        <w:t>3</w:t>
      </w:r>
      <w:r w:rsidR="00F54E89" w:rsidRPr="00ED2BB7">
        <w:t>]</w:t>
      </w:r>
      <w:r w:rsidRPr="00ED2BB7">
        <w:t xml:space="preserve">. If serious trial-related injuries have occurred in clinical trial subjects, then these subjects shall be repaid by both monetary and non-monetary forms of compensation. Thus, the rights of subjects are protected by the provision of compensation for </w:t>
      </w:r>
      <w:r w:rsidR="00BB224F" w:rsidRPr="00ED2BB7">
        <w:t xml:space="preserve">trial-related </w:t>
      </w:r>
      <w:r w:rsidRPr="00ED2BB7">
        <w:t>injury during a clinical trial. This applies equally to all clinical research protocols in which one of their essential components is the provision of compensation for a trial-related injury, the details of which must be provided within the written PIS</w:t>
      </w:r>
      <w:r w:rsidR="00853696" w:rsidRPr="00ED2BB7">
        <w:t>/ICF</w:t>
      </w:r>
      <w:r w:rsidRPr="00ED2BB7">
        <w:t xml:space="preserve"> and also via oral discussion during eliciting the informed consent for clinical trial participation </w:t>
      </w:r>
      <w:r w:rsidR="00F54E89" w:rsidRPr="00ED2BB7">
        <w:t>[1</w:t>
      </w:r>
      <w:r w:rsidR="008008BA" w:rsidRPr="00ED2BB7">
        <w:t>4</w:t>
      </w:r>
      <w:r w:rsidR="00F54E89" w:rsidRPr="00ED2BB7">
        <w:t>]</w:t>
      </w:r>
      <w:r w:rsidRPr="00ED2BB7">
        <w:t xml:space="preserve">. </w:t>
      </w:r>
    </w:p>
    <w:p w14:paraId="25FE5489" w14:textId="77777777" w:rsidR="00451B06" w:rsidRPr="00ED2BB7" w:rsidRDefault="00451B06" w:rsidP="00ED2BB7">
      <w:pPr>
        <w:pStyle w:val="NormalWeb"/>
        <w:spacing w:after="240" w:afterAutospacing="0"/>
        <w:rPr>
          <w:i/>
        </w:rPr>
      </w:pPr>
      <w:r w:rsidRPr="00ED2BB7">
        <w:rPr>
          <w:i/>
        </w:rPr>
        <w:t xml:space="preserve">Anticipated trial expenses </w:t>
      </w:r>
    </w:p>
    <w:p w14:paraId="29115AA1" w14:textId="34E21B53" w:rsidR="00EA2C70" w:rsidRPr="00ED2BB7" w:rsidRDefault="002C1009" w:rsidP="00ED2BB7">
      <w:pPr>
        <w:pStyle w:val="NormalWeb"/>
        <w:spacing w:after="240" w:afterAutospacing="0"/>
        <w:ind w:firstLine="720"/>
      </w:pPr>
      <w:r w:rsidRPr="00ED2BB7">
        <w:t>This study</w:t>
      </w:r>
      <w:r w:rsidR="00451B06" w:rsidRPr="00ED2BB7">
        <w:t xml:space="preserve"> had established that most PMPs did not include a description of anticipated trial expenses and it is suggested this could be due to a government circular which has planned to exempt all the necessary expenses for all the Investigator Initiated Research (IIR</w:t>
      </w:r>
      <w:r w:rsidRPr="00ED2BB7">
        <w:t>s</w:t>
      </w:r>
      <w:r w:rsidR="00451B06" w:rsidRPr="00ED2BB7">
        <w:t xml:space="preserve">) conducted by Ministry of Health (MOH) </w:t>
      </w:r>
      <w:r w:rsidR="00BB224F" w:rsidRPr="00ED2BB7">
        <w:t>inv</w:t>
      </w:r>
      <w:r w:rsidR="00451B06" w:rsidRPr="00ED2BB7">
        <w:t>es</w:t>
      </w:r>
      <w:r w:rsidR="00BB224F" w:rsidRPr="00ED2BB7">
        <w:t>tigato</w:t>
      </w:r>
      <w:r w:rsidR="00451B06" w:rsidRPr="00ED2BB7">
        <w:t xml:space="preserve">rs.  These anticipated trial expenses are costs which are necessary for the proper conduct of </w:t>
      </w:r>
      <w:r w:rsidR="00BB224F" w:rsidRPr="00ED2BB7">
        <w:t>a clinical trial</w:t>
      </w:r>
      <w:r w:rsidR="00451B06" w:rsidRPr="00ED2BB7">
        <w:t>, which includes the implementation of clinical trial procedures, and the provision of drug treatment or the use of medical devices, amongst others. It is pivotal to clearly state all the anticipated trial expenses for clinical trial participation within the PIS</w:t>
      </w:r>
      <w:r w:rsidR="00853696" w:rsidRPr="00ED2BB7">
        <w:t>/ICF</w:t>
      </w:r>
      <w:r w:rsidR="00451B06" w:rsidRPr="00ED2BB7">
        <w:t xml:space="preserve"> as there can be a wide variability for the costs incurred by the provision of drug treatments, diagnosti</w:t>
      </w:r>
      <w:r w:rsidR="00BB224F" w:rsidRPr="00ED2BB7">
        <w:t>c tests and surgical procedures;</w:t>
      </w:r>
      <w:r w:rsidR="00451B06" w:rsidRPr="00ED2BB7">
        <w:t xml:space="preserve"> ranging from the necessary remittance of full payment to the total exemption of full payment </w:t>
      </w:r>
      <w:r w:rsidR="00F54E89" w:rsidRPr="00ED2BB7">
        <w:t>[1</w:t>
      </w:r>
      <w:r w:rsidR="008008BA" w:rsidRPr="00ED2BB7">
        <w:t>5</w:t>
      </w:r>
      <w:r w:rsidR="00F54E89" w:rsidRPr="00ED2BB7">
        <w:t>]</w:t>
      </w:r>
      <w:r w:rsidR="00451B06" w:rsidRPr="00ED2BB7">
        <w:t>. Hence, the subjects shall be informed regarding the anticipated trial expenses for clinical trial participation, i.e. whether these expenses can be exempted or will have to be paid in full (or partial) by the prospective clinical trial subjects before participating in a clinical trial. Therefore, it is necessary to include a provision for any unforeseen expenses which may occur during a clinical trial; examples of these include any of the unforeseen interrupted processes during the course of medical treatment, such as X-rays, computerized tomography (CT) scans, magnetic resonance imaging (MRI) and others. H</w:t>
      </w:r>
      <w:r w:rsidR="00BB224F" w:rsidRPr="00ED2BB7">
        <w:t xml:space="preserve">ence, it will be most ideal to include a full list of all the possibly anticipated trial expenses </w:t>
      </w:r>
      <w:r w:rsidR="00451B06" w:rsidRPr="00ED2BB7">
        <w:t xml:space="preserve">in </w:t>
      </w:r>
      <w:r w:rsidR="00BB224F" w:rsidRPr="00ED2BB7">
        <w:t xml:space="preserve">the </w:t>
      </w:r>
      <w:r w:rsidR="00451B06" w:rsidRPr="00ED2BB7">
        <w:t>PMPs.</w:t>
      </w:r>
    </w:p>
    <w:p w14:paraId="19CEAE6E" w14:textId="71624A56" w:rsidR="00EA2C70" w:rsidRPr="00ED2BB7" w:rsidRDefault="004C607E" w:rsidP="00ED2BB7">
      <w:pPr>
        <w:pStyle w:val="NormalWeb"/>
        <w:spacing w:before="0" w:beforeAutospacing="0" w:after="240" w:afterAutospacing="0"/>
        <w:rPr>
          <w:b/>
        </w:rPr>
      </w:pPr>
      <w:r w:rsidRPr="00ED2BB7">
        <w:rPr>
          <w:b/>
        </w:rPr>
        <w:lastRenderedPageBreak/>
        <w:t>CONCLUSION</w:t>
      </w:r>
    </w:p>
    <w:p w14:paraId="422AC11A" w14:textId="687A515A" w:rsidR="00EF11D1" w:rsidRPr="00ED2BB7" w:rsidRDefault="00B342B4" w:rsidP="00ED2BB7">
      <w:pPr>
        <w:pStyle w:val="NormalWeb"/>
        <w:spacing w:before="0" w:beforeAutospacing="0" w:after="240" w:afterAutospacing="0"/>
        <w:ind w:firstLine="720"/>
      </w:pPr>
      <w:r w:rsidRPr="00ED2BB7">
        <w:t>Most weaknesses found in PMPs for this study</w:t>
      </w:r>
      <w:r w:rsidR="008725F2" w:rsidRPr="00ED2BB7">
        <w:t xml:space="preserve"> stemmed </w:t>
      </w:r>
      <w:r w:rsidR="00D10899" w:rsidRPr="00ED2BB7">
        <w:t>from the</w:t>
      </w:r>
      <w:r w:rsidR="00C47570" w:rsidRPr="00ED2BB7">
        <w:t xml:space="preserve"> </w:t>
      </w:r>
      <w:r w:rsidR="00D10899" w:rsidRPr="00ED2BB7">
        <w:t>scientific issues</w:t>
      </w:r>
      <w:r w:rsidR="002A2C35" w:rsidRPr="00ED2BB7">
        <w:t xml:space="preserve">, which had underscored </w:t>
      </w:r>
      <w:r w:rsidR="00C47570" w:rsidRPr="00ED2BB7">
        <w:t xml:space="preserve">the pressing need for medical students to improve on the scientific aspects of their protocol development skills for </w:t>
      </w:r>
      <w:r w:rsidR="00F82609" w:rsidRPr="00ED2BB7">
        <w:t>medical</w:t>
      </w:r>
      <w:r w:rsidR="00C47570" w:rsidRPr="00ED2BB7">
        <w:t xml:space="preserve"> </w:t>
      </w:r>
      <w:r w:rsidR="002A2C35" w:rsidRPr="00ED2BB7">
        <w:t>research</w:t>
      </w:r>
      <w:r w:rsidR="00C47570" w:rsidRPr="00ED2BB7">
        <w:t xml:space="preserve">.  </w:t>
      </w:r>
      <w:r w:rsidR="00F64723" w:rsidRPr="00ED2BB7">
        <w:t>In summary</w:t>
      </w:r>
      <w:r w:rsidR="00452B03" w:rsidRPr="00ED2BB7">
        <w:t xml:space="preserve">, it is essential for </w:t>
      </w:r>
      <w:r w:rsidR="00F82609" w:rsidRPr="00ED2BB7">
        <w:t xml:space="preserve">medical </w:t>
      </w:r>
      <w:r w:rsidR="00452B03" w:rsidRPr="00ED2BB7">
        <w:t>students to improve their resea</w:t>
      </w:r>
      <w:r w:rsidR="00B931DA" w:rsidRPr="00ED2BB7">
        <w:t xml:space="preserve">rch protocol writing skills by </w:t>
      </w:r>
      <w:r w:rsidR="00452B03" w:rsidRPr="00ED2BB7">
        <w:t>a</w:t>
      </w:r>
      <w:r w:rsidR="00B931DA" w:rsidRPr="00ED2BB7">
        <w:t xml:space="preserve">voiding </w:t>
      </w:r>
      <w:r w:rsidR="00452B03" w:rsidRPr="00ED2BB7">
        <w:t xml:space="preserve">all </w:t>
      </w:r>
      <w:r w:rsidR="00F82609" w:rsidRPr="00ED2BB7">
        <w:t xml:space="preserve">the </w:t>
      </w:r>
      <w:r w:rsidR="00452B03" w:rsidRPr="00ED2BB7">
        <w:t>weaknesses identified by this study when they are writing up a clinical research protocol (and its accom</w:t>
      </w:r>
      <w:r w:rsidR="00DD12EC" w:rsidRPr="00ED2BB7">
        <w:t>panying PIS/ICF) in the future. Hence, this study</w:t>
      </w:r>
      <w:r w:rsidR="00DD12EC" w:rsidRPr="00ED2BB7">
        <w:rPr>
          <w:lang w:val="en-GB"/>
        </w:rPr>
        <w:t xml:space="preserve"> aims to serve as a useful guide for medical students to develop quality PMPs</w:t>
      </w:r>
      <w:r w:rsidR="00DD12EC" w:rsidRPr="00ED2BB7">
        <w:t xml:space="preserve"> which are both ethical and scientifically-sound by adhering to all the applicable regulatory requirements.</w:t>
      </w:r>
      <w:r w:rsidR="00DD12EC" w:rsidRPr="00ED2BB7">
        <w:rPr>
          <w:shd w:val="clear" w:color="auto" w:fill="FFFFFF"/>
        </w:rPr>
        <w:t xml:space="preserve">     </w:t>
      </w:r>
    </w:p>
    <w:p w14:paraId="7D3EC846" w14:textId="77777777" w:rsidR="00EF11D1" w:rsidRPr="00ED2BB7" w:rsidRDefault="00EF11D1" w:rsidP="00ED2BB7">
      <w:pPr>
        <w:pStyle w:val="NormalWeb"/>
        <w:spacing w:before="0" w:beforeAutospacing="0" w:after="240" w:afterAutospacing="0"/>
        <w:rPr>
          <w:b/>
        </w:rPr>
      </w:pPr>
    </w:p>
    <w:p w14:paraId="236CFEEC" w14:textId="77777777" w:rsidR="00EA2C70" w:rsidRPr="00ED2BB7" w:rsidRDefault="00EA2C70" w:rsidP="00ED2BB7">
      <w:pPr>
        <w:pStyle w:val="NormalWeb"/>
        <w:spacing w:before="0" w:beforeAutospacing="0" w:after="240" w:afterAutospacing="0"/>
        <w:rPr>
          <w:b/>
        </w:rPr>
      </w:pPr>
      <w:r w:rsidRPr="00ED2BB7">
        <w:rPr>
          <w:b/>
        </w:rPr>
        <w:t>Acknowledgement</w:t>
      </w:r>
    </w:p>
    <w:p w14:paraId="277C599C" w14:textId="6D093F98" w:rsidR="00EA2C70" w:rsidRPr="00ED2BB7" w:rsidRDefault="000A65E4" w:rsidP="00ED2BB7">
      <w:pPr>
        <w:pStyle w:val="NormalWeb"/>
        <w:spacing w:before="0" w:beforeAutospacing="0" w:after="240" w:afterAutospacing="0"/>
      </w:pPr>
      <w:r w:rsidRPr="00ED2BB7">
        <w:t>We would like to thank the Director General of Health Malaysia for his permission to publish this article</w:t>
      </w:r>
      <w:r w:rsidR="00EA2C70" w:rsidRPr="00ED2BB7">
        <w:t xml:space="preserve">. </w:t>
      </w:r>
    </w:p>
    <w:p w14:paraId="12C92625" w14:textId="77777777" w:rsidR="002B4E3E" w:rsidRPr="00ED2BB7" w:rsidRDefault="002B4E3E" w:rsidP="00ED2BB7">
      <w:pPr>
        <w:pStyle w:val="NormalWeb"/>
        <w:spacing w:after="240" w:afterAutospacing="0"/>
        <w:rPr>
          <w:rFonts w:eastAsiaTheme="minorHAnsi"/>
          <w:b/>
          <w:lang w:eastAsia="en-US"/>
        </w:rPr>
      </w:pPr>
    </w:p>
    <w:p w14:paraId="3C8CB72F" w14:textId="77777777" w:rsidR="002A562E" w:rsidRPr="00ED2BB7" w:rsidRDefault="002A562E" w:rsidP="00ED2BB7">
      <w:pPr>
        <w:spacing w:after="240" w:line="240" w:lineRule="auto"/>
        <w:rPr>
          <w:rFonts w:ascii="Times New Roman" w:eastAsiaTheme="minorHAnsi" w:hAnsi="Times New Roman" w:cs="Times New Roman"/>
          <w:b/>
          <w:sz w:val="24"/>
          <w:szCs w:val="24"/>
        </w:rPr>
      </w:pPr>
    </w:p>
    <w:p w14:paraId="60197C10" w14:textId="77777777" w:rsidR="00071D69" w:rsidRPr="00ED2BB7" w:rsidRDefault="00071D69" w:rsidP="00ED2BB7">
      <w:pPr>
        <w:spacing w:after="240" w:line="240" w:lineRule="auto"/>
        <w:rPr>
          <w:rFonts w:ascii="Times New Roman" w:eastAsiaTheme="minorHAnsi" w:hAnsi="Times New Roman" w:cs="Times New Roman"/>
          <w:b/>
          <w:sz w:val="24"/>
          <w:szCs w:val="24"/>
        </w:rPr>
      </w:pPr>
    </w:p>
    <w:p w14:paraId="4CB95DDC" w14:textId="77777777" w:rsidR="00071D69" w:rsidRPr="00ED2BB7" w:rsidRDefault="00071D69" w:rsidP="00ED2BB7">
      <w:pPr>
        <w:spacing w:after="240" w:line="240" w:lineRule="auto"/>
        <w:rPr>
          <w:rFonts w:ascii="Times New Roman" w:eastAsiaTheme="minorHAnsi" w:hAnsi="Times New Roman" w:cs="Times New Roman"/>
          <w:b/>
          <w:sz w:val="24"/>
          <w:szCs w:val="24"/>
        </w:rPr>
      </w:pPr>
    </w:p>
    <w:p w14:paraId="7E5297E9" w14:textId="77777777" w:rsidR="00071D69" w:rsidRPr="00ED2BB7" w:rsidRDefault="00071D69" w:rsidP="00ED2BB7">
      <w:pPr>
        <w:spacing w:after="240" w:line="240" w:lineRule="auto"/>
        <w:rPr>
          <w:rFonts w:ascii="Times New Roman" w:eastAsiaTheme="minorHAnsi" w:hAnsi="Times New Roman" w:cs="Times New Roman"/>
          <w:b/>
          <w:sz w:val="24"/>
          <w:szCs w:val="24"/>
        </w:rPr>
      </w:pPr>
    </w:p>
    <w:p w14:paraId="419AC16D" w14:textId="77777777" w:rsidR="00071D69" w:rsidRPr="00ED2BB7" w:rsidRDefault="00071D69" w:rsidP="00ED2BB7">
      <w:pPr>
        <w:spacing w:after="240" w:line="240" w:lineRule="auto"/>
        <w:rPr>
          <w:rFonts w:ascii="Times New Roman" w:eastAsiaTheme="minorHAnsi" w:hAnsi="Times New Roman" w:cs="Times New Roman"/>
          <w:b/>
          <w:sz w:val="24"/>
          <w:szCs w:val="24"/>
        </w:rPr>
      </w:pPr>
    </w:p>
    <w:p w14:paraId="68FB4F22" w14:textId="77777777" w:rsidR="00071D69" w:rsidRPr="00ED2BB7" w:rsidRDefault="00071D69" w:rsidP="00ED2BB7">
      <w:pPr>
        <w:spacing w:after="240" w:line="240" w:lineRule="auto"/>
        <w:rPr>
          <w:rFonts w:ascii="Times New Roman" w:eastAsiaTheme="minorHAnsi" w:hAnsi="Times New Roman" w:cs="Times New Roman"/>
          <w:b/>
          <w:sz w:val="24"/>
          <w:szCs w:val="24"/>
        </w:rPr>
      </w:pPr>
    </w:p>
    <w:p w14:paraId="0C17B1B5" w14:textId="77777777" w:rsidR="00071D69" w:rsidRPr="00ED2BB7" w:rsidRDefault="00071D69" w:rsidP="00ED2BB7">
      <w:pPr>
        <w:spacing w:after="240" w:line="240" w:lineRule="auto"/>
        <w:rPr>
          <w:rFonts w:ascii="Times New Roman" w:eastAsiaTheme="minorHAnsi" w:hAnsi="Times New Roman" w:cs="Times New Roman"/>
          <w:b/>
          <w:sz w:val="24"/>
          <w:szCs w:val="24"/>
        </w:rPr>
      </w:pPr>
    </w:p>
    <w:p w14:paraId="27BFB6A4" w14:textId="77777777" w:rsidR="004E2C65" w:rsidRPr="00ED2BB7" w:rsidRDefault="004E2C65" w:rsidP="00ED2BB7">
      <w:pPr>
        <w:spacing w:after="240" w:line="240" w:lineRule="auto"/>
        <w:rPr>
          <w:rFonts w:ascii="Times New Roman" w:eastAsiaTheme="minorHAnsi" w:hAnsi="Times New Roman" w:cs="Times New Roman"/>
          <w:b/>
          <w:sz w:val="24"/>
          <w:szCs w:val="24"/>
        </w:rPr>
      </w:pPr>
    </w:p>
    <w:p w14:paraId="0991958E" w14:textId="77777777" w:rsidR="004E2C65" w:rsidRPr="00ED2BB7" w:rsidRDefault="004E2C65" w:rsidP="00ED2BB7">
      <w:pPr>
        <w:spacing w:after="240" w:line="240" w:lineRule="auto"/>
        <w:rPr>
          <w:rFonts w:ascii="Times New Roman" w:eastAsiaTheme="minorHAnsi" w:hAnsi="Times New Roman" w:cs="Times New Roman"/>
          <w:b/>
          <w:sz w:val="24"/>
          <w:szCs w:val="24"/>
        </w:rPr>
      </w:pPr>
      <w:r w:rsidRPr="00ED2BB7">
        <w:rPr>
          <w:rFonts w:ascii="Times New Roman" w:eastAsiaTheme="minorHAnsi" w:hAnsi="Times New Roman" w:cs="Times New Roman"/>
          <w:b/>
          <w:sz w:val="24"/>
          <w:szCs w:val="24"/>
        </w:rPr>
        <w:br w:type="page"/>
      </w:r>
    </w:p>
    <w:p w14:paraId="49C92797" w14:textId="7E4A3086" w:rsidR="002B4E3E" w:rsidRPr="00ED2BB7" w:rsidRDefault="00BA1F98" w:rsidP="00ED2BB7">
      <w:pPr>
        <w:spacing w:after="240" w:line="240" w:lineRule="auto"/>
        <w:rPr>
          <w:rFonts w:ascii="Times New Roman" w:eastAsiaTheme="minorHAnsi" w:hAnsi="Times New Roman" w:cs="Times New Roman"/>
          <w:b/>
          <w:sz w:val="24"/>
          <w:szCs w:val="24"/>
        </w:rPr>
      </w:pPr>
      <w:r w:rsidRPr="00ED2BB7">
        <w:rPr>
          <w:rFonts w:ascii="Times New Roman" w:eastAsiaTheme="minorHAnsi" w:hAnsi="Times New Roman" w:cs="Times New Roman"/>
          <w:b/>
          <w:sz w:val="24"/>
          <w:szCs w:val="24"/>
        </w:rPr>
        <w:lastRenderedPageBreak/>
        <w:t>REFERENCES</w:t>
      </w:r>
    </w:p>
    <w:p w14:paraId="6923A9F5" w14:textId="011AB17D" w:rsidR="008008BA" w:rsidRPr="00ED2BB7" w:rsidRDefault="008008BA" w:rsidP="00ED2BB7">
      <w:pPr>
        <w:pStyle w:val="ListParagraph"/>
        <w:numPr>
          <w:ilvl w:val="0"/>
          <w:numId w:val="6"/>
        </w:numPr>
        <w:spacing w:after="240" w:line="240" w:lineRule="auto"/>
        <w:ind w:left="714" w:hanging="357"/>
        <w:rPr>
          <w:rFonts w:ascii="Times New Roman" w:eastAsia="Times New Roman" w:hAnsi="Times New Roman" w:cs="Times New Roman"/>
          <w:sz w:val="24"/>
          <w:szCs w:val="24"/>
          <w:lang w:eastAsia="en-AU"/>
        </w:rPr>
      </w:pPr>
      <w:r w:rsidRPr="00ED2BB7">
        <w:rPr>
          <w:rFonts w:ascii="Times New Roman" w:eastAsia="Times New Roman" w:hAnsi="Times New Roman" w:cs="Times New Roman"/>
          <w:sz w:val="24"/>
          <w:szCs w:val="24"/>
          <w:lang w:eastAsia="en-AU"/>
        </w:rPr>
        <w:t xml:space="preserve">Hon YK, </w:t>
      </w:r>
      <w:proofErr w:type="spellStart"/>
      <w:r w:rsidR="00B218E7" w:rsidRPr="00ED2BB7">
        <w:rPr>
          <w:rFonts w:ascii="Times New Roman" w:eastAsia="Times New Roman" w:hAnsi="Times New Roman" w:cs="Times New Roman"/>
          <w:sz w:val="24"/>
          <w:szCs w:val="24"/>
          <w:lang w:val="en-MY" w:eastAsia="en-AU"/>
        </w:rPr>
        <w:t>Goh</w:t>
      </w:r>
      <w:proofErr w:type="spellEnd"/>
      <w:r w:rsidR="00B218E7" w:rsidRPr="00ED2BB7">
        <w:rPr>
          <w:rFonts w:ascii="Times New Roman" w:eastAsia="Times New Roman" w:hAnsi="Times New Roman" w:cs="Times New Roman"/>
          <w:sz w:val="24"/>
          <w:szCs w:val="24"/>
          <w:lang w:val="en-MY" w:eastAsia="en-AU"/>
        </w:rPr>
        <w:t xml:space="preserve"> </w:t>
      </w:r>
      <w:r w:rsidRPr="00ED2BB7">
        <w:rPr>
          <w:rFonts w:ascii="Times New Roman" w:eastAsia="Times New Roman" w:hAnsi="Times New Roman" w:cs="Times New Roman"/>
          <w:sz w:val="24"/>
          <w:szCs w:val="24"/>
          <w:lang w:val="en-MY" w:eastAsia="en-AU"/>
        </w:rPr>
        <w:t>PP</w:t>
      </w:r>
      <w:r w:rsidRPr="00ED2BB7">
        <w:rPr>
          <w:rFonts w:ascii="Times New Roman" w:eastAsia="Times New Roman" w:hAnsi="Times New Roman" w:cs="Times New Roman"/>
          <w:sz w:val="24"/>
          <w:szCs w:val="24"/>
          <w:lang w:eastAsia="en-AU"/>
        </w:rPr>
        <w:t xml:space="preserve">, </w:t>
      </w:r>
      <w:proofErr w:type="spellStart"/>
      <w:r w:rsidR="00B218E7" w:rsidRPr="00ED2BB7">
        <w:rPr>
          <w:rFonts w:ascii="Times New Roman" w:eastAsia="Times New Roman" w:hAnsi="Times New Roman" w:cs="Times New Roman"/>
          <w:sz w:val="24"/>
          <w:szCs w:val="24"/>
          <w:lang w:val="en-MY" w:eastAsia="en-AU"/>
        </w:rPr>
        <w:t>Teoh</w:t>
      </w:r>
      <w:proofErr w:type="spellEnd"/>
      <w:r w:rsidR="00B218E7" w:rsidRPr="00ED2BB7">
        <w:rPr>
          <w:rFonts w:ascii="Times New Roman" w:eastAsia="Times New Roman" w:hAnsi="Times New Roman" w:cs="Times New Roman"/>
          <w:sz w:val="24"/>
          <w:szCs w:val="24"/>
          <w:lang w:val="en-MY" w:eastAsia="en-AU"/>
        </w:rPr>
        <w:t xml:space="preserve"> </w:t>
      </w:r>
      <w:r w:rsidRPr="00ED2BB7">
        <w:rPr>
          <w:rFonts w:ascii="Times New Roman" w:eastAsia="Times New Roman" w:hAnsi="Times New Roman" w:cs="Times New Roman"/>
          <w:sz w:val="24"/>
          <w:szCs w:val="24"/>
          <w:lang w:val="en-MY" w:eastAsia="en-AU"/>
        </w:rPr>
        <w:t xml:space="preserve">SC, </w:t>
      </w:r>
      <w:proofErr w:type="spellStart"/>
      <w:r w:rsidR="00B218E7" w:rsidRPr="00ED2BB7">
        <w:rPr>
          <w:rFonts w:ascii="Times New Roman" w:eastAsia="Times New Roman" w:hAnsi="Times New Roman" w:cs="Times New Roman"/>
          <w:sz w:val="24"/>
          <w:szCs w:val="24"/>
          <w:lang w:eastAsia="en-AU"/>
        </w:rPr>
        <w:t>Hazrah</w:t>
      </w:r>
      <w:proofErr w:type="spellEnd"/>
      <w:r w:rsidR="00B218E7" w:rsidRPr="00ED2BB7">
        <w:rPr>
          <w:rFonts w:ascii="Times New Roman" w:eastAsia="Times New Roman" w:hAnsi="Times New Roman" w:cs="Times New Roman"/>
          <w:sz w:val="24"/>
          <w:szCs w:val="24"/>
          <w:lang w:val="en-MY" w:eastAsia="en-AU"/>
        </w:rPr>
        <w:t xml:space="preserve"> </w:t>
      </w:r>
      <w:r w:rsidRPr="00ED2BB7">
        <w:rPr>
          <w:rFonts w:ascii="Times New Roman" w:eastAsia="Times New Roman" w:hAnsi="Times New Roman" w:cs="Times New Roman"/>
          <w:sz w:val="24"/>
          <w:szCs w:val="24"/>
          <w:lang w:val="en-MY" w:eastAsia="en-AU"/>
        </w:rPr>
        <w:t>A</w:t>
      </w:r>
      <w:r w:rsidRPr="00ED2BB7">
        <w:rPr>
          <w:rFonts w:ascii="Times New Roman" w:eastAsia="Times New Roman" w:hAnsi="Times New Roman" w:cs="Times New Roman"/>
          <w:sz w:val="24"/>
          <w:szCs w:val="24"/>
          <w:lang w:eastAsia="en-AU"/>
        </w:rPr>
        <w:t xml:space="preserve">. Clinical research in Malaysia: a new direction for clinical trial initiative in Malaysia. </w:t>
      </w:r>
      <w:r w:rsidRPr="00ED2BB7">
        <w:rPr>
          <w:rFonts w:ascii="Times New Roman" w:eastAsia="Times New Roman" w:hAnsi="Times New Roman" w:cs="Times New Roman"/>
          <w:iCs/>
          <w:sz w:val="24"/>
          <w:szCs w:val="24"/>
          <w:lang w:eastAsia="en-AU"/>
        </w:rPr>
        <w:t>RIPER PDIC Bulletin</w:t>
      </w:r>
      <w:r w:rsidR="00B218E7" w:rsidRPr="00ED2BB7">
        <w:rPr>
          <w:rFonts w:ascii="Times New Roman" w:eastAsia="Times New Roman" w:hAnsi="Times New Roman" w:cs="Times New Roman"/>
          <w:iCs/>
          <w:sz w:val="24"/>
          <w:szCs w:val="24"/>
          <w:lang w:eastAsia="en-AU"/>
        </w:rPr>
        <w:t>.</w:t>
      </w:r>
      <w:r w:rsidRPr="00ED2BB7">
        <w:rPr>
          <w:rFonts w:ascii="Times New Roman" w:eastAsia="Times New Roman" w:hAnsi="Times New Roman" w:cs="Times New Roman"/>
          <w:sz w:val="24"/>
          <w:szCs w:val="24"/>
          <w:lang w:eastAsia="en-AU"/>
        </w:rPr>
        <w:t xml:space="preserve"> </w:t>
      </w:r>
      <w:r w:rsidR="00B218E7" w:rsidRPr="00ED2BB7">
        <w:rPr>
          <w:rFonts w:ascii="Times New Roman" w:eastAsia="Times New Roman" w:hAnsi="Times New Roman" w:cs="Times New Roman"/>
          <w:sz w:val="24"/>
          <w:szCs w:val="24"/>
          <w:lang w:eastAsia="en-AU"/>
        </w:rPr>
        <w:t>2011 Sept</w:t>
      </w:r>
      <w:proofErr w:type="gramStart"/>
      <w:r w:rsidR="00B218E7" w:rsidRPr="00ED2BB7">
        <w:rPr>
          <w:rFonts w:ascii="Times New Roman" w:eastAsia="Times New Roman" w:hAnsi="Times New Roman" w:cs="Times New Roman"/>
          <w:sz w:val="24"/>
          <w:szCs w:val="24"/>
          <w:lang w:eastAsia="en-AU"/>
        </w:rPr>
        <w:t>;</w:t>
      </w:r>
      <w:r w:rsidRPr="00ED2BB7">
        <w:rPr>
          <w:rFonts w:ascii="Times New Roman" w:eastAsia="Times New Roman" w:hAnsi="Times New Roman" w:cs="Times New Roman"/>
          <w:sz w:val="24"/>
          <w:szCs w:val="24"/>
          <w:lang w:eastAsia="en-AU"/>
        </w:rPr>
        <w:t>2</w:t>
      </w:r>
      <w:proofErr w:type="gramEnd"/>
      <w:r w:rsidRPr="00ED2BB7">
        <w:rPr>
          <w:rFonts w:ascii="Times New Roman" w:eastAsia="Times New Roman" w:hAnsi="Times New Roman" w:cs="Times New Roman"/>
          <w:sz w:val="24"/>
          <w:szCs w:val="24"/>
          <w:lang w:eastAsia="en-AU"/>
        </w:rPr>
        <w:t>(14):13-16.</w:t>
      </w:r>
    </w:p>
    <w:p w14:paraId="183C1CE2" w14:textId="38DC8A0E" w:rsidR="008008BA" w:rsidRPr="00ED2BB7" w:rsidRDefault="008008BA" w:rsidP="00ED2BB7">
      <w:pPr>
        <w:pStyle w:val="ListParagraph"/>
        <w:numPr>
          <w:ilvl w:val="0"/>
          <w:numId w:val="6"/>
        </w:numPr>
        <w:spacing w:after="0" w:line="240" w:lineRule="auto"/>
        <w:ind w:left="714" w:hanging="357"/>
        <w:rPr>
          <w:rFonts w:ascii="Times New Roman" w:hAnsi="Times New Roman" w:cs="Times New Roman"/>
          <w:sz w:val="24"/>
          <w:szCs w:val="24"/>
          <w:shd w:val="clear" w:color="auto" w:fill="FFFFFF"/>
        </w:rPr>
      </w:pPr>
      <w:r w:rsidRPr="00ED2BB7">
        <w:rPr>
          <w:rFonts w:ascii="Times New Roman" w:hAnsi="Times New Roman" w:cs="Times New Roman"/>
          <w:sz w:val="24"/>
          <w:szCs w:val="24"/>
          <w:shd w:val="clear" w:color="auto" w:fill="FFFFFF"/>
        </w:rPr>
        <w:t xml:space="preserve">National Clinical Research Centre. </w:t>
      </w:r>
      <w:r w:rsidRPr="00ED2BB7">
        <w:rPr>
          <w:rFonts w:ascii="Times New Roman" w:hAnsi="Times New Roman" w:cs="Times New Roman"/>
          <w:iCs/>
          <w:sz w:val="24"/>
          <w:szCs w:val="24"/>
          <w:shd w:val="clear" w:color="auto" w:fill="FFFFFF"/>
        </w:rPr>
        <w:t>Retrospective Study on Time Taken to Obtain Ethical Approval from Medical Research and Ethics Committee (MREC) in 2012 for Postgraduate Master Proposals Registered in National Medical Research Registry (NMRR)</w:t>
      </w:r>
      <w:r w:rsidR="00B218E7" w:rsidRPr="00ED2BB7">
        <w:rPr>
          <w:rFonts w:ascii="Times New Roman" w:hAnsi="Times New Roman" w:cs="Times New Roman"/>
          <w:sz w:val="24"/>
          <w:szCs w:val="24"/>
          <w:shd w:val="clear" w:color="auto" w:fill="FFFFFF"/>
        </w:rPr>
        <w:t>.</w:t>
      </w:r>
      <w:r w:rsidRPr="00ED2BB7">
        <w:rPr>
          <w:rFonts w:ascii="Times New Roman" w:hAnsi="Times New Roman" w:cs="Times New Roman"/>
          <w:sz w:val="24"/>
          <w:szCs w:val="24"/>
          <w:shd w:val="clear" w:color="auto" w:fill="FFFFFF"/>
        </w:rPr>
        <w:t xml:space="preserve"> Technical Report Series, NCRC/QAU/2014.1. </w:t>
      </w:r>
      <w:r w:rsidR="00B218E7" w:rsidRPr="00ED2BB7">
        <w:rPr>
          <w:rFonts w:ascii="Times New Roman" w:hAnsi="Times New Roman" w:cs="Times New Roman"/>
          <w:sz w:val="24"/>
          <w:szCs w:val="24"/>
          <w:shd w:val="clear" w:color="auto" w:fill="FFFFFF"/>
        </w:rPr>
        <w:t>2014.</w:t>
      </w:r>
    </w:p>
    <w:p w14:paraId="552CCDC3" w14:textId="4028B5B6" w:rsidR="008008BA" w:rsidRPr="00ED2BB7" w:rsidRDefault="008008BA" w:rsidP="00ED2BB7">
      <w:pPr>
        <w:pStyle w:val="NormalWeb"/>
        <w:numPr>
          <w:ilvl w:val="0"/>
          <w:numId w:val="6"/>
        </w:numPr>
        <w:spacing w:before="0" w:beforeAutospacing="0" w:after="0" w:afterAutospacing="0"/>
        <w:ind w:left="714" w:hanging="357"/>
        <w:rPr>
          <w:rFonts w:eastAsiaTheme="minorHAnsi"/>
          <w:b/>
          <w:lang w:eastAsia="en-US"/>
        </w:rPr>
      </w:pPr>
      <w:r w:rsidRPr="00ED2BB7">
        <w:rPr>
          <w:shd w:val="clear" w:color="auto" w:fill="FFFFFF"/>
        </w:rPr>
        <w:t xml:space="preserve">Banerjee </w:t>
      </w:r>
      <w:r w:rsidRPr="00ED2BB7">
        <w:rPr>
          <w:shd w:val="clear" w:color="auto" w:fill="FFFFFF"/>
          <w:lang w:val="en-MY"/>
        </w:rPr>
        <w:t>A</w:t>
      </w:r>
      <w:r w:rsidRPr="00ED2BB7">
        <w:rPr>
          <w:shd w:val="clear" w:color="auto" w:fill="FFFFFF"/>
        </w:rPr>
        <w:t xml:space="preserve">, </w:t>
      </w:r>
      <w:proofErr w:type="spellStart"/>
      <w:r w:rsidR="00B218E7" w:rsidRPr="00ED2BB7">
        <w:rPr>
          <w:shd w:val="clear" w:color="auto" w:fill="FFFFFF"/>
        </w:rPr>
        <w:t>Chaudhury</w:t>
      </w:r>
      <w:proofErr w:type="spellEnd"/>
      <w:r w:rsidR="00B218E7" w:rsidRPr="00ED2BB7">
        <w:rPr>
          <w:shd w:val="clear" w:color="auto" w:fill="FFFFFF"/>
          <w:lang w:val="en-MY"/>
        </w:rPr>
        <w:t xml:space="preserve"> </w:t>
      </w:r>
      <w:r w:rsidRPr="00ED2BB7">
        <w:rPr>
          <w:shd w:val="clear" w:color="auto" w:fill="FFFFFF"/>
          <w:lang w:val="en-MY"/>
        </w:rPr>
        <w:t>S.</w:t>
      </w:r>
      <w:r w:rsidRPr="00ED2BB7">
        <w:rPr>
          <w:shd w:val="clear" w:color="auto" w:fill="FFFFFF"/>
        </w:rPr>
        <w:t xml:space="preserve"> Statistics without tears: Populations and samples. Industrial psychiatry journal</w:t>
      </w:r>
      <w:r w:rsidR="00B218E7" w:rsidRPr="00ED2BB7">
        <w:rPr>
          <w:i/>
          <w:iCs/>
          <w:shd w:val="clear" w:color="auto" w:fill="FFFFFF"/>
        </w:rPr>
        <w:t>.</w:t>
      </w:r>
      <w:r w:rsidRPr="00ED2BB7">
        <w:rPr>
          <w:rStyle w:val="apple-converted-space"/>
          <w:shd w:val="clear" w:color="auto" w:fill="FFFFFF"/>
        </w:rPr>
        <w:t> </w:t>
      </w:r>
      <w:r w:rsidR="00B218E7" w:rsidRPr="00ED2BB7">
        <w:rPr>
          <w:shd w:val="clear" w:color="auto" w:fill="FFFFFF"/>
        </w:rPr>
        <w:t>2010</w:t>
      </w:r>
      <w:proofErr w:type="gramStart"/>
      <w:r w:rsidR="00B218E7" w:rsidRPr="00ED2BB7">
        <w:rPr>
          <w:shd w:val="clear" w:color="auto" w:fill="FFFFFF"/>
        </w:rPr>
        <w:t>;</w:t>
      </w:r>
      <w:r w:rsidRPr="00ED2BB7">
        <w:rPr>
          <w:shd w:val="clear" w:color="auto" w:fill="FFFFFF"/>
        </w:rPr>
        <w:t>19</w:t>
      </w:r>
      <w:proofErr w:type="gramEnd"/>
      <w:r w:rsidRPr="00ED2BB7">
        <w:rPr>
          <w:shd w:val="clear" w:color="auto" w:fill="FFFFFF"/>
        </w:rPr>
        <w:t>(1):60.</w:t>
      </w:r>
      <w:r w:rsidR="00B218E7" w:rsidRPr="00ED2BB7">
        <w:rPr>
          <w:shd w:val="clear" w:color="auto" w:fill="FFFFFF"/>
        </w:rPr>
        <w:t xml:space="preserve"> doi: 10.4103/0972-6748.77642</w:t>
      </w:r>
    </w:p>
    <w:p w14:paraId="32DE8C81" w14:textId="5AA0D102" w:rsidR="008008BA" w:rsidRPr="00ED2BB7" w:rsidRDefault="008008BA" w:rsidP="00ED2BB7">
      <w:pPr>
        <w:pStyle w:val="ListParagraph"/>
        <w:numPr>
          <w:ilvl w:val="0"/>
          <w:numId w:val="6"/>
        </w:numPr>
        <w:spacing w:after="240" w:line="240" w:lineRule="auto"/>
        <w:ind w:left="714" w:hanging="357"/>
        <w:rPr>
          <w:rFonts w:ascii="Times New Roman" w:hAnsi="Times New Roman" w:cs="Times New Roman"/>
          <w:sz w:val="24"/>
          <w:szCs w:val="24"/>
          <w:shd w:val="clear" w:color="auto" w:fill="FFFFFF"/>
        </w:rPr>
      </w:pPr>
      <w:r w:rsidRPr="00ED2BB7">
        <w:rPr>
          <w:rFonts w:ascii="Times New Roman" w:hAnsi="Times New Roman" w:cs="Times New Roman"/>
          <w:sz w:val="24"/>
          <w:szCs w:val="24"/>
          <w:shd w:val="clear" w:color="auto" w:fill="FFFFFF"/>
        </w:rPr>
        <w:t>Turner JR.</w:t>
      </w:r>
      <w:r w:rsidRPr="00ED2BB7">
        <w:rPr>
          <w:rStyle w:val="apple-converted-space"/>
          <w:rFonts w:ascii="Times New Roman" w:hAnsi="Times New Roman" w:cs="Times New Roman"/>
          <w:sz w:val="24"/>
          <w:szCs w:val="24"/>
          <w:shd w:val="clear" w:color="auto" w:fill="FFFFFF"/>
        </w:rPr>
        <w:t xml:space="preserve">  </w:t>
      </w:r>
      <w:r w:rsidRPr="00ED2BB7">
        <w:rPr>
          <w:rFonts w:ascii="Times New Roman" w:hAnsi="Times New Roman" w:cs="Times New Roman"/>
          <w:sz w:val="24"/>
          <w:szCs w:val="24"/>
          <w:shd w:val="clear" w:color="auto" w:fill="FFFFFF"/>
        </w:rPr>
        <w:t>New drug development: an introduction to clinical trials. 2</w:t>
      </w:r>
      <w:r w:rsidRPr="00ED2BB7">
        <w:rPr>
          <w:rFonts w:ascii="Times New Roman" w:hAnsi="Times New Roman" w:cs="Times New Roman"/>
          <w:sz w:val="24"/>
          <w:szCs w:val="24"/>
          <w:shd w:val="clear" w:color="auto" w:fill="FFFFFF"/>
          <w:vertAlign w:val="superscript"/>
        </w:rPr>
        <w:t>nd</w:t>
      </w:r>
      <w:r w:rsidRPr="00ED2BB7">
        <w:rPr>
          <w:rFonts w:ascii="Times New Roman" w:hAnsi="Times New Roman" w:cs="Times New Roman"/>
          <w:sz w:val="24"/>
          <w:szCs w:val="24"/>
          <w:shd w:val="clear" w:color="auto" w:fill="FFFFFF"/>
        </w:rPr>
        <w:t xml:space="preserve"> </w:t>
      </w:r>
      <w:proofErr w:type="gramStart"/>
      <w:r w:rsidRPr="00ED2BB7">
        <w:rPr>
          <w:rFonts w:ascii="Times New Roman" w:hAnsi="Times New Roman" w:cs="Times New Roman"/>
          <w:sz w:val="24"/>
          <w:szCs w:val="24"/>
          <w:shd w:val="clear" w:color="auto" w:fill="FFFFFF"/>
        </w:rPr>
        <w:t>ed</w:t>
      </w:r>
      <w:proofErr w:type="gramEnd"/>
      <w:r w:rsidRPr="00ED2BB7">
        <w:rPr>
          <w:rFonts w:ascii="Times New Roman" w:hAnsi="Times New Roman" w:cs="Times New Roman"/>
          <w:sz w:val="24"/>
          <w:szCs w:val="24"/>
          <w:shd w:val="clear" w:color="auto" w:fill="FFFFFF"/>
        </w:rPr>
        <w:t>. New York: Springer Science &amp; Business Media</w:t>
      </w:r>
      <w:r w:rsidR="00B218E7" w:rsidRPr="00ED2BB7">
        <w:rPr>
          <w:rFonts w:ascii="Times New Roman" w:hAnsi="Times New Roman" w:cs="Times New Roman"/>
          <w:sz w:val="24"/>
          <w:szCs w:val="24"/>
          <w:shd w:val="clear" w:color="auto" w:fill="FFFFFF"/>
        </w:rPr>
        <w:t>;</w:t>
      </w:r>
      <w:r w:rsidR="00B218E7" w:rsidRPr="00ED2BB7">
        <w:rPr>
          <w:rStyle w:val="apple-converted-space"/>
          <w:rFonts w:ascii="Times New Roman" w:hAnsi="Times New Roman" w:cs="Times New Roman"/>
          <w:sz w:val="24"/>
          <w:szCs w:val="24"/>
          <w:shd w:val="clear" w:color="auto" w:fill="FFFFFF"/>
        </w:rPr>
        <w:t xml:space="preserve"> 2010.</w:t>
      </w:r>
    </w:p>
    <w:p w14:paraId="1EC10276" w14:textId="0FD0918E" w:rsidR="008008BA" w:rsidRPr="00ED2BB7" w:rsidRDefault="008008BA" w:rsidP="00ED2BB7">
      <w:pPr>
        <w:pStyle w:val="ListParagraph"/>
        <w:numPr>
          <w:ilvl w:val="0"/>
          <w:numId w:val="6"/>
        </w:numPr>
        <w:spacing w:after="240" w:line="240" w:lineRule="auto"/>
        <w:ind w:left="714" w:hanging="357"/>
        <w:rPr>
          <w:rFonts w:ascii="Times New Roman" w:eastAsia="Times New Roman" w:hAnsi="Times New Roman" w:cs="Times New Roman"/>
          <w:sz w:val="24"/>
          <w:szCs w:val="24"/>
          <w:lang w:eastAsia="en-AU"/>
        </w:rPr>
      </w:pPr>
      <w:r w:rsidRPr="00ED2BB7">
        <w:rPr>
          <w:rFonts w:ascii="Times New Roman" w:eastAsia="Times New Roman" w:hAnsi="Times New Roman" w:cs="Times New Roman"/>
          <w:sz w:val="24"/>
          <w:szCs w:val="24"/>
          <w:lang w:eastAsia="en-AU"/>
        </w:rPr>
        <w:t xml:space="preserve">Goldsmith LJ. Power and sample size considerations in molecular biology. </w:t>
      </w:r>
      <w:proofErr w:type="spellStart"/>
      <w:r w:rsidRPr="00ED2BB7">
        <w:rPr>
          <w:rFonts w:ascii="Times New Roman" w:eastAsia="Times New Roman" w:hAnsi="Times New Roman" w:cs="Times New Roman"/>
          <w:iCs/>
          <w:sz w:val="24"/>
          <w:szCs w:val="24"/>
          <w:lang w:eastAsia="en-AU"/>
        </w:rPr>
        <w:t>Biostatistical</w:t>
      </w:r>
      <w:proofErr w:type="spellEnd"/>
      <w:r w:rsidRPr="00ED2BB7">
        <w:rPr>
          <w:rFonts w:ascii="Times New Roman" w:eastAsia="Times New Roman" w:hAnsi="Times New Roman" w:cs="Times New Roman"/>
          <w:iCs/>
          <w:sz w:val="24"/>
          <w:szCs w:val="24"/>
          <w:lang w:eastAsia="en-AU"/>
        </w:rPr>
        <w:t xml:space="preserve"> Methods</w:t>
      </w:r>
      <w:r w:rsidR="00B218E7" w:rsidRPr="00ED2BB7">
        <w:rPr>
          <w:rFonts w:ascii="Times New Roman" w:eastAsia="Times New Roman" w:hAnsi="Times New Roman" w:cs="Times New Roman"/>
          <w:i/>
          <w:sz w:val="24"/>
          <w:szCs w:val="24"/>
          <w:lang w:eastAsia="en-AU"/>
        </w:rPr>
        <w:t>.</w:t>
      </w:r>
      <w:r w:rsidRPr="00ED2BB7">
        <w:rPr>
          <w:rFonts w:ascii="Times New Roman" w:eastAsia="Times New Roman" w:hAnsi="Times New Roman" w:cs="Times New Roman"/>
          <w:sz w:val="24"/>
          <w:szCs w:val="24"/>
          <w:lang w:eastAsia="en-AU"/>
        </w:rPr>
        <w:t xml:space="preserve"> </w:t>
      </w:r>
      <w:r w:rsidR="00DD551F" w:rsidRPr="00ED2BB7">
        <w:rPr>
          <w:rFonts w:ascii="Times New Roman" w:eastAsia="Times New Roman" w:hAnsi="Times New Roman" w:cs="Times New Roman"/>
          <w:sz w:val="24"/>
          <w:szCs w:val="24"/>
          <w:lang w:eastAsia="en-AU"/>
        </w:rPr>
        <w:t>2002</w:t>
      </w:r>
      <w:proofErr w:type="gramStart"/>
      <w:r w:rsidR="00DD551F" w:rsidRPr="00ED2BB7">
        <w:rPr>
          <w:rFonts w:ascii="Times New Roman" w:eastAsia="Times New Roman" w:hAnsi="Times New Roman" w:cs="Times New Roman"/>
          <w:sz w:val="24"/>
          <w:szCs w:val="24"/>
          <w:lang w:eastAsia="en-AU"/>
        </w:rPr>
        <w:t>;</w:t>
      </w:r>
      <w:r w:rsidR="00DD551F" w:rsidRPr="00ED2BB7">
        <w:rPr>
          <w:rFonts w:ascii="Times New Roman" w:hAnsi="Times New Roman" w:cs="Times New Roman"/>
          <w:sz w:val="24"/>
          <w:szCs w:val="24"/>
          <w:shd w:val="clear" w:color="auto" w:fill="FFFFFF"/>
        </w:rPr>
        <w:t>184:111</w:t>
      </w:r>
      <w:proofErr w:type="gramEnd"/>
      <w:r w:rsidRPr="00ED2BB7">
        <w:rPr>
          <w:rFonts w:ascii="Times New Roman" w:eastAsia="Times New Roman" w:hAnsi="Times New Roman" w:cs="Times New Roman"/>
          <w:sz w:val="24"/>
          <w:szCs w:val="24"/>
          <w:lang w:eastAsia="en-AU"/>
        </w:rPr>
        <w:t>-130.</w:t>
      </w:r>
      <w:r w:rsidR="00DD551F" w:rsidRPr="00ED2BB7">
        <w:rPr>
          <w:rFonts w:ascii="Times New Roman" w:eastAsia="Times New Roman" w:hAnsi="Times New Roman" w:cs="Times New Roman"/>
          <w:sz w:val="24"/>
          <w:szCs w:val="24"/>
          <w:lang w:eastAsia="en-AU"/>
        </w:rPr>
        <w:t xml:space="preserve"> doi: 10.1385/1-59259-242-2:111</w:t>
      </w:r>
    </w:p>
    <w:p w14:paraId="6D883B49" w14:textId="22059A4E" w:rsidR="008008BA" w:rsidRPr="00ED2BB7" w:rsidRDefault="008008BA" w:rsidP="00ED2BB7">
      <w:pPr>
        <w:pStyle w:val="ListParagraph"/>
        <w:numPr>
          <w:ilvl w:val="0"/>
          <w:numId w:val="6"/>
        </w:numPr>
        <w:spacing w:after="240" w:line="240" w:lineRule="auto"/>
        <w:ind w:left="714" w:hanging="357"/>
        <w:rPr>
          <w:rFonts w:ascii="Times New Roman" w:eastAsia="Times New Roman" w:hAnsi="Times New Roman" w:cs="Times New Roman"/>
          <w:sz w:val="24"/>
          <w:szCs w:val="24"/>
          <w:lang w:eastAsia="en-AU"/>
        </w:rPr>
      </w:pPr>
      <w:proofErr w:type="spellStart"/>
      <w:r w:rsidRPr="00ED2BB7">
        <w:rPr>
          <w:rFonts w:ascii="Times New Roman" w:eastAsia="Times New Roman" w:hAnsi="Times New Roman" w:cs="Times New Roman"/>
          <w:sz w:val="24"/>
          <w:szCs w:val="24"/>
          <w:lang w:eastAsia="en-AU"/>
        </w:rPr>
        <w:t>Lenth</w:t>
      </w:r>
      <w:proofErr w:type="spellEnd"/>
      <w:r w:rsidRPr="00ED2BB7">
        <w:rPr>
          <w:rFonts w:ascii="Times New Roman" w:eastAsia="Times New Roman" w:hAnsi="Times New Roman" w:cs="Times New Roman"/>
          <w:sz w:val="24"/>
          <w:szCs w:val="24"/>
          <w:lang w:eastAsia="en-AU"/>
        </w:rPr>
        <w:t xml:space="preserve"> </w:t>
      </w:r>
      <w:r w:rsidRPr="00ED2BB7">
        <w:rPr>
          <w:rFonts w:ascii="Times New Roman" w:eastAsia="Times New Roman" w:hAnsi="Times New Roman" w:cs="Times New Roman"/>
          <w:sz w:val="24"/>
          <w:szCs w:val="24"/>
          <w:lang w:val="en-MY" w:eastAsia="en-AU"/>
        </w:rPr>
        <w:t>R</w:t>
      </w:r>
      <w:r w:rsidRPr="00ED2BB7">
        <w:rPr>
          <w:rFonts w:ascii="Times New Roman" w:eastAsia="Times New Roman" w:hAnsi="Times New Roman" w:cs="Times New Roman"/>
          <w:sz w:val="24"/>
          <w:szCs w:val="24"/>
          <w:lang w:eastAsia="en-AU"/>
        </w:rPr>
        <w:t>V. Some practical guidelines for effective sample size determination. The American Statistician</w:t>
      </w:r>
      <w:r w:rsidR="00DD551F" w:rsidRPr="00ED2BB7">
        <w:rPr>
          <w:rFonts w:ascii="Times New Roman" w:eastAsia="Times New Roman" w:hAnsi="Times New Roman" w:cs="Times New Roman"/>
          <w:sz w:val="24"/>
          <w:szCs w:val="24"/>
          <w:lang w:eastAsia="en-AU"/>
        </w:rPr>
        <w:t>.</w:t>
      </w:r>
      <w:r w:rsidRPr="00ED2BB7">
        <w:rPr>
          <w:rFonts w:ascii="Times New Roman" w:eastAsia="Times New Roman" w:hAnsi="Times New Roman" w:cs="Times New Roman"/>
          <w:sz w:val="24"/>
          <w:szCs w:val="24"/>
          <w:lang w:eastAsia="en-AU"/>
        </w:rPr>
        <w:t xml:space="preserve"> </w:t>
      </w:r>
      <w:r w:rsidR="00DD551F" w:rsidRPr="00ED2BB7">
        <w:rPr>
          <w:rFonts w:ascii="Times New Roman" w:eastAsia="Times New Roman" w:hAnsi="Times New Roman" w:cs="Times New Roman"/>
          <w:sz w:val="24"/>
          <w:szCs w:val="24"/>
          <w:lang w:eastAsia="en-AU"/>
        </w:rPr>
        <w:t>2012 Jan 1</w:t>
      </w:r>
      <w:proofErr w:type="gramStart"/>
      <w:r w:rsidR="00DD551F" w:rsidRPr="00ED2BB7">
        <w:rPr>
          <w:rFonts w:ascii="Times New Roman" w:eastAsia="Times New Roman" w:hAnsi="Times New Roman" w:cs="Times New Roman"/>
          <w:sz w:val="24"/>
          <w:szCs w:val="24"/>
          <w:lang w:eastAsia="en-AU"/>
        </w:rPr>
        <w:t>;</w:t>
      </w:r>
      <w:r w:rsidRPr="00ED2BB7">
        <w:rPr>
          <w:rFonts w:ascii="Times New Roman" w:eastAsia="Times New Roman" w:hAnsi="Times New Roman" w:cs="Times New Roman"/>
          <w:sz w:val="24"/>
          <w:szCs w:val="24"/>
          <w:lang w:eastAsia="en-AU"/>
        </w:rPr>
        <w:t>55</w:t>
      </w:r>
      <w:proofErr w:type="gramEnd"/>
      <w:r w:rsidRPr="00ED2BB7">
        <w:rPr>
          <w:rFonts w:ascii="Times New Roman" w:eastAsia="Times New Roman" w:hAnsi="Times New Roman" w:cs="Times New Roman"/>
          <w:sz w:val="24"/>
          <w:szCs w:val="24"/>
          <w:lang w:eastAsia="en-AU"/>
        </w:rPr>
        <w:t>(3):187-193.</w:t>
      </w:r>
    </w:p>
    <w:p w14:paraId="1E57583B" w14:textId="211503BD" w:rsidR="008008BA" w:rsidRPr="00ED2BB7" w:rsidRDefault="008008BA" w:rsidP="00ED2BB7">
      <w:pPr>
        <w:pStyle w:val="ListParagraph"/>
        <w:numPr>
          <w:ilvl w:val="0"/>
          <w:numId w:val="6"/>
        </w:numPr>
        <w:spacing w:after="0" w:line="240" w:lineRule="auto"/>
        <w:ind w:left="714" w:hanging="357"/>
        <w:rPr>
          <w:rFonts w:ascii="Times New Roman" w:eastAsia="Times New Roman" w:hAnsi="Times New Roman" w:cs="Times New Roman"/>
          <w:sz w:val="24"/>
          <w:szCs w:val="24"/>
          <w:lang w:eastAsia="en-AU"/>
        </w:rPr>
      </w:pPr>
      <w:r w:rsidRPr="00ED2BB7">
        <w:rPr>
          <w:rFonts w:ascii="Times New Roman" w:eastAsia="Times New Roman" w:hAnsi="Times New Roman" w:cs="Times New Roman"/>
          <w:sz w:val="24"/>
          <w:szCs w:val="24"/>
          <w:lang w:eastAsia="en-AU"/>
        </w:rPr>
        <w:t xml:space="preserve">Case LD, </w:t>
      </w:r>
      <w:proofErr w:type="spellStart"/>
      <w:r w:rsidR="00DD551F" w:rsidRPr="00ED2BB7">
        <w:rPr>
          <w:rFonts w:ascii="Times New Roman" w:eastAsia="Times New Roman" w:hAnsi="Times New Roman" w:cs="Times New Roman"/>
          <w:sz w:val="24"/>
          <w:szCs w:val="24"/>
          <w:lang w:val="en-MY" w:eastAsia="en-AU"/>
        </w:rPr>
        <w:t>Ambrosius</w:t>
      </w:r>
      <w:proofErr w:type="spellEnd"/>
      <w:r w:rsidR="00DD551F" w:rsidRPr="00ED2BB7">
        <w:rPr>
          <w:rFonts w:ascii="Times New Roman" w:eastAsia="Times New Roman" w:hAnsi="Times New Roman" w:cs="Times New Roman"/>
          <w:sz w:val="24"/>
          <w:szCs w:val="24"/>
          <w:lang w:val="en-MY" w:eastAsia="en-AU"/>
        </w:rPr>
        <w:t xml:space="preserve"> </w:t>
      </w:r>
      <w:r w:rsidRPr="00ED2BB7">
        <w:rPr>
          <w:rFonts w:ascii="Times New Roman" w:eastAsia="Times New Roman" w:hAnsi="Times New Roman" w:cs="Times New Roman"/>
          <w:sz w:val="24"/>
          <w:szCs w:val="24"/>
          <w:lang w:val="en-MY" w:eastAsia="en-AU"/>
        </w:rPr>
        <w:t>WT.</w:t>
      </w:r>
      <w:r w:rsidRPr="00ED2BB7">
        <w:rPr>
          <w:rFonts w:ascii="Times New Roman" w:eastAsia="Times New Roman" w:hAnsi="Times New Roman" w:cs="Times New Roman"/>
          <w:sz w:val="24"/>
          <w:szCs w:val="24"/>
          <w:lang w:eastAsia="en-AU"/>
        </w:rPr>
        <w:t xml:space="preserve"> Power and sample size. </w:t>
      </w:r>
      <w:proofErr w:type="spellStart"/>
      <w:r w:rsidRPr="00ED2BB7">
        <w:rPr>
          <w:rFonts w:ascii="Times New Roman" w:eastAsia="Times New Roman" w:hAnsi="Times New Roman" w:cs="Times New Roman"/>
          <w:iCs/>
          <w:sz w:val="24"/>
          <w:szCs w:val="24"/>
          <w:lang w:eastAsia="en-AU"/>
        </w:rPr>
        <w:t>InTopics</w:t>
      </w:r>
      <w:proofErr w:type="spellEnd"/>
      <w:r w:rsidRPr="00ED2BB7">
        <w:rPr>
          <w:rFonts w:ascii="Times New Roman" w:eastAsia="Times New Roman" w:hAnsi="Times New Roman" w:cs="Times New Roman"/>
          <w:iCs/>
          <w:sz w:val="24"/>
          <w:szCs w:val="24"/>
          <w:lang w:eastAsia="en-AU"/>
        </w:rPr>
        <w:t xml:space="preserve"> in Biostatistics</w:t>
      </w:r>
      <w:r w:rsidR="00DD551F" w:rsidRPr="00ED2BB7">
        <w:rPr>
          <w:rFonts w:ascii="Times New Roman" w:eastAsia="Times New Roman" w:hAnsi="Times New Roman" w:cs="Times New Roman"/>
          <w:iCs/>
          <w:sz w:val="24"/>
          <w:szCs w:val="24"/>
          <w:lang w:eastAsia="en-AU"/>
        </w:rPr>
        <w:t>.</w:t>
      </w:r>
      <w:r w:rsidRPr="00ED2BB7">
        <w:rPr>
          <w:rFonts w:ascii="Times New Roman" w:eastAsia="Times New Roman" w:hAnsi="Times New Roman" w:cs="Times New Roman"/>
          <w:sz w:val="24"/>
          <w:szCs w:val="24"/>
          <w:lang w:eastAsia="en-AU"/>
        </w:rPr>
        <w:t xml:space="preserve"> </w:t>
      </w:r>
      <w:r w:rsidR="00DD551F" w:rsidRPr="00ED2BB7">
        <w:rPr>
          <w:rFonts w:ascii="Times New Roman" w:eastAsia="Times New Roman" w:hAnsi="Times New Roman" w:cs="Times New Roman"/>
          <w:sz w:val="24"/>
          <w:szCs w:val="24"/>
          <w:lang w:eastAsia="en-AU"/>
        </w:rPr>
        <w:t>2007</w:t>
      </w:r>
      <w:proofErr w:type="gramStart"/>
      <w:r w:rsidR="00DD551F" w:rsidRPr="00ED2BB7">
        <w:rPr>
          <w:rFonts w:ascii="Times New Roman" w:eastAsia="Times New Roman" w:hAnsi="Times New Roman" w:cs="Times New Roman"/>
          <w:sz w:val="24"/>
          <w:szCs w:val="24"/>
          <w:lang w:eastAsia="en-AU"/>
        </w:rPr>
        <w:t>;</w:t>
      </w:r>
      <w:r w:rsidRPr="00ED2BB7">
        <w:rPr>
          <w:rFonts w:ascii="Times New Roman" w:eastAsia="Times New Roman" w:hAnsi="Times New Roman" w:cs="Times New Roman"/>
          <w:sz w:val="24"/>
          <w:szCs w:val="24"/>
          <w:lang w:eastAsia="en-AU"/>
        </w:rPr>
        <w:t>404:377</w:t>
      </w:r>
      <w:proofErr w:type="gramEnd"/>
      <w:r w:rsidRPr="00ED2BB7">
        <w:rPr>
          <w:rFonts w:ascii="Times New Roman" w:eastAsia="Times New Roman" w:hAnsi="Times New Roman" w:cs="Times New Roman"/>
          <w:sz w:val="24"/>
          <w:szCs w:val="24"/>
          <w:lang w:eastAsia="en-AU"/>
        </w:rPr>
        <w:t xml:space="preserve">-408. </w:t>
      </w:r>
      <w:r w:rsidR="00DD551F" w:rsidRPr="00ED2BB7">
        <w:rPr>
          <w:rFonts w:ascii="Times New Roman" w:eastAsia="Times New Roman" w:hAnsi="Times New Roman" w:cs="Times New Roman"/>
          <w:sz w:val="24"/>
          <w:szCs w:val="24"/>
          <w:lang w:eastAsia="en-AU"/>
        </w:rPr>
        <w:t>doi: 10.1007/978-1-59745-530-5_19</w:t>
      </w:r>
    </w:p>
    <w:p w14:paraId="17E09AE4" w14:textId="15D185C5" w:rsidR="008008BA" w:rsidRPr="00ED2BB7" w:rsidRDefault="008008BA" w:rsidP="00ED2BB7">
      <w:pPr>
        <w:pStyle w:val="NormalWeb"/>
        <w:numPr>
          <w:ilvl w:val="0"/>
          <w:numId w:val="6"/>
        </w:numPr>
        <w:spacing w:before="0" w:beforeAutospacing="0" w:after="0" w:afterAutospacing="0"/>
        <w:ind w:left="714" w:hanging="357"/>
        <w:rPr>
          <w:rFonts w:eastAsiaTheme="minorHAnsi"/>
          <w:b/>
          <w:lang w:eastAsia="en-US"/>
        </w:rPr>
      </w:pPr>
      <w:r w:rsidRPr="00ED2BB7">
        <w:t>Al-</w:t>
      </w:r>
      <w:proofErr w:type="spellStart"/>
      <w:r w:rsidRPr="00ED2BB7">
        <w:t>Riyami</w:t>
      </w:r>
      <w:proofErr w:type="spellEnd"/>
      <w:r w:rsidRPr="00ED2BB7">
        <w:t xml:space="preserve"> A. How to prepare a Research Proposal. </w:t>
      </w:r>
      <w:r w:rsidRPr="00ED2BB7">
        <w:rPr>
          <w:iCs/>
        </w:rPr>
        <w:t>Oman Med J</w:t>
      </w:r>
      <w:r w:rsidR="00DD551F" w:rsidRPr="00ED2BB7">
        <w:rPr>
          <w:iCs/>
        </w:rPr>
        <w:t>.</w:t>
      </w:r>
      <w:r w:rsidRPr="00ED2BB7">
        <w:rPr>
          <w:iCs/>
        </w:rPr>
        <w:t xml:space="preserve"> </w:t>
      </w:r>
      <w:r w:rsidR="00DD551F" w:rsidRPr="00ED2BB7">
        <w:rPr>
          <w:iCs/>
        </w:rPr>
        <w:t>2008 Apr</w:t>
      </w:r>
      <w:proofErr w:type="gramStart"/>
      <w:r w:rsidR="00DD551F" w:rsidRPr="00ED2BB7">
        <w:rPr>
          <w:iCs/>
        </w:rPr>
        <w:t>;</w:t>
      </w:r>
      <w:r w:rsidRPr="00ED2BB7">
        <w:t>23</w:t>
      </w:r>
      <w:proofErr w:type="gramEnd"/>
      <w:r w:rsidRPr="00ED2BB7">
        <w:t>(2):66-69.</w:t>
      </w:r>
    </w:p>
    <w:p w14:paraId="1EA2CCEF" w14:textId="08925BAF" w:rsidR="008008BA" w:rsidRPr="00ED2BB7" w:rsidRDefault="008008BA" w:rsidP="00ED2BB7">
      <w:pPr>
        <w:pStyle w:val="ListParagraph"/>
        <w:numPr>
          <w:ilvl w:val="0"/>
          <w:numId w:val="6"/>
        </w:numPr>
        <w:spacing w:after="240" w:line="240" w:lineRule="auto"/>
        <w:ind w:left="714" w:hanging="357"/>
        <w:rPr>
          <w:rFonts w:ascii="Times New Roman" w:hAnsi="Times New Roman" w:cs="Times New Roman"/>
          <w:sz w:val="24"/>
          <w:szCs w:val="24"/>
          <w:shd w:val="clear" w:color="auto" w:fill="FFFFFF"/>
        </w:rPr>
      </w:pPr>
      <w:r w:rsidRPr="00ED2BB7">
        <w:rPr>
          <w:rFonts w:ascii="Times New Roman" w:hAnsi="Times New Roman" w:cs="Times New Roman"/>
          <w:sz w:val="24"/>
          <w:szCs w:val="24"/>
          <w:shd w:val="clear" w:color="auto" w:fill="FFFFFF"/>
        </w:rPr>
        <w:t xml:space="preserve">Sahu PK. Research Proposal and Report Writing. </w:t>
      </w:r>
      <w:r w:rsidRPr="00ED2BB7">
        <w:rPr>
          <w:rFonts w:ascii="Times New Roman" w:hAnsi="Times New Roman" w:cs="Times New Roman"/>
          <w:iCs/>
          <w:sz w:val="24"/>
          <w:szCs w:val="24"/>
          <w:shd w:val="clear" w:color="auto" w:fill="FFFFFF"/>
        </w:rPr>
        <w:t>In</w:t>
      </w:r>
      <w:r w:rsidRPr="00ED2BB7">
        <w:rPr>
          <w:rStyle w:val="apple-converted-space"/>
          <w:rFonts w:ascii="Times New Roman" w:hAnsi="Times New Roman" w:cs="Times New Roman"/>
          <w:iCs/>
          <w:sz w:val="24"/>
          <w:szCs w:val="24"/>
          <w:shd w:val="clear" w:color="auto" w:fill="FFFFFF"/>
        </w:rPr>
        <w:t> </w:t>
      </w:r>
      <w:r w:rsidRPr="00ED2BB7">
        <w:rPr>
          <w:rFonts w:ascii="Times New Roman" w:hAnsi="Times New Roman" w:cs="Times New Roman"/>
          <w:iCs/>
          <w:sz w:val="24"/>
          <w:szCs w:val="24"/>
          <w:shd w:val="clear" w:color="auto" w:fill="FFFFFF"/>
        </w:rPr>
        <w:t>Research Methodology: A Guide for Researchers In Agricultural Science, Social Science and Other Related Fields.</w:t>
      </w:r>
      <w:r w:rsidRPr="00ED2BB7">
        <w:rPr>
          <w:rFonts w:ascii="Times New Roman" w:hAnsi="Times New Roman" w:cs="Times New Roman"/>
          <w:sz w:val="24"/>
          <w:szCs w:val="24"/>
          <w:shd w:val="clear" w:color="auto" w:fill="FFFFFF"/>
        </w:rPr>
        <w:t xml:space="preserve"> India:</w:t>
      </w:r>
      <w:r w:rsidR="00DD551F" w:rsidRPr="00ED2BB7">
        <w:rPr>
          <w:rFonts w:ascii="Times New Roman" w:hAnsi="Times New Roman" w:cs="Times New Roman"/>
          <w:sz w:val="24"/>
          <w:szCs w:val="24"/>
          <w:shd w:val="clear" w:color="auto" w:fill="FFFFFF"/>
        </w:rPr>
        <w:t xml:space="preserve"> </w:t>
      </w:r>
      <w:r w:rsidRPr="00ED2BB7">
        <w:rPr>
          <w:rFonts w:ascii="Times New Roman" w:hAnsi="Times New Roman" w:cs="Times New Roman"/>
          <w:sz w:val="24"/>
          <w:szCs w:val="24"/>
          <w:shd w:val="clear" w:color="auto" w:fill="FFFFFF"/>
        </w:rPr>
        <w:t>Springer</w:t>
      </w:r>
      <w:r w:rsidR="00DD551F" w:rsidRPr="00ED2BB7">
        <w:rPr>
          <w:rFonts w:ascii="Times New Roman" w:hAnsi="Times New Roman" w:cs="Times New Roman"/>
          <w:sz w:val="24"/>
          <w:szCs w:val="24"/>
          <w:shd w:val="clear" w:color="auto" w:fill="FFFFFF"/>
        </w:rPr>
        <w:t>; 2013.</w:t>
      </w:r>
    </w:p>
    <w:p w14:paraId="669CB7D3" w14:textId="0059F325" w:rsidR="008008BA" w:rsidRPr="00ED2BB7" w:rsidRDefault="008008BA" w:rsidP="00ED2BB7">
      <w:pPr>
        <w:pStyle w:val="ListParagraph"/>
        <w:numPr>
          <w:ilvl w:val="0"/>
          <w:numId w:val="6"/>
        </w:numPr>
        <w:spacing w:after="240" w:line="240" w:lineRule="auto"/>
        <w:ind w:left="714" w:hanging="357"/>
        <w:rPr>
          <w:rFonts w:ascii="Times New Roman" w:eastAsia="Times New Roman" w:hAnsi="Times New Roman" w:cs="Times New Roman"/>
          <w:sz w:val="24"/>
          <w:szCs w:val="24"/>
          <w:lang w:eastAsia="en-AU"/>
        </w:rPr>
      </w:pPr>
      <w:proofErr w:type="spellStart"/>
      <w:r w:rsidRPr="00ED2BB7">
        <w:rPr>
          <w:rFonts w:ascii="Times New Roman" w:eastAsia="Times New Roman" w:hAnsi="Times New Roman" w:cs="Times New Roman"/>
          <w:sz w:val="24"/>
          <w:szCs w:val="24"/>
          <w:lang w:eastAsia="en-AU"/>
        </w:rPr>
        <w:t>Ecarnot</w:t>
      </w:r>
      <w:proofErr w:type="spellEnd"/>
      <w:r w:rsidRPr="00ED2BB7">
        <w:rPr>
          <w:rFonts w:ascii="Times New Roman" w:eastAsia="Times New Roman" w:hAnsi="Times New Roman" w:cs="Times New Roman"/>
          <w:sz w:val="24"/>
          <w:szCs w:val="24"/>
          <w:lang w:eastAsia="en-AU"/>
        </w:rPr>
        <w:t xml:space="preserve"> F, </w:t>
      </w:r>
      <w:proofErr w:type="spellStart"/>
      <w:r w:rsidR="00DD551F" w:rsidRPr="00ED2BB7">
        <w:rPr>
          <w:rFonts w:ascii="Times New Roman" w:eastAsia="Times New Roman" w:hAnsi="Times New Roman" w:cs="Times New Roman"/>
          <w:sz w:val="24"/>
          <w:szCs w:val="24"/>
          <w:lang w:eastAsia="en-AU"/>
        </w:rPr>
        <w:t>Seronde</w:t>
      </w:r>
      <w:proofErr w:type="spellEnd"/>
      <w:r w:rsidR="00DD551F" w:rsidRPr="00ED2BB7">
        <w:rPr>
          <w:rFonts w:ascii="Times New Roman" w:eastAsia="Times New Roman" w:hAnsi="Times New Roman" w:cs="Times New Roman"/>
          <w:sz w:val="24"/>
          <w:szCs w:val="24"/>
          <w:lang w:eastAsia="en-AU"/>
        </w:rPr>
        <w:t xml:space="preserve"> </w:t>
      </w:r>
      <w:r w:rsidRPr="00ED2BB7">
        <w:rPr>
          <w:rFonts w:ascii="Times New Roman" w:eastAsia="Times New Roman" w:hAnsi="Times New Roman" w:cs="Times New Roman"/>
          <w:sz w:val="24"/>
          <w:szCs w:val="24"/>
          <w:lang w:eastAsia="en-AU"/>
        </w:rPr>
        <w:t xml:space="preserve">MF, </w:t>
      </w:r>
      <w:proofErr w:type="spellStart"/>
      <w:r w:rsidR="00DD551F" w:rsidRPr="00ED2BB7">
        <w:rPr>
          <w:rFonts w:ascii="Times New Roman" w:eastAsia="Times New Roman" w:hAnsi="Times New Roman" w:cs="Times New Roman"/>
          <w:sz w:val="24"/>
          <w:szCs w:val="24"/>
          <w:lang w:eastAsia="en-AU"/>
        </w:rPr>
        <w:t>Chopard</w:t>
      </w:r>
      <w:proofErr w:type="spellEnd"/>
      <w:r w:rsidR="00DD551F" w:rsidRPr="00ED2BB7">
        <w:rPr>
          <w:rFonts w:ascii="Times New Roman" w:eastAsia="Times New Roman" w:hAnsi="Times New Roman" w:cs="Times New Roman"/>
          <w:sz w:val="24"/>
          <w:szCs w:val="24"/>
          <w:lang w:eastAsia="en-AU"/>
        </w:rPr>
        <w:t xml:space="preserve"> </w:t>
      </w:r>
      <w:r w:rsidRPr="00ED2BB7">
        <w:rPr>
          <w:rFonts w:ascii="Times New Roman" w:eastAsia="Times New Roman" w:hAnsi="Times New Roman" w:cs="Times New Roman"/>
          <w:sz w:val="24"/>
          <w:szCs w:val="24"/>
          <w:lang w:eastAsia="en-AU"/>
        </w:rPr>
        <w:t xml:space="preserve">R, </w:t>
      </w:r>
      <w:proofErr w:type="spellStart"/>
      <w:r w:rsidR="00DD551F" w:rsidRPr="00ED2BB7">
        <w:rPr>
          <w:rFonts w:ascii="Times New Roman" w:eastAsia="Times New Roman" w:hAnsi="Times New Roman" w:cs="Times New Roman"/>
          <w:sz w:val="24"/>
          <w:szCs w:val="24"/>
          <w:lang w:eastAsia="en-AU"/>
        </w:rPr>
        <w:t>Schiele</w:t>
      </w:r>
      <w:proofErr w:type="spellEnd"/>
      <w:r w:rsidR="00DD551F" w:rsidRPr="00ED2BB7">
        <w:rPr>
          <w:rFonts w:ascii="Times New Roman" w:eastAsia="Times New Roman" w:hAnsi="Times New Roman" w:cs="Times New Roman"/>
          <w:sz w:val="24"/>
          <w:szCs w:val="24"/>
          <w:lang w:eastAsia="en-AU"/>
        </w:rPr>
        <w:t xml:space="preserve"> </w:t>
      </w:r>
      <w:r w:rsidRPr="00ED2BB7">
        <w:rPr>
          <w:rFonts w:ascii="Times New Roman" w:eastAsia="Times New Roman" w:hAnsi="Times New Roman" w:cs="Times New Roman"/>
          <w:sz w:val="24"/>
          <w:szCs w:val="24"/>
          <w:lang w:eastAsia="en-AU"/>
        </w:rPr>
        <w:t xml:space="preserve">F, </w:t>
      </w:r>
      <w:proofErr w:type="spellStart"/>
      <w:r w:rsidR="00DD551F" w:rsidRPr="00ED2BB7">
        <w:rPr>
          <w:rFonts w:ascii="Times New Roman" w:eastAsia="Times New Roman" w:hAnsi="Times New Roman" w:cs="Times New Roman"/>
          <w:sz w:val="24"/>
          <w:szCs w:val="24"/>
          <w:lang w:eastAsia="en-AU"/>
        </w:rPr>
        <w:t>Meneveau</w:t>
      </w:r>
      <w:proofErr w:type="spellEnd"/>
      <w:r w:rsidR="00DD551F" w:rsidRPr="00ED2BB7">
        <w:rPr>
          <w:rFonts w:ascii="Times New Roman" w:eastAsia="Times New Roman" w:hAnsi="Times New Roman" w:cs="Times New Roman"/>
          <w:sz w:val="24"/>
          <w:szCs w:val="24"/>
          <w:lang w:eastAsia="en-AU"/>
        </w:rPr>
        <w:t xml:space="preserve"> </w:t>
      </w:r>
      <w:r w:rsidRPr="00ED2BB7">
        <w:rPr>
          <w:rFonts w:ascii="Times New Roman" w:eastAsia="Times New Roman" w:hAnsi="Times New Roman" w:cs="Times New Roman"/>
          <w:sz w:val="24"/>
          <w:szCs w:val="24"/>
          <w:lang w:eastAsia="en-AU"/>
        </w:rPr>
        <w:t xml:space="preserve">N. Writing a scientific article: A step-by-step guide for beginners. </w:t>
      </w:r>
      <w:r w:rsidRPr="00ED2BB7">
        <w:rPr>
          <w:rFonts w:ascii="Times New Roman" w:eastAsia="Times New Roman" w:hAnsi="Times New Roman" w:cs="Times New Roman"/>
          <w:iCs/>
          <w:sz w:val="24"/>
          <w:szCs w:val="24"/>
          <w:lang w:eastAsia="en-AU"/>
        </w:rPr>
        <w:t>European Geriatric Medicine</w:t>
      </w:r>
      <w:r w:rsidR="00DD551F" w:rsidRPr="00ED2BB7">
        <w:rPr>
          <w:rFonts w:ascii="Times New Roman" w:eastAsia="Times New Roman" w:hAnsi="Times New Roman" w:cs="Times New Roman"/>
          <w:iCs/>
          <w:sz w:val="24"/>
          <w:szCs w:val="24"/>
          <w:lang w:eastAsia="en-AU"/>
        </w:rPr>
        <w:t>.</w:t>
      </w:r>
      <w:r w:rsidRPr="00ED2BB7">
        <w:rPr>
          <w:rFonts w:ascii="Times New Roman" w:eastAsia="Times New Roman" w:hAnsi="Times New Roman" w:cs="Times New Roman"/>
          <w:sz w:val="24"/>
          <w:szCs w:val="24"/>
          <w:lang w:eastAsia="en-AU"/>
        </w:rPr>
        <w:t xml:space="preserve"> </w:t>
      </w:r>
      <w:r w:rsidR="00DD551F" w:rsidRPr="00ED2BB7">
        <w:rPr>
          <w:rFonts w:ascii="Times New Roman" w:eastAsia="Times New Roman" w:hAnsi="Times New Roman" w:cs="Times New Roman"/>
          <w:sz w:val="24"/>
          <w:szCs w:val="24"/>
          <w:lang w:eastAsia="en-AU"/>
        </w:rPr>
        <w:t>2015</w:t>
      </w:r>
      <w:proofErr w:type="gramStart"/>
      <w:r w:rsidR="00DD551F" w:rsidRPr="00ED2BB7">
        <w:rPr>
          <w:rFonts w:ascii="Times New Roman" w:eastAsia="Times New Roman" w:hAnsi="Times New Roman" w:cs="Times New Roman"/>
          <w:sz w:val="24"/>
          <w:szCs w:val="24"/>
          <w:lang w:eastAsia="en-AU"/>
        </w:rPr>
        <w:t>;</w:t>
      </w:r>
      <w:r w:rsidRPr="00ED2BB7">
        <w:rPr>
          <w:rFonts w:ascii="Times New Roman" w:eastAsia="Times New Roman" w:hAnsi="Times New Roman" w:cs="Times New Roman"/>
          <w:sz w:val="24"/>
          <w:szCs w:val="24"/>
          <w:lang w:eastAsia="en-AU"/>
        </w:rPr>
        <w:t>6</w:t>
      </w:r>
      <w:proofErr w:type="gramEnd"/>
      <w:r w:rsidRPr="00ED2BB7">
        <w:rPr>
          <w:rFonts w:ascii="Times New Roman" w:eastAsia="Times New Roman" w:hAnsi="Times New Roman" w:cs="Times New Roman"/>
          <w:sz w:val="24"/>
          <w:szCs w:val="24"/>
          <w:lang w:eastAsia="en-AU"/>
        </w:rPr>
        <w:t>(6):573-579.</w:t>
      </w:r>
      <w:r w:rsidR="00DD551F" w:rsidRPr="00ED2BB7">
        <w:rPr>
          <w:rFonts w:ascii="Times New Roman" w:eastAsia="Times New Roman" w:hAnsi="Times New Roman" w:cs="Times New Roman"/>
          <w:sz w:val="24"/>
          <w:szCs w:val="24"/>
          <w:lang w:eastAsia="en-AU"/>
        </w:rPr>
        <w:t xml:space="preserve"> doi: 10.1016/j.eurger.2015.08.005</w:t>
      </w:r>
    </w:p>
    <w:p w14:paraId="2545130A" w14:textId="1BE3FB5F" w:rsidR="008008BA" w:rsidRPr="00ED2BB7" w:rsidRDefault="008008BA" w:rsidP="00ED2BB7">
      <w:pPr>
        <w:pStyle w:val="ListParagraph"/>
        <w:numPr>
          <w:ilvl w:val="0"/>
          <w:numId w:val="6"/>
        </w:numPr>
        <w:spacing w:after="240" w:line="240" w:lineRule="auto"/>
        <w:ind w:left="714" w:hanging="357"/>
        <w:rPr>
          <w:rFonts w:ascii="Times New Roman" w:hAnsi="Times New Roman" w:cs="Times New Roman"/>
          <w:sz w:val="24"/>
          <w:szCs w:val="24"/>
        </w:rPr>
      </w:pPr>
      <w:r w:rsidRPr="00ED2BB7">
        <w:rPr>
          <w:rFonts w:ascii="Times New Roman" w:hAnsi="Times New Roman" w:cs="Times New Roman"/>
          <w:sz w:val="24"/>
          <w:szCs w:val="24"/>
          <w:shd w:val="clear" w:color="auto" w:fill="FFFFFF"/>
        </w:rPr>
        <w:t xml:space="preserve">McElroy LM, </w:t>
      </w:r>
      <w:r w:rsidR="00DD551F" w:rsidRPr="00ED2BB7">
        <w:rPr>
          <w:rFonts w:ascii="Times New Roman" w:hAnsi="Times New Roman" w:cs="Times New Roman"/>
          <w:sz w:val="24"/>
          <w:szCs w:val="24"/>
          <w:shd w:val="clear" w:color="auto" w:fill="FFFFFF"/>
        </w:rPr>
        <w:t xml:space="preserve">Daniela </w:t>
      </w:r>
      <w:r w:rsidRPr="00ED2BB7">
        <w:rPr>
          <w:rFonts w:ascii="Times New Roman" w:hAnsi="Times New Roman" w:cs="Times New Roman"/>
          <w:sz w:val="24"/>
          <w:szCs w:val="24"/>
          <w:shd w:val="clear" w:color="auto" w:fill="FFFFFF"/>
        </w:rPr>
        <w:t xml:space="preserve">PL. Defining the Study Cohort: Inclusion and Exclusion Criteria. </w:t>
      </w:r>
      <w:r w:rsidRPr="00ED2BB7">
        <w:rPr>
          <w:rFonts w:ascii="Times New Roman" w:hAnsi="Times New Roman" w:cs="Times New Roman"/>
          <w:iCs/>
          <w:sz w:val="24"/>
          <w:szCs w:val="24"/>
          <w:shd w:val="clear" w:color="auto" w:fill="FFFFFF"/>
        </w:rPr>
        <w:t>In</w:t>
      </w:r>
      <w:r w:rsidRPr="00ED2BB7">
        <w:rPr>
          <w:rStyle w:val="apple-converted-space"/>
          <w:rFonts w:ascii="Times New Roman" w:hAnsi="Times New Roman" w:cs="Times New Roman"/>
          <w:iCs/>
          <w:sz w:val="24"/>
          <w:szCs w:val="24"/>
          <w:shd w:val="clear" w:color="auto" w:fill="FFFFFF"/>
        </w:rPr>
        <w:t> </w:t>
      </w:r>
      <w:r w:rsidRPr="00ED2BB7">
        <w:rPr>
          <w:rFonts w:ascii="Times New Roman" w:hAnsi="Times New Roman" w:cs="Times New Roman"/>
          <w:iCs/>
          <w:sz w:val="24"/>
          <w:szCs w:val="24"/>
          <w:shd w:val="clear" w:color="auto" w:fill="FFFFFF"/>
        </w:rPr>
        <w:t>Success in Academic Surgery: Clinical Trials</w:t>
      </w:r>
      <w:r w:rsidRPr="00ED2BB7">
        <w:rPr>
          <w:rFonts w:ascii="Times New Roman" w:hAnsi="Times New Roman" w:cs="Times New Roman"/>
          <w:sz w:val="24"/>
          <w:szCs w:val="24"/>
          <w:shd w:val="clear" w:color="auto" w:fill="FFFFFF"/>
        </w:rPr>
        <w:t xml:space="preserve">. </w:t>
      </w:r>
      <w:proofErr w:type="spellStart"/>
      <w:r w:rsidRPr="00ED2BB7">
        <w:rPr>
          <w:rFonts w:ascii="Times New Roman" w:hAnsi="Times New Roman" w:cs="Times New Roman"/>
          <w:sz w:val="24"/>
          <w:szCs w:val="24"/>
          <w:shd w:val="clear" w:color="auto" w:fill="FFFFFF"/>
        </w:rPr>
        <w:t>Verlag</w:t>
      </w:r>
      <w:proofErr w:type="spellEnd"/>
      <w:r w:rsidRPr="00ED2BB7">
        <w:rPr>
          <w:rFonts w:ascii="Times New Roman" w:hAnsi="Times New Roman" w:cs="Times New Roman"/>
          <w:sz w:val="24"/>
          <w:szCs w:val="24"/>
          <w:shd w:val="clear" w:color="auto" w:fill="FFFFFF"/>
        </w:rPr>
        <w:t>-London: Springer</w:t>
      </w:r>
      <w:r w:rsidR="00DD551F" w:rsidRPr="00ED2BB7">
        <w:rPr>
          <w:rFonts w:ascii="Times New Roman" w:hAnsi="Times New Roman" w:cs="Times New Roman"/>
          <w:sz w:val="24"/>
          <w:szCs w:val="24"/>
          <w:shd w:val="clear" w:color="auto" w:fill="FFFFFF"/>
        </w:rPr>
        <w:t>; 2014</w:t>
      </w:r>
      <w:r w:rsidR="001A7744" w:rsidRPr="00ED2BB7">
        <w:rPr>
          <w:rFonts w:ascii="Times New Roman" w:hAnsi="Times New Roman" w:cs="Times New Roman"/>
          <w:sz w:val="24"/>
          <w:szCs w:val="24"/>
          <w:shd w:val="clear" w:color="auto" w:fill="FFFFFF"/>
        </w:rPr>
        <w:t>.</w:t>
      </w:r>
    </w:p>
    <w:p w14:paraId="65F823FF" w14:textId="32B4A463" w:rsidR="008008BA" w:rsidRPr="00ED2BB7" w:rsidRDefault="008008BA" w:rsidP="00ED2BB7">
      <w:pPr>
        <w:pStyle w:val="ListParagraph"/>
        <w:numPr>
          <w:ilvl w:val="0"/>
          <w:numId w:val="6"/>
        </w:numPr>
        <w:spacing w:after="240" w:line="240" w:lineRule="auto"/>
        <w:ind w:left="714" w:hanging="357"/>
        <w:rPr>
          <w:rFonts w:ascii="Times New Roman" w:hAnsi="Times New Roman" w:cs="Times New Roman"/>
          <w:sz w:val="24"/>
          <w:szCs w:val="24"/>
        </w:rPr>
      </w:pPr>
      <w:r w:rsidRPr="00ED2BB7">
        <w:rPr>
          <w:rFonts w:ascii="Times New Roman" w:hAnsi="Times New Roman" w:cs="Times New Roman"/>
          <w:sz w:val="24"/>
          <w:szCs w:val="24"/>
        </w:rPr>
        <w:t xml:space="preserve">Munshi R, </w:t>
      </w:r>
      <w:proofErr w:type="spellStart"/>
      <w:r w:rsidR="00DD551F" w:rsidRPr="00ED2BB7">
        <w:rPr>
          <w:rFonts w:ascii="Times New Roman" w:hAnsi="Times New Roman" w:cs="Times New Roman"/>
          <w:sz w:val="24"/>
          <w:szCs w:val="24"/>
        </w:rPr>
        <w:t>Thatte</w:t>
      </w:r>
      <w:proofErr w:type="spellEnd"/>
      <w:r w:rsidR="00DD551F" w:rsidRPr="00ED2BB7">
        <w:rPr>
          <w:rFonts w:ascii="Times New Roman" w:hAnsi="Times New Roman" w:cs="Times New Roman"/>
          <w:sz w:val="24"/>
          <w:szCs w:val="24"/>
        </w:rPr>
        <w:t xml:space="preserve"> </w:t>
      </w:r>
      <w:r w:rsidRPr="00ED2BB7">
        <w:rPr>
          <w:rFonts w:ascii="Times New Roman" w:hAnsi="Times New Roman" w:cs="Times New Roman"/>
          <w:sz w:val="24"/>
          <w:szCs w:val="24"/>
        </w:rPr>
        <w:t>U. Compensation for research related injury.</w:t>
      </w:r>
      <w:r w:rsidRPr="00ED2BB7">
        <w:rPr>
          <w:rStyle w:val="apple-converted-space"/>
          <w:rFonts w:ascii="Times New Roman" w:hAnsi="Times New Roman" w:cs="Times New Roman"/>
          <w:sz w:val="24"/>
          <w:szCs w:val="24"/>
        </w:rPr>
        <w:t> </w:t>
      </w:r>
      <w:r w:rsidRPr="00ED2BB7">
        <w:rPr>
          <w:rFonts w:ascii="Times New Roman" w:hAnsi="Times New Roman" w:cs="Times New Roman"/>
          <w:sz w:val="24"/>
          <w:szCs w:val="24"/>
        </w:rPr>
        <w:t>Perspectives in clinical research</w:t>
      </w:r>
      <w:r w:rsidR="00DD551F" w:rsidRPr="00ED2BB7">
        <w:rPr>
          <w:rStyle w:val="apple-converted-space"/>
          <w:rFonts w:ascii="Times New Roman" w:hAnsi="Times New Roman" w:cs="Times New Roman"/>
          <w:sz w:val="24"/>
          <w:szCs w:val="24"/>
        </w:rPr>
        <w:t>.</w:t>
      </w:r>
      <w:r w:rsidRPr="00ED2BB7">
        <w:rPr>
          <w:rStyle w:val="apple-converted-space"/>
          <w:rFonts w:ascii="Times New Roman" w:hAnsi="Times New Roman" w:cs="Times New Roman"/>
          <w:sz w:val="24"/>
          <w:szCs w:val="24"/>
        </w:rPr>
        <w:t> </w:t>
      </w:r>
      <w:r w:rsidR="00DD551F" w:rsidRPr="00ED2BB7">
        <w:rPr>
          <w:rFonts w:ascii="Times New Roman" w:hAnsi="Times New Roman" w:cs="Times New Roman"/>
          <w:sz w:val="24"/>
          <w:szCs w:val="24"/>
        </w:rPr>
        <w:t>2013 Jan 23</w:t>
      </w:r>
      <w:proofErr w:type="gramStart"/>
      <w:r w:rsidR="00DD551F" w:rsidRPr="00ED2BB7">
        <w:rPr>
          <w:rFonts w:ascii="Times New Roman" w:hAnsi="Times New Roman" w:cs="Times New Roman"/>
          <w:sz w:val="24"/>
          <w:szCs w:val="24"/>
        </w:rPr>
        <w:t>;</w:t>
      </w:r>
      <w:r w:rsidRPr="00ED2BB7">
        <w:rPr>
          <w:rFonts w:ascii="Times New Roman" w:hAnsi="Times New Roman" w:cs="Times New Roman"/>
          <w:sz w:val="24"/>
          <w:szCs w:val="24"/>
        </w:rPr>
        <w:t>4</w:t>
      </w:r>
      <w:proofErr w:type="gramEnd"/>
      <w:r w:rsidRPr="00ED2BB7">
        <w:rPr>
          <w:rFonts w:ascii="Times New Roman" w:hAnsi="Times New Roman" w:cs="Times New Roman"/>
          <w:sz w:val="24"/>
          <w:szCs w:val="24"/>
        </w:rPr>
        <w:t>(1):61.</w:t>
      </w:r>
      <w:r w:rsidR="00DD551F" w:rsidRPr="00ED2BB7">
        <w:rPr>
          <w:rFonts w:ascii="Times New Roman" w:hAnsi="Times New Roman" w:cs="Times New Roman"/>
          <w:sz w:val="24"/>
          <w:szCs w:val="24"/>
        </w:rPr>
        <w:t xml:space="preserve"> doi: 10.4103/2229-3485.106392</w:t>
      </w:r>
    </w:p>
    <w:p w14:paraId="7B89E4C5" w14:textId="36544EDE" w:rsidR="008008BA" w:rsidRPr="00ED2BB7" w:rsidRDefault="008008BA" w:rsidP="00ED2BB7">
      <w:pPr>
        <w:pStyle w:val="ListParagraph"/>
        <w:numPr>
          <w:ilvl w:val="0"/>
          <w:numId w:val="6"/>
        </w:numPr>
        <w:spacing w:after="240" w:line="240" w:lineRule="auto"/>
        <w:ind w:left="714" w:hanging="357"/>
        <w:rPr>
          <w:rFonts w:ascii="Times New Roman" w:hAnsi="Times New Roman" w:cs="Times New Roman"/>
          <w:sz w:val="24"/>
          <w:szCs w:val="24"/>
        </w:rPr>
      </w:pPr>
      <w:r w:rsidRPr="00ED2BB7">
        <w:rPr>
          <w:rFonts w:ascii="Times New Roman" w:hAnsi="Times New Roman" w:cs="Times New Roman"/>
          <w:sz w:val="24"/>
          <w:szCs w:val="24"/>
          <w:shd w:val="clear" w:color="auto" w:fill="FFFFFF"/>
        </w:rPr>
        <w:t xml:space="preserve">Pandya M, </w:t>
      </w:r>
      <w:r w:rsidR="00DD551F" w:rsidRPr="00ED2BB7">
        <w:rPr>
          <w:rFonts w:ascii="Times New Roman" w:hAnsi="Times New Roman" w:cs="Times New Roman"/>
          <w:sz w:val="24"/>
          <w:szCs w:val="24"/>
          <w:shd w:val="clear" w:color="auto" w:fill="FFFFFF"/>
        </w:rPr>
        <w:t xml:space="preserve">Desai </w:t>
      </w:r>
      <w:r w:rsidRPr="00ED2BB7">
        <w:rPr>
          <w:rFonts w:ascii="Times New Roman" w:hAnsi="Times New Roman" w:cs="Times New Roman"/>
          <w:sz w:val="24"/>
          <w:szCs w:val="24"/>
          <w:shd w:val="clear" w:color="auto" w:fill="FFFFFF"/>
        </w:rPr>
        <w:t>C. Compensation in clinical research: the debate continues.</w:t>
      </w:r>
      <w:r w:rsidRPr="00ED2BB7">
        <w:rPr>
          <w:rStyle w:val="apple-converted-space"/>
          <w:rFonts w:ascii="Times New Roman" w:hAnsi="Times New Roman" w:cs="Times New Roman"/>
          <w:sz w:val="24"/>
          <w:szCs w:val="24"/>
          <w:shd w:val="clear" w:color="auto" w:fill="FFFFFF"/>
        </w:rPr>
        <w:t> </w:t>
      </w:r>
      <w:r w:rsidRPr="00ED2BB7">
        <w:rPr>
          <w:rFonts w:ascii="Times New Roman" w:hAnsi="Times New Roman" w:cs="Times New Roman"/>
          <w:sz w:val="24"/>
          <w:szCs w:val="24"/>
          <w:shd w:val="clear" w:color="auto" w:fill="FFFFFF"/>
        </w:rPr>
        <w:t>Perspectives in clinical research</w:t>
      </w:r>
      <w:r w:rsidR="001A7744" w:rsidRPr="00ED2BB7">
        <w:rPr>
          <w:rFonts w:ascii="Times New Roman" w:hAnsi="Times New Roman" w:cs="Times New Roman"/>
          <w:sz w:val="24"/>
          <w:szCs w:val="24"/>
          <w:shd w:val="clear" w:color="auto" w:fill="FFFFFF"/>
        </w:rPr>
        <w:t>.</w:t>
      </w:r>
      <w:r w:rsidRPr="00ED2BB7">
        <w:rPr>
          <w:rStyle w:val="apple-converted-space"/>
          <w:rFonts w:ascii="Times New Roman" w:hAnsi="Times New Roman" w:cs="Times New Roman"/>
          <w:sz w:val="24"/>
          <w:szCs w:val="24"/>
          <w:shd w:val="clear" w:color="auto" w:fill="FFFFFF"/>
        </w:rPr>
        <w:t> </w:t>
      </w:r>
      <w:r w:rsidR="00DD551F" w:rsidRPr="00ED2BB7">
        <w:rPr>
          <w:rFonts w:ascii="Times New Roman" w:hAnsi="Times New Roman" w:cs="Times New Roman"/>
          <w:sz w:val="24"/>
          <w:szCs w:val="24"/>
          <w:shd w:val="clear" w:color="auto" w:fill="FFFFFF"/>
        </w:rPr>
        <w:t>2013</w:t>
      </w:r>
      <w:proofErr w:type="gramStart"/>
      <w:r w:rsidR="001A7744" w:rsidRPr="00ED2BB7">
        <w:rPr>
          <w:rFonts w:ascii="Times New Roman" w:hAnsi="Times New Roman" w:cs="Times New Roman"/>
          <w:sz w:val="24"/>
          <w:szCs w:val="24"/>
          <w:shd w:val="clear" w:color="auto" w:fill="FFFFFF"/>
        </w:rPr>
        <w:t>;</w:t>
      </w:r>
      <w:r w:rsidRPr="00ED2BB7">
        <w:rPr>
          <w:rFonts w:ascii="Times New Roman" w:hAnsi="Times New Roman" w:cs="Times New Roman"/>
          <w:sz w:val="24"/>
          <w:szCs w:val="24"/>
          <w:shd w:val="clear" w:color="auto" w:fill="FFFFFF"/>
        </w:rPr>
        <w:t>4</w:t>
      </w:r>
      <w:proofErr w:type="gramEnd"/>
      <w:r w:rsidRPr="00ED2BB7">
        <w:rPr>
          <w:rFonts w:ascii="Times New Roman" w:hAnsi="Times New Roman" w:cs="Times New Roman"/>
          <w:sz w:val="24"/>
          <w:szCs w:val="24"/>
          <w:shd w:val="clear" w:color="auto" w:fill="FFFFFF"/>
        </w:rPr>
        <w:t>(1):70.</w:t>
      </w:r>
    </w:p>
    <w:p w14:paraId="741A526C" w14:textId="5E3B16BB" w:rsidR="008008BA" w:rsidRPr="00ED2BB7" w:rsidRDefault="008008BA" w:rsidP="00ED2BB7">
      <w:pPr>
        <w:pStyle w:val="ListParagraph"/>
        <w:numPr>
          <w:ilvl w:val="0"/>
          <w:numId w:val="6"/>
        </w:numPr>
        <w:spacing w:after="240" w:line="240" w:lineRule="auto"/>
        <w:ind w:left="714" w:hanging="357"/>
        <w:rPr>
          <w:rFonts w:ascii="Times New Roman" w:hAnsi="Times New Roman" w:cs="Times New Roman"/>
          <w:sz w:val="24"/>
          <w:szCs w:val="24"/>
        </w:rPr>
      </w:pPr>
      <w:r w:rsidRPr="00ED2BB7">
        <w:rPr>
          <w:rFonts w:ascii="Times New Roman" w:hAnsi="Times New Roman" w:cs="Times New Roman"/>
          <w:sz w:val="24"/>
          <w:szCs w:val="24"/>
        </w:rPr>
        <w:t xml:space="preserve">Ministry of Health Malaysia. </w:t>
      </w:r>
      <w:r w:rsidRPr="00ED2BB7">
        <w:rPr>
          <w:rFonts w:ascii="Times New Roman" w:hAnsi="Times New Roman" w:cs="Times New Roman"/>
          <w:iCs/>
          <w:sz w:val="24"/>
          <w:szCs w:val="24"/>
        </w:rPr>
        <w:t>Malaysian Guideline for GOOD CLINICAL PRACTICE</w:t>
      </w:r>
      <w:r w:rsidR="001A7744" w:rsidRPr="00ED2BB7">
        <w:rPr>
          <w:rFonts w:ascii="Times New Roman" w:hAnsi="Times New Roman" w:cs="Times New Roman"/>
          <w:iCs/>
          <w:sz w:val="24"/>
          <w:szCs w:val="24"/>
        </w:rPr>
        <w:t>.</w:t>
      </w:r>
      <w:r w:rsidRPr="00ED2BB7">
        <w:rPr>
          <w:rFonts w:ascii="Times New Roman" w:hAnsi="Times New Roman" w:cs="Times New Roman"/>
          <w:sz w:val="24"/>
          <w:szCs w:val="24"/>
        </w:rPr>
        <w:t xml:space="preserve"> 3</w:t>
      </w:r>
      <w:r w:rsidRPr="00ED2BB7">
        <w:rPr>
          <w:rFonts w:ascii="Times New Roman" w:hAnsi="Times New Roman" w:cs="Times New Roman"/>
          <w:sz w:val="24"/>
          <w:szCs w:val="24"/>
          <w:vertAlign w:val="superscript"/>
        </w:rPr>
        <w:t>rd</w:t>
      </w:r>
      <w:r w:rsidRPr="00ED2BB7">
        <w:rPr>
          <w:rFonts w:ascii="Times New Roman" w:hAnsi="Times New Roman" w:cs="Times New Roman"/>
          <w:sz w:val="24"/>
          <w:szCs w:val="24"/>
        </w:rPr>
        <w:t xml:space="preserve"> ed. Malaysia: National Committee for Clinical Research</w:t>
      </w:r>
      <w:r w:rsidR="001A7744" w:rsidRPr="00ED2BB7">
        <w:rPr>
          <w:rFonts w:ascii="Times New Roman" w:hAnsi="Times New Roman" w:cs="Times New Roman"/>
          <w:sz w:val="24"/>
          <w:szCs w:val="24"/>
        </w:rPr>
        <w:t>; 2011.</w:t>
      </w:r>
    </w:p>
    <w:p w14:paraId="30D8F8FD" w14:textId="1C3A2779" w:rsidR="008008BA" w:rsidRPr="00ED2BB7" w:rsidRDefault="008008BA" w:rsidP="00ED2BB7">
      <w:pPr>
        <w:pStyle w:val="ListParagraph"/>
        <w:numPr>
          <w:ilvl w:val="0"/>
          <w:numId w:val="6"/>
        </w:numPr>
        <w:spacing w:after="240" w:line="240" w:lineRule="auto"/>
        <w:ind w:left="714" w:hanging="357"/>
        <w:rPr>
          <w:rFonts w:ascii="Times New Roman" w:hAnsi="Times New Roman" w:cs="Times New Roman"/>
          <w:sz w:val="24"/>
          <w:szCs w:val="24"/>
          <w:shd w:val="clear" w:color="auto" w:fill="FFFFFF"/>
        </w:rPr>
      </w:pPr>
      <w:r w:rsidRPr="00ED2BB7">
        <w:rPr>
          <w:rFonts w:ascii="Times New Roman" w:hAnsi="Times New Roman" w:cs="Times New Roman"/>
          <w:sz w:val="24"/>
          <w:szCs w:val="24"/>
          <w:shd w:val="clear" w:color="auto" w:fill="FFFFFF"/>
        </w:rPr>
        <w:t>Grady C. Payment of clinical research subjects.</w:t>
      </w:r>
      <w:r w:rsidRPr="00ED2BB7">
        <w:rPr>
          <w:rStyle w:val="apple-converted-space"/>
          <w:rFonts w:ascii="Times New Roman" w:hAnsi="Times New Roman" w:cs="Times New Roman"/>
          <w:sz w:val="24"/>
          <w:szCs w:val="24"/>
          <w:shd w:val="clear" w:color="auto" w:fill="FFFFFF"/>
        </w:rPr>
        <w:t> </w:t>
      </w:r>
      <w:r w:rsidRPr="00ED2BB7">
        <w:rPr>
          <w:rFonts w:ascii="Times New Roman" w:hAnsi="Times New Roman" w:cs="Times New Roman"/>
          <w:sz w:val="24"/>
          <w:szCs w:val="24"/>
          <w:shd w:val="clear" w:color="auto" w:fill="FFFFFF"/>
        </w:rPr>
        <w:t>The Journal of Clinical Investigation</w:t>
      </w:r>
      <w:r w:rsidR="001A7744" w:rsidRPr="00ED2BB7">
        <w:rPr>
          <w:rFonts w:ascii="Times New Roman" w:hAnsi="Times New Roman" w:cs="Times New Roman"/>
          <w:sz w:val="24"/>
          <w:szCs w:val="24"/>
          <w:shd w:val="clear" w:color="auto" w:fill="FFFFFF"/>
        </w:rPr>
        <w:t>.</w:t>
      </w:r>
      <w:r w:rsidRPr="00ED2BB7">
        <w:rPr>
          <w:rStyle w:val="apple-converted-space"/>
          <w:rFonts w:ascii="Times New Roman" w:hAnsi="Times New Roman" w:cs="Times New Roman"/>
          <w:sz w:val="24"/>
          <w:szCs w:val="24"/>
          <w:shd w:val="clear" w:color="auto" w:fill="FFFFFF"/>
        </w:rPr>
        <w:t> </w:t>
      </w:r>
      <w:r w:rsidR="001A7744" w:rsidRPr="00ED2BB7">
        <w:rPr>
          <w:rFonts w:ascii="Times New Roman" w:hAnsi="Times New Roman" w:cs="Times New Roman"/>
          <w:sz w:val="24"/>
          <w:szCs w:val="24"/>
          <w:shd w:val="clear" w:color="auto" w:fill="FFFFFF"/>
        </w:rPr>
        <w:t>2005</w:t>
      </w:r>
      <w:proofErr w:type="gramStart"/>
      <w:r w:rsidR="001A7744" w:rsidRPr="00ED2BB7">
        <w:rPr>
          <w:rFonts w:ascii="Times New Roman" w:hAnsi="Times New Roman" w:cs="Times New Roman"/>
          <w:sz w:val="24"/>
          <w:szCs w:val="24"/>
          <w:shd w:val="clear" w:color="auto" w:fill="FFFFFF"/>
        </w:rPr>
        <w:t>;</w:t>
      </w:r>
      <w:r w:rsidRPr="00ED2BB7">
        <w:rPr>
          <w:rFonts w:ascii="Times New Roman" w:hAnsi="Times New Roman" w:cs="Times New Roman"/>
          <w:sz w:val="24"/>
          <w:szCs w:val="24"/>
          <w:shd w:val="clear" w:color="auto" w:fill="FFFFFF"/>
        </w:rPr>
        <w:t>115</w:t>
      </w:r>
      <w:proofErr w:type="gramEnd"/>
      <w:r w:rsidRPr="00ED2BB7">
        <w:rPr>
          <w:rFonts w:ascii="Times New Roman" w:hAnsi="Times New Roman" w:cs="Times New Roman"/>
          <w:sz w:val="24"/>
          <w:szCs w:val="24"/>
          <w:shd w:val="clear" w:color="auto" w:fill="FFFFFF"/>
        </w:rPr>
        <w:t>(7):1681-1687.</w:t>
      </w:r>
    </w:p>
    <w:p w14:paraId="4CF31472" w14:textId="77777777" w:rsidR="00910364" w:rsidRPr="00ED2BB7" w:rsidRDefault="00910364" w:rsidP="00ED2BB7">
      <w:pPr>
        <w:pStyle w:val="ListParagraph"/>
        <w:spacing w:after="240" w:line="240" w:lineRule="auto"/>
        <w:ind w:left="0"/>
        <w:rPr>
          <w:rFonts w:ascii="Times New Roman" w:hAnsi="Times New Roman" w:cs="Times New Roman"/>
          <w:sz w:val="24"/>
          <w:szCs w:val="24"/>
          <w:shd w:val="clear" w:color="auto" w:fill="FFFFFF"/>
        </w:rPr>
      </w:pPr>
    </w:p>
    <w:p w14:paraId="246436B4" w14:textId="1224A721" w:rsidR="00910364" w:rsidRPr="00ED2BB7" w:rsidRDefault="00910364" w:rsidP="00ED2BB7">
      <w:pPr>
        <w:pStyle w:val="ListParagraph"/>
        <w:spacing w:after="240" w:line="240" w:lineRule="auto"/>
        <w:ind w:left="1440"/>
        <w:rPr>
          <w:rFonts w:ascii="Times New Roman" w:hAnsi="Times New Roman" w:cs="Times New Roman"/>
          <w:sz w:val="24"/>
          <w:szCs w:val="24"/>
          <w:shd w:val="clear" w:color="auto" w:fill="FFFFFF"/>
        </w:rPr>
      </w:pPr>
    </w:p>
    <w:p w14:paraId="33935056" w14:textId="77777777" w:rsidR="00910364" w:rsidRPr="00ED2BB7" w:rsidRDefault="00910364" w:rsidP="00ED2BB7">
      <w:pPr>
        <w:pStyle w:val="ListParagraph"/>
        <w:spacing w:after="240" w:line="240" w:lineRule="auto"/>
        <w:ind w:left="0"/>
        <w:rPr>
          <w:rFonts w:ascii="Times New Roman" w:hAnsi="Times New Roman" w:cs="Times New Roman"/>
          <w:sz w:val="24"/>
          <w:szCs w:val="24"/>
          <w:shd w:val="clear" w:color="auto" w:fill="FFFFFF"/>
        </w:rPr>
      </w:pPr>
    </w:p>
    <w:p w14:paraId="357DCEE1" w14:textId="77777777" w:rsidR="00910364" w:rsidRPr="00ED2BB7" w:rsidRDefault="00910364" w:rsidP="00ED2BB7">
      <w:pPr>
        <w:pStyle w:val="ListParagraph"/>
        <w:spacing w:after="240" w:line="240" w:lineRule="auto"/>
        <w:ind w:left="0"/>
        <w:rPr>
          <w:rFonts w:ascii="Times New Roman" w:hAnsi="Times New Roman" w:cs="Times New Roman"/>
          <w:sz w:val="24"/>
          <w:szCs w:val="24"/>
          <w:shd w:val="clear" w:color="auto" w:fill="FFFFFF"/>
        </w:rPr>
      </w:pPr>
    </w:p>
    <w:p w14:paraId="36766D33" w14:textId="77777777" w:rsidR="00910364" w:rsidRPr="00ED2BB7" w:rsidRDefault="00910364" w:rsidP="00ED2BB7">
      <w:pPr>
        <w:pStyle w:val="ListParagraph"/>
        <w:spacing w:after="240" w:line="240" w:lineRule="auto"/>
        <w:ind w:left="0"/>
        <w:rPr>
          <w:rFonts w:ascii="Times New Roman" w:hAnsi="Times New Roman" w:cs="Times New Roman"/>
          <w:sz w:val="24"/>
          <w:szCs w:val="24"/>
          <w:shd w:val="clear" w:color="auto" w:fill="FFFFFF"/>
        </w:rPr>
      </w:pPr>
    </w:p>
    <w:p w14:paraId="3386B33E" w14:textId="77777777" w:rsidR="00924764" w:rsidRPr="00ED2BB7" w:rsidRDefault="00924764" w:rsidP="00ED2BB7">
      <w:pPr>
        <w:spacing w:after="240" w:line="240" w:lineRule="auto"/>
        <w:rPr>
          <w:rFonts w:ascii="Times New Roman" w:hAnsi="Times New Roman" w:cs="Times New Roman"/>
          <w:sz w:val="24"/>
          <w:szCs w:val="24"/>
        </w:rPr>
      </w:pPr>
      <w:r w:rsidRPr="00ED2BB7">
        <w:rPr>
          <w:rFonts w:ascii="Times New Roman" w:hAnsi="Times New Roman" w:cs="Times New Roman"/>
          <w:sz w:val="24"/>
          <w:szCs w:val="24"/>
        </w:rPr>
        <w:br w:type="page"/>
      </w:r>
    </w:p>
    <w:p w14:paraId="27E03F8E" w14:textId="49BFD6BD"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lastRenderedPageBreak/>
        <w:t xml:space="preserve"> Table 1. Protocol issues identified by MREC reviewers at initial review of PMPs in 2012</w:t>
      </w:r>
    </w:p>
    <w:tbl>
      <w:tblPr>
        <w:tblW w:w="8870"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5939"/>
        <w:gridCol w:w="1275"/>
      </w:tblGrid>
      <w:tr w:rsidR="00D52792" w:rsidRPr="00ED2BB7" w14:paraId="4A34591E" w14:textId="77777777" w:rsidTr="002D235E">
        <w:trPr>
          <w:trHeight w:val="636"/>
          <w:tblHeader/>
        </w:trPr>
        <w:tc>
          <w:tcPr>
            <w:tcW w:w="1620" w:type="dxa"/>
          </w:tcPr>
          <w:p w14:paraId="60F2E82D" w14:textId="77777777" w:rsidR="00924764" w:rsidRPr="00ED2BB7" w:rsidRDefault="00924764" w:rsidP="00ED2BB7">
            <w:pPr>
              <w:spacing w:after="240" w:line="240" w:lineRule="auto"/>
              <w:rPr>
                <w:rFonts w:ascii="Times New Roman" w:hAnsi="Times New Roman" w:cs="Times New Roman"/>
                <w:b/>
                <w:sz w:val="24"/>
                <w:szCs w:val="24"/>
                <w:lang w:val="en-GB"/>
              </w:rPr>
            </w:pPr>
          </w:p>
          <w:p w14:paraId="61C1EC06" w14:textId="77777777" w:rsidR="00924764" w:rsidRPr="00ED2BB7" w:rsidRDefault="00924764" w:rsidP="00ED2BB7">
            <w:pPr>
              <w:spacing w:after="240" w:line="240" w:lineRule="auto"/>
              <w:rPr>
                <w:rFonts w:ascii="Times New Roman" w:hAnsi="Times New Roman" w:cs="Times New Roman"/>
                <w:b/>
                <w:sz w:val="24"/>
                <w:szCs w:val="24"/>
                <w:lang w:val="en-GB"/>
              </w:rPr>
            </w:pPr>
            <w:r w:rsidRPr="00ED2BB7">
              <w:rPr>
                <w:rFonts w:ascii="Times New Roman" w:hAnsi="Times New Roman" w:cs="Times New Roman"/>
                <w:b/>
                <w:sz w:val="24"/>
                <w:szCs w:val="24"/>
                <w:lang w:val="en-GB"/>
              </w:rPr>
              <w:t>Category</w:t>
            </w:r>
          </w:p>
        </w:tc>
        <w:tc>
          <w:tcPr>
            <w:tcW w:w="5970" w:type="dxa"/>
          </w:tcPr>
          <w:p w14:paraId="67888EAC" w14:textId="77777777" w:rsidR="00924764" w:rsidRPr="00ED2BB7" w:rsidRDefault="00924764" w:rsidP="00ED2BB7">
            <w:pPr>
              <w:spacing w:after="240" w:line="240" w:lineRule="auto"/>
              <w:rPr>
                <w:rFonts w:ascii="Times New Roman" w:hAnsi="Times New Roman" w:cs="Times New Roman"/>
                <w:b/>
                <w:sz w:val="24"/>
                <w:szCs w:val="24"/>
                <w:lang w:val="en-GB"/>
              </w:rPr>
            </w:pPr>
          </w:p>
          <w:p w14:paraId="7CD65D48" w14:textId="77777777" w:rsidR="00924764" w:rsidRPr="00ED2BB7" w:rsidRDefault="00924764" w:rsidP="00ED2BB7">
            <w:pPr>
              <w:spacing w:after="240" w:line="240" w:lineRule="auto"/>
              <w:rPr>
                <w:rFonts w:ascii="Times New Roman" w:hAnsi="Times New Roman" w:cs="Times New Roman"/>
                <w:b/>
                <w:sz w:val="24"/>
                <w:szCs w:val="24"/>
                <w:lang w:val="en-GB"/>
              </w:rPr>
            </w:pPr>
            <w:r w:rsidRPr="00ED2BB7">
              <w:rPr>
                <w:rFonts w:ascii="Times New Roman" w:hAnsi="Times New Roman" w:cs="Times New Roman"/>
                <w:b/>
                <w:sz w:val="24"/>
                <w:szCs w:val="24"/>
                <w:lang w:val="en-GB"/>
              </w:rPr>
              <w:t>Part of Protocol</w:t>
            </w:r>
          </w:p>
        </w:tc>
        <w:tc>
          <w:tcPr>
            <w:tcW w:w="1280" w:type="dxa"/>
          </w:tcPr>
          <w:p w14:paraId="46C59C93" w14:textId="77777777" w:rsidR="00924764" w:rsidRPr="00ED2BB7" w:rsidRDefault="00924764" w:rsidP="00ED2BB7">
            <w:pPr>
              <w:spacing w:after="240" w:line="240" w:lineRule="auto"/>
              <w:rPr>
                <w:rFonts w:ascii="Times New Roman" w:hAnsi="Times New Roman" w:cs="Times New Roman"/>
                <w:b/>
                <w:sz w:val="24"/>
                <w:szCs w:val="24"/>
                <w:lang w:val="en-GB"/>
              </w:rPr>
            </w:pPr>
          </w:p>
          <w:p w14:paraId="26149257" w14:textId="77777777" w:rsidR="00924764" w:rsidRPr="00ED2BB7" w:rsidRDefault="00924764" w:rsidP="00ED2BB7">
            <w:pPr>
              <w:spacing w:after="240" w:line="240" w:lineRule="auto"/>
              <w:rPr>
                <w:rFonts w:ascii="Times New Roman" w:hAnsi="Times New Roman" w:cs="Times New Roman"/>
                <w:b/>
                <w:sz w:val="24"/>
                <w:szCs w:val="24"/>
                <w:lang w:val="en-GB"/>
              </w:rPr>
            </w:pPr>
            <w:r w:rsidRPr="00ED2BB7">
              <w:rPr>
                <w:rFonts w:ascii="Times New Roman" w:hAnsi="Times New Roman" w:cs="Times New Roman"/>
                <w:b/>
                <w:sz w:val="24"/>
                <w:szCs w:val="24"/>
                <w:lang w:val="en-GB"/>
              </w:rPr>
              <w:t>Rate of Error (%)</w:t>
            </w:r>
          </w:p>
          <w:p w14:paraId="7E3ECC66"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5500ABA1" w14:textId="77777777" w:rsidTr="00BA1F98">
        <w:tc>
          <w:tcPr>
            <w:tcW w:w="1620" w:type="dxa"/>
            <w:vMerge w:val="restart"/>
          </w:tcPr>
          <w:p w14:paraId="554BBBAC" w14:textId="09A48CC1"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Ethical</w:t>
            </w:r>
          </w:p>
          <w:p w14:paraId="556BA547"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Element</w:t>
            </w:r>
          </w:p>
        </w:tc>
        <w:tc>
          <w:tcPr>
            <w:tcW w:w="5970" w:type="dxa"/>
          </w:tcPr>
          <w:p w14:paraId="1DB06EEF"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 xml:space="preserve">The subject exclusion criteria. </w:t>
            </w:r>
          </w:p>
        </w:tc>
        <w:tc>
          <w:tcPr>
            <w:tcW w:w="1280" w:type="dxa"/>
            <w:vAlign w:val="center"/>
          </w:tcPr>
          <w:p w14:paraId="149C8E02"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13</w:t>
            </w:r>
          </w:p>
        </w:tc>
      </w:tr>
      <w:tr w:rsidR="00D52792" w:rsidRPr="00ED2BB7" w14:paraId="6A6E76AE" w14:textId="77777777" w:rsidTr="002D235E">
        <w:tc>
          <w:tcPr>
            <w:tcW w:w="1620" w:type="dxa"/>
            <w:vMerge/>
          </w:tcPr>
          <w:p w14:paraId="15C53594"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tcPr>
          <w:p w14:paraId="49A52C6E"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subject inclusion criteria.</w:t>
            </w:r>
          </w:p>
        </w:tc>
        <w:tc>
          <w:tcPr>
            <w:tcW w:w="1280" w:type="dxa"/>
          </w:tcPr>
          <w:p w14:paraId="60A6649B"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7</w:t>
            </w:r>
          </w:p>
        </w:tc>
      </w:tr>
      <w:tr w:rsidR="00D52792" w:rsidRPr="00ED2BB7" w14:paraId="583827D7" w14:textId="77777777" w:rsidTr="002D235E">
        <w:tc>
          <w:tcPr>
            <w:tcW w:w="1620" w:type="dxa"/>
            <w:vMerge/>
          </w:tcPr>
          <w:p w14:paraId="2ACBF264"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tcPr>
          <w:p w14:paraId="6D1E9F7F"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 xml:space="preserve">The subject withdrawal criteria (i.e. terminating investigational product treatment/trial treatment) and procedures as below: </w:t>
            </w:r>
          </w:p>
          <w:p w14:paraId="4AD9BBAE" w14:textId="77777777" w:rsidR="00924764" w:rsidRPr="00ED2BB7" w:rsidRDefault="00924764" w:rsidP="00ED2BB7">
            <w:pPr>
              <w:pStyle w:val="ListParagraph"/>
              <w:numPr>
                <w:ilvl w:val="0"/>
                <w:numId w:val="3"/>
              </w:num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When and how to withdraw subjects from the trial/ investigational product treatment.</w:t>
            </w:r>
          </w:p>
          <w:p w14:paraId="1E01D575" w14:textId="77777777" w:rsidR="00924764" w:rsidRPr="00ED2BB7" w:rsidRDefault="00924764" w:rsidP="00ED2BB7">
            <w:pPr>
              <w:pStyle w:val="ListParagraph"/>
              <w:numPr>
                <w:ilvl w:val="0"/>
                <w:numId w:val="3"/>
              </w:num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type and timing of the data to be collected for withdrawn subjects.</w:t>
            </w:r>
          </w:p>
          <w:p w14:paraId="4766BBC6" w14:textId="77777777" w:rsidR="00924764" w:rsidRPr="00ED2BB7" w:rsidRDefault="00924764" w:rsidP="00ED2BB7">
            <w:pPr>
              <w:pStyle w:val="ListParagraph"/>
              <w:numPr>
                <w:ilvl w:val="0"/>
                <w:numId w:val="3"/>
              </w:num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Whether and how subjects are to be replaced.</w:t>
            </w:r>
          </w:p>
          <w:p w14:paraId="4B3E85B4" w14:textId="77777777" w:rsidR="00924764" w:rsidRPr="00ED2BB7" w:rsidRDefault="00924764" w:rsidP="00ED2BB7">
            <w:pPr>
              <w:pStyle w:val="ListParagraph"/>
              <w:numPr>
                <w:ilvl w:val="0"/>
                <w:numId w:val="3"/>
              </w:num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follow-up for subjects withdrawn from investigational product treatment/trial treatment.</w:t>
            </w:r>
          </w:p>
        </w:tc>
        <w:tc>
          <w:tcPr>
            <w:tcW w:w="1280" w:type="dxa"/>
            <w:vAlign w:val="center"/>
          </w:tcPr>
          <w:p w14:paraId="389C1E03"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5</w:t>
            </w:r>
          </w:p>
        </w:tc>
      </w:tr>
      <w:tr w:rsidR="00D52792" w:rsidRPr="00ED2BB7" w14:paraId="127A0257" w14:textId="77777777" w:rsidTr="002D235E">
        <w:tc>
          <w:tcPr>
            <w:tcW w:w="1620" w:type="dxa"/>
            <w:vMerge/>
          </w:tcPr>
          <w:p w14:paraId="7D5D3945"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tcPr>
          <w:p w14:paraId="7C6B07EB"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statement that the trial will be conducted in compliance with the protocol, GCP and the applicable regulatory requirement(s).</w:t>
            </w:r>
          </w:p>
        </w:tc>
        <w:tc>
          <w:tcPr>
            <w:tcW w:w="1280" w:type="dxa"/>
            <w:vMerge w:val="restart"/>
            <w:vAlign w:val="center"/>
          </w:tcPr>
          <w:p w14:paraId="311BCC51"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3</w:t>
            </w:r>
          </w:p>
        </w:tc>
      </w:tr>
      <w:tr w:rsidR="00D52792" w:rsidRPr="00ED2BB7" w14:paraId="146EBC2D" w14:textId="77777777" w:rsidTr="002D235E">
        <w:tc>
          <w:tcPr>
            <w:tcW w:w="1620" w:type="dxa"/>
            <w:vMerge/>
          </w:tcPr>
          <w:p w14:paraId="6DB87EF2"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vAlign w:val="center"/>
          </w:tcPr>
          <w:p w14:paraId="59EB04B8"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description of the “stopping rules” or “discontinuation criteria” for individual subjects, parts of trial and entire trial.</w:t>
            </w:r>
          </w:p>
        </w:tc>
        <w:tc>
          <w:tcPr>
            <w:tcW w:w="1280" w:type="dxa"/>
            <w:vMerge/>
          </w:tcPr>
          <w:p w14:paraId="2820FBF5"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40259CF6" w14:textId="77777777" w:rsidTr="002D235E">
        <w:tc>
          <w:tcPr>
            <w:tcW w:w="1620" w:type="dxa"/>
            <w:vMerge/>
          </w:tcPr>
          <w:p w14:paraId="7735B979"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vAlign w:val="center"/>
          </w:tcPr>
          <w:p w14:paraId="631960D3"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type and duration of the follow-up of subjects after adverse events.</w:t>
            </w:r>
          </w:p>
        </w:tc>
        <w:tc>
          <w:tcPr>
            <w:tcW w:w="1280" w:type="dxa"/>
            <w:vMerge/>
          </w:tcPr>
          <w:p w14:paraId="5FA460E2"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69DFAF2C" w14:textId="77777777" w:rsidTr="002D235E">
        <w:tc>
          <w:tcPr>
            <w:tcW w:w="1620" w:type="dxa"/>
            <w:vMerge/>
          </w:tcPr>
          <w:p w14:paraId="7E03618E"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tcPr>
          <w:p w14:paraId="62C27CC5"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description of ethical considerations relating to the trial.</w:t>
            </w:r>
          </w:p>
        </w:tc>
        <w:tc>
          <w:tcPr>
            <w:tcW w:w="1280" w:type="dxa"/>
            <w:vMerge/>
          </w:tcPr>
          <w:p w14:paraId="5A3978E4"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5FFBCF72" w14:textId="77777777" w:rsidTr="002D235E">
        <w:tc>
          <w:tcPr>
            <w:tcW w:w="1620" w:type="dxa"/>
            <w:vMerge/>
          </w:tcPr>
          <w:p w14:paraId="45501DD9"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tcPr>
          <w:p w14:paraId="2D95F921"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SOP for data handling and record keeping.</w:t>
            </w:r>
          </w:p>
        </w:tc>
        <w:tc>
          <w:tcPr>
            <w:tcW w:w="1280" w:type="dxa"/>
            <w:vMerge/>
          </w:tcPr>
          <w:p w14:paraId="6D834505"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6489EC6F" w14:textId="77777777" w:rsidTr="002D235E">
        <w:tc>
          <w:tcPr>
            <w:tcW w:w="1620" w:type="dxa"/>
            <w:vMerge/>
            <w:tcBorders>
              <w:bottom w:val="single" w:sz="4" w:space="0" w:color="auto"/>
            </w:tcBorders>
          </w:tcPr>
          <w:p w14:paraId="5A52215A"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tcPr>
          <w:p w14:paraId="1BD66AD7"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 xml:space="preserve">The procedures for eliciting reports of and for recording and reporting adverse event and </w:t>
            </w:r>
            <w:proofErr w:type="spellStart"/>
            <w:r w:rsidRPr="00ED2BB7">
              <w:rPr>
                <w:rFonts w:ascii="Times New Roman" w:hAnsi="Times New Roman" w:cs="Times New Roman"/>
                <w:sz w:val="24"/>
                <w:szCs w:val="24"/>
                <w:lang w:val="en-GB"/>
              </w:rPr>
              <w:t>intercurrent</w:t>
            </w:r>
            <w:proofErr w:type="spellEnd"/>
            <w:r w:rsidRPr="00ED2BB7">
              <w:rPr>
                <w:rFonts w:ascii="Times New Roman" w:hAnsi="Times New Roman" w:cs="Times New Roman"/>
                <w:sz w:val="24"/>
                <w:szCs w:val="24"/>
                <w:lang w:val="en-GB"/>
              </w:rPr>
              <w:t xml:space="preserve"> illnesses.</w:t>
            </w:r>
          </w:p>
        </w:tc>
        <w:tc>
          <w:tcPr>
            <w:tcW w:w="1280" w:type="dxa"/>
          </w:tcPr>
          <w:p w14:paraId="0BCD7839"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2</w:t>
            </w:r>
          </w:p>
        </w:tc>
      </w:tr>
      <w:tr w:rsidR="00D52792" w:rsidRPr="00ED2BB7" w14:paraId="3D10FFAB" w14:textId="77777777" w:rsidTr="00BA1F98">
        <w:trPr>
          <w:trHeight w:val="652"/>
        </w:trPr>
        <w:tc>
          <w:tcPr>
            <w:tcW w:w="1620" w:type="dxa"/>
            <w:vMerge w:val="restart"/>
            <w:tcBorders>
              <w:bottom w:val="single" w:sz="4" w:space="0" w:color="auto"/>
            </w:tcBorders>
          </w:tcPr>
          <w:p w14:paraId="7FC86974" w14:textId="1E8C5BA5"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Scientific element</w:t>
            </w:r>
          </w:p>
        </w:tc>
        <w:tc>
          <w:tcPr>
            <w:tcW w:w="5970" w:type="dxa"/>
          </w:tcPr>
          <w:p w14:paraId="4682841F"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description of the type/design of trial to be conducted (e.g. double-blind, placebo-controlled, parallel design) and a schematic diagram of trial design, procedures and stages.</w:t>
            </w:r>
          </w:p>
        </w:tc>
        <w:tc>
          <w:tcPr>
            <w:tcW w:w="1280" w:type="dxa"/>
            <w:vAlign w:val="center"/>
          </w:tcPr>
          <w:p w14:paraId="18137234"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21</w:t>
            </w:r>
          </w:p>
        </w:tc>
      </w:tr>
      <w:tr w:rsidR="00D52792" w:rsidRPr="00ED2BB7" w14:paraId="60C57945" w14:textId="77777777" w:rsidTr="002D235E">
        <w:tc>
          <w:tcPr>
            <w:tcW w:w="1620" w:type="dxa"/>
            <w:vMerge/>
            <w:tcBorders>
              <w:bottom w:val="single" w:sz="4" w:space="0" w:color="auto"/>
            </w:tcBorders>
          </w:tcPr>
          <w:p w14:paraId="502D2799"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tcPr>
          <w:p w14:paraId="6F5508AC"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number of subjects planned to be enrolled.</w:t>
            </w:r>
          </w:p>
        </w:tc>
        <w:tc>
          <w:tcPr>
            <w:tcW w:w="1280" w:type="dxa"/>
            <w:vAlign w:val="center"/>
          </w:tcPr>
          <w:p w14:paraId="2C3AA47F"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20</w:t>
            </w:r>
          </w:p>
        </w:tc>
      </w:tr>
      <w:tr w:rsidR="00D52792" w:rsidRPr="00ED2BB7" w14:paraId="63E63A09" w14:textId="77777777" w:rsidTr="002D235E">
        <w:tc>
          <w:tcPr>
            <w:tcW w:w="1620" w:type="dxa"/>
            <w:vMerge/>
            <w:tcBorders>
              <w:bottom w:val="single" w:sz="4" w:space="0" w:color="auto"/>
            </w:tcBorders>
          </w:tcPr>
          <w:p w14:paraId="12CA43CE"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tcPr>
          <w:p w14:paraId="7497F359"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objectives and the purpose of the trial.</w:t>
            </w:r>
          </w:p>
        </w:tc>
        <w:tc>
          <w:tcPr>
            <w:tcW w:w="1280" w:type="dxa"/>
            <w:vAlign w:val="center"/>
          </w:tcPr>
          <w:p w14:paraId="045FA269"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13</w:t>
            </w:r>
          </w:p>
        </w:tc>
      </w:tr>
      <w:tr w:rsidR="00D52792" w:rsidRPr="00ED2BB7" w14:paraId="0D9A84AB" w14:textId="77777777" w:rsidTr="002D235E">
        <w:tc>
          <w:tcPr>
            <w:tcW w:w="1620" w:type="dxa"/>
            <w:vMerge/>
            <w:tcBorders>
              <w:bottom w:val="single" w:sz="4" w:space="0" w:color="auto"/>
            </w:tcBorders>
          </w:tcPr>
          <w:p w14:paraId="124D4556"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tcBorders>
              <w:bottom w:val="single" w:sz="4" w:space="0" w:color="auto"/>
            </w:tcBorders>
          </w:tcPr>
          <w:p w14:paraId="3969B475"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description of the measures taken to minimise/avoid bias.</w:t>
            </w:r>
          </w:p>
          <w:p w14:paraId="273CB988"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(a) Randomisation. (b) Blinding</w:t>
            </w:r>
          </w:p>
        </w:tc>
        <w:tc>
          <w:tcPr>
            <w:tcW w:w="1280" w:type="dxa"/>
            <w:tcBorders>
              <w:bottom w:val="single" w:sz="4" w:space="0" w:color="auto"/>
            </w:tcBorders>
            <w:vAlign w:val="center"/>
          </w:tcPr>
          <w:p w14:paraId="5FA665C1"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11</w:t>
            </w:r>
          </w:p>
        </w:tc>
      </w:tr>
      <w:tr w:rsidR="00D52792" w:rsidRPr="00ED2BB7" w14:paraId="56C58C6D" w14:textId="77777777" w:rsidTr="002D235E">
        <w:tc>
          <w:tcPr>
            <w:tcW w:w="1620" w:type="dxa"/>
            <w:vMerge/>
            <w:tcBorders>
              <w:bottom w:val="single" w:sz="4" w:space="0" w:color="auto"/>
            </w:tcBorders>
          </w:tcPr>
          <w:p w14:paraId="7BE048A4"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tcBorders>
              <w:bottom w:val="single" w:sz="4" w:space="0" w:color="auto"/>
            </w:tcBorders>
            <w:vAlign w:val="center"/>
          </w:tcPr>
          <w:p w14:paraId="664FC871"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description of the population to be studied.</w:t>
            </w:r>
          </w:p>
        </w:tc>
        <w:tc>
          <w:tcPr>
            <w:tcW w:w="1280" w:type="dxa"/>
            <w:tcBorders>
              <w:bottom w:val="single" w:sz="4" w:space="0" w:color="auto"/>
            </w:tcBorders>
            <w:vAlign w:val="center"/>
          </w:tcPr>
          <w:p w14:paraId="1DC98379"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10</w:t>
            </w:r>
          </w:p>
        </w:tc>
      </w:tr>
      <w:tr w:rsidR="00D52792" w:rsidRPr="00ED2BB7" w14:paraId="21C9B8E2" w14:textId="77777777" w:rsidTr="002D235E">
        <w:tc>
          <w:tcPr>
            <w:tcW w:w="1620" w:type="dxa"/>
            <w:vMerge/>
            <w:tcBorders>
              <w:bottom w:val="single" w:sz="4" w:space="0" w:color="auto"/>
            </w:tcBorders>
          </w:tcPr>
          <w:p w14:paraId="73A918C5"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tcBorders>
              <w:top w:val="single" w:sz="4" w:space="0" w:color="auto"/>
            </w:tcBorders>
            <w:vAlign w:val="center"/>
          </w:tcPr>
          <w:p w14:paraId="39284257"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summary of the known and potential risks and benefits, if any, to human subjects.</w:t>
            </w:r>
          </w:p>
        </w:tc>
        <w:tc>
          <w:tcPr>
            <w:tcW w:w="1280" w:type="dxa"/>
            <w:tcBorders>
              <w:top w:val="single" w:sz="4" w:space="0" w:color="auto"/>
            </w:tcBorders>
            <w:vAlign w:val="center"/>
          </w:tcPr>
          <w:p w14:paraId="5885D859"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8</w:t>
            </w:r>
          </w:p>
        </w:tc>
      </w:tr>
      <w:tr w:rsidR="00D52792" w:rsidRPr="00ED2BB7" w14:paraId="47893DE0" w14:textId="77777777" w:rsidTr="002D235E">
        <w:tc>
          <w:tcPr>
            <w:tcW w:w="1620" w:type="dxa"/>
            <w:vMerge/>
            <w:tcBorders>
              <w:bottom w:val="single" w:sz="4" w:space="0" w:color="auto"/>
            </w:tcBorders>
          </w:tcPr>
          <w:p w14:paraId="52C674D1"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vAlign w:val="center"/>
          </w:tcPr>
          <w:p w14:paraId="227C510A"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description of and justification for the route of administration, dosage, dosage regimen, and treatment period(s).</w:t>
            </w:r>
          </w:p>
        </w:tc>
        <w:tc>
          <w:tcPr>
            <w:tcW w:w="1280" w:type="dxa"/>
            <w:vMerge w:val="restart"/>
            <w:vAlign w:val="center"/>
          </w:tcPr>
          <w:p w14:paraId="163DC1AE"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7</w:t>
            </w:r>
          </w:p>
          <w:p w14:paraId="5A3BE9E8"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4CCD900C" w14:textId="77777777" w:rsidTr="002D235E">
        <w:tc>
          <w:tcPr>
            <w:tcW w:w="1620" w:type="dxa"/>
            <w:vMerge/>
            <w:tcBorders>
              <w:bottom w:val="single" w:sz="4" w:space="0" w:color="auto"/>
            </w:tcBorders>
          </w:tcPr>
          <w:p w14:paraId="771796FC"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vAlign w:val="center"/>
          </w:tcPr>
          <w:p w14:paraId="5F082EDE"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 xml:space="preserve">The description of the statistical methods to be employed, including timing of any planned interim </w:t>
            </w:r>
            <w:proofErr w:type="gramStart"/>
            <w:r w:rsidRPr="00ED2BB7">
              <w:rPr>
                <w:rFonts w:ascii="Times New Roman" w:hAnsi="Times New Roman" w:cs="Times New Roman"/>
                <w:sz w:val="24"/>
                <w:szCs w:val="24"/>
                <w:lang w:val="en-GB"/>
              </w:rPr>
              <w:t>analysis(</w:t>
            </w:r>
            <w:proofErr w:type="spellStart"/>
            <w:proofErr w:type="gramEnd"/>
            <w:r w:rsidRPr="00ED2BB7">
              <w:rPr>
                <w:rFonts w:ascii="Times New Roman" w:hAnsi="Times New Roman" w:cs="Times New Roman"/>
                <w:sz w:val="24"/>
                <w:szCs w:val="24"/>
                <w:lang w:val="en-GB"/>
              </w:rPr>
              <w:t>ses</w:t>
            </w:r>
            <w:proofErr w:type="spellEnd"/>
            <w:r w:rsidRPr="00ED2BB7">
              <w:rPr>
                <w:rFonts w:ascii="Times New Roman" w:hAnsi="Times New Roman" w:cs="Times New Roman"/>
                <w:sz w:val="24"/>
                <w:szCs w:val="24"/>
                <w:lang w:val="en-GB"/>
              </w:rPr>
              <w:t>).</w:t>
            </w:r>
          </w:p>
        </w:tc>
        <w:tc>
          <w:tcPr>
            <w:tcW w:w="1280" w:type="dxa"/>
            <w:vMerge/>
            <w:vAlign w:val="center"/>
          </w:tcPr>
          <w:p w14:paraId="57FAD516"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71C68FFA" w14:textId="77777777" w:rsidTr="002D235E">
        <w:tc>
          <w:tcPr>
            <w:tcW w:w="1620" w:type="dxa"/>
            <w:vMerge/>
            <w:tcBorders>
              <w:bottom w:val="single" w:sz="4" w:space="0" w:color="auto"/>
            </w:tcBorders>
          </w:tcPr>
          <w:p w14:paraId="051BFB26"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vAlign w:val="center"/>
          </w:tcPr>
          <w:p w14:paraId="1D7E8BAB"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name and description of the investigational product(s).</w:t>
            </w:r>
          </w:p>
        </w:tc>
        <w:tc>
          <w:tcPr>
            <w:tcW w:w="1280" w:type="dxa"/>
            <w:vAlign w:val="center"/>
          </w:tcPr>
          <w:p w14:paraId="1AC0CEB4"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5</w:t>
            </w:r>
          </w:p>
        </w:tc>
      </w:tr>
      <w:tr w:rsidR="00D52792" w:rsidRPr="00ED2BB7" w14:paraId="06BEA3D0" w14:textId="77777777" w:rsidTr="002D235E">
        <w:tc>
          <w:tcPr>
            <w:tcW w:w="1620" w:type="dxa"/>
            <w:vMerge/>
            <w:tcBorders>
              <w:bottom w:val="single" w:sz="4" w:space="0" w:color="auto"/>
            </w:tcBorders>
          </w:tcPr>
          <w:p w14:paraId="698E59B0"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vAlign w:val="center"/>
          </w:tcPr>
          <w:p w14:paraId="1513961F"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references to literature and data that are relevant to the trial and that provide background for the trial.</w:t>
            </w:r>
          </w:p>
        </w:tc>
        <w:tc>
          <w:tcPr>
            <w:tcW w:w="1280" w:type="dxa"/>
            <w:vMerge w:val="restart"/>
            <w:vAlign w:val="center"/>
          </w:tcPr>
          <w:p w14:paraId="2B72ED4B" w14:textId="77777777" w:rsidR="00924764" w:rsidRPr="00ED2BB7" w:rsidRDefault="00924764" w:rsidP="00ED2BB7">
            <w:pPr>
              <w:spacing w:after="240" w:line="240" w:lineRule="auto"/>
              <w:rPr>
                <w:rFonts w:ascii="Times New Roman" w:hAnsi="Times New Roman" w:cs="Times New Roman"/>
                <w:sz w:val="24"/>
                <w:szCs w:val="24"/>
                <w:lang w:val="en-GB"/>
              </w:rPr>
            </w:pPr>
          </w:p>
          <w:p w14:paraId="73061B67" w14:textId="77777777" w:rsidR="00924764" w:rsidRPr="00ED2BB7" w:rsidRDefault="00924764" w:rsidP="00ED2BB7">
            <w:pPr>
              <w:spacing w:after="240" w:line="240" w:lineRule="auto"/>
              <w:rPr>
                <w:rFonts w:ascii="Times New Roman" w:hAnsi="Times New Roman" w:cs="Times New Roman"/>
                <w:sz w:val="24"/>
                <w:szCs w:val="24"/>
                <w:lang w:val="en-GB"/>
              </w:rPr>
            </w:pPr>
          </w:p>
          <w:p w14:paraId="4C56315C"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3</w:t>
            </w:r>
          </w:p>
          <w:p w14:paraId="21B0627A"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672F003F" w14:textId="77777777" w:rsidTr="002D235E">
        <w:tc>
          <w:tcPr>
            <w:tcW w:w="1620" w:type="dxa"/>
            <w:vMerge/>
            <w:tcBorders>
              <w:bottom w:val="single" w:sz="4" w:space="0" w:color="auto"/>
            </w:tcBorders>
          </w:tcPr>
          <w:p w14:paraId="5A9F0C99"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vAlign w:val="center"/>
          </w:tcPr>
          <w:p w14:paraId="22B31F9A"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specific statement of the primary endpoints and the secondary endpoints.</w:t>
            </w:r>
          </w:p>
        </w:tc>
        <w:tc>
          <w:tcPr>
            <w:tcW w:w="1280" w:type="dxa"/>
            <w:vMerge/>
          </w:tcPr>
          <w:p w14:paraId="4CD01E80"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0E12F5FE" w14:textId="77777777" w:rsidTr="002D235E">
        <w:tc>
          <w:tcPr>
            <w:tcW w:w="1620" w:type="dxa"/>
            <w:vMerge/>
            <w:tcBorders>
              <w:bottom w:val="single" w:sz="4" w:space="0" w:color="auto"/>
            </w:tcBorders>
          </w:tcPr>
          <w:p w14:paraId="1129525F"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vAlign w:val="center"/>
          </w:tcPr>
          <w:p w14:paraId="7949C60C"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description of the trial treatment(s) and the dosage and dosage regimen of the investigational product(s), also include a description of the dosage form, packaging, and labelling of the investigational product(s).</w:t>
            </w:r>
          </w:p>
        </w:tc>
        <w:tc>
          <w:tcPr>
            <w:tcW w:w="1280" w:type="dxa"/>
            <w:vMerge/>
          </w:tcPr>
          <w:p w14:paraId="1E3FBBC3"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16427231" w14:textId="77777777" w:rsidTr="002D235E">
        <w:tc>
          <w:tcPr>
            <w:tcW w:w="1620" w:type="dxa"/>
            <w:vMerge/>
            <w:tcBorders>
              <w:bottom w:val="single" w:sz="4" w:space="0" w:color="auto"/>
            </w:tcBorders>
          </w:tcPr>
          <w:p w14:paraId="0873D610"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vAlign w:val="center"/>
          </w:tcPr>
          <w:p w14:paraId="5EE7CD8C"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expected duration of subject participation, and a description of the sequence and duration of all trial periods, including follow- up (if any).</w:t>
            </w:r>
          </w:p>
        </w:tc>
        <w:tc>
          <w:tcPr>
            <w:tcW w:w="1280" w:type="dxa"/>
            <w:vMerge/>
          </w:tcPr>
          <w:p w14:paraId="7DC5545D"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2397EA99" w14:textId="77777777" w:rsidTr="002D235E">
        <w:tc>
          <w:tcPr>
            <w:tcW w:w="1620" w:type="dxa"/>
            <w:vMerge/>
            <w:tcBorders>
              <w:bottom w:val="single" w:sz="4" w:space="0" w:color="auto"/>
            </w:tcBorders>
          </w:tcPr>
          <w:p w14:paraId="0E2385C4"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vAlign w:val="center"/>
          </w:tcPr>
          <w:p w14:paraId="03CF5A04"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medication(s)/treatment(s) permitted (including rescue medication) and not permitted before and/or during the trial.</w:t>
            </w:r>
          </w:p>
        </w:tc>
        <w:tc>
          <w:tcPr>
            <w:tcW w:w="1280" w:type="dxa"/>
            <w:vMerge/>
          </w:tcPr>
          <w:p w14:paraId="44BD0C91"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78025062" w14:textId="77777777" w:rsidTr="002D235E">
        <w:tc>
          <w:tcPr>
            <w:tcW w:w="1620" w:type="dxa"/>
            <w:vMerge/>
            <w:tcBorders>
              <w:bottom w:val="single" w:sz="4" w:space="0" w:color="auto"/>
            </w:tcBorders>
          </w:tcPr>
          <w:p w14:paraId="160FB3D8"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vAlign w:val="center"/>
          </w:tcPr>
          <w:p w14:paraId="73732B26"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specification of safety parameters.</w:t>
            </w:r>
          </w:p>
        </w:tc>
        <w:tc>
          <w:tcPr>
            <w:tcW w:w="1280" w:type="dxa"/>
            <w:vMerge/>
          </w:tcPr>
          <w:p w14:paraId="244B4E29"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13509E63" w14:textId="77777777" w:rsidTr="002D235E">
        <w:tc>
          <w:tcPr>
            <w:tcW w:w="1620" w:type="dxa"/>
            <w:vMerge/>
            <w:tcBorders>
              <w:bottom w:val="single" w:sz="4" w:space="0" w:color="auto"/>
            </w:tcBorders>
          </w:tcPr>
          <w:p w14:paraId="0BD2C979"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vAlign w:val="center"/>
          </w:tcPr>
          <w:p w14:paraId="3087E2D3"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 xml:space="preserve">The summary of findings from nonclinical studies that potentially have clinical significance and from clinical </w:t>
            </w:r>
            <w:r w:rsidRPr="00ED2BB7">
              <w:rPr>
                <w:rFonts w:ascii="Times New Roman" w:hAnsi="Times New Roman" w:cs="Times New Roman"/>
                <w:sz w:val="24"/>
                <w:szCs w:val="24"/>
                <w:lang w:val="en-GB"/>
              </w:rPr>
              <w:lastRenderedPageBreak/>
              <w:t>trials that are relevant to the trial.</w:t>
            </w:r>
          </w:p>
        </w:tc>
        <w:tc>
          <w:tcPr>
            <w:tcW w:w="1280" w:type="dxa"/>
            <w:vMerge w:val="restart"/>
            <w:vAlign w:val="center"/>
          </w:tcPr>
          <w:p w14:paraId="68159782" w14:textId="77777777" w:rsidR="00924764" w:rsidRPr="00ED2BB7" w:rsidRDefault="00924764" w:rsidP="00ED2BB7">
            <w:pPr>
              <w:spacing w:after="240" w:line="240" w:lineRule="auto"/>
              <w:rPr>
                <w:rFonts w:ascii="Times New Roman" w:hAnsi="Times New Roman" w:cs="Times New Roman"/>
                <w:sz w:val="24"/>
                <w:szCs w:val="24"/>
                <w:lang w:val="en-GB"/>
              </w:rPr>
            </w:pPr>
          </w:p>
          <w:p w14:paraId="1F6254C8" w14:textId="77777777" w:rsidR="00924764" w:rsidRPr="00ED2BB7" w:rsidRDefault="00924764" w:rsidP="00ED2BB7">
            <w:pPr>
              <w:spacing w:after="240" w:line="240" w:lineRule="auto"/>
              <w:rPr>
                <w:rFonts w:ascii="Times New Roman" w:hAnsi="Times New Roman" w:cs="Times New Roman"/>
                <w:sz w:val="24"/>
                <w:szCs w:val="24"/>
                <w:lang w:val="en-GB"/>
              </w:rPr>
            </w:pPr>
          </w:p>
          <w:p w14:paraId="1A5B4E7B" w14:textId="77777777" w:rsidR="00924764" w:rsidRPr="00ED2BB7" w:rsidRDefault="00924764" w:rsidP="00ED2BB7">
            <w:pPr>
              <w:spacing w:after="240" w:line="240" w:lineRule="auto"/>
              <w:rPr>
                <w:rFonts w:ascii="Times New Roman" w:hAnsi="Times New Roman" w:cs="Times New Roman"/>
                <w:sz w:val="24"/>
                <w:szCs w:val="24"/>
                <w:lang w:val="en-GB"/>
              </w:rPr>
            </w:pPr>
          </w:p>
          <w:p w14:paraId="3BDE85A6"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2</w:t>
            </w:r>
          </w:p>
          <w:p w14:paraId="62B9F749"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6A12300D" w14:textId="77777777" w:rsidTr="002D235E">
        <w:trPr>
          <w:trHeight w:val="550"/>
        </w:trPr>
        <w:tc>
          <w:tcPr>
            <w:tcW w:w="1620" w:type="dxa"/>
            <w:vMerge/>
            <w:tcBorders>
              <w:bottom w:val="single" w:sz="4" w:space="0" w:color="auto"/>
            </w:tcBorders>
          </w:tcPr>
          <w:p w14:paraId="16D900E7"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vAlign w:val="center"/>
          </w:tcPr>
          <w:p w14:paraId="1E045598"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maintenance of trial treatment randomisation codes and procedures for breaking code.</w:t>
            </w:r>
          </w:p>
        </w:tc>
        <w:tc>
          <w:tcPr>
            <w:tcW w:w="1280" w:type="dxa"/>
            <w:vMerge/>
          </w:tcPr>
          <w:p w14:paraId="27545A1F"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4E6413C2" w14:textId="77777777" w:rsidTr="002D235E">
        <w:trPr>
          <w:trHeight w:val="558"/>
        </w:trPr>
        <w:tc>
          <w:tcPr>
            <w:tcW w:w="1620" w:type="dxa"/>
            <w:vMerge/>
            <w:tcBorders>
              <w:bottom w:val="single" w:sz="4" w:space="0" w:color="auto"/>
            </w:tcBorders>
          </w:tcPr>
          <w:p w14:paraId="56CA45ED"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vAlign w:val="center"/>
          </w:tcPr>
          <w:p w14:paraId="28E981D2"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methods and timing for assessing, recording, and analysing of efficacy parameters.</w:t>
            </w:r>
          </w:p>
        </w:tc>
        <w:tc>
          <w:tcPr>
            <w:tcW w:w="1280" w:type="dxa"/>
            <w:vMerge/>
          </w:tcPr>
          <w:p w14:paraId="21261E45"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5FE1E47A" w14:textId="77777777" w:rsidTr="00BA1F98">
        <w:tc>
          <w:tcPr>
            <w:tcW w:w="1620" w:type="dxa"/>
            <w:vMerge w:val="restart"/>
            <w:tcBorders>
              <w:top w:val="single" w:sz="4" w:space="0" w:color="auto"/>
            </w:tcBorders>
          </w:tcPr>
          <w:p w14:paraId="7056D962"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Administrative Element</w:t>
            </w:r>
          </w:p>
        </w:tc>
        <w:tc>
          <w:tcPr>
            <w:tcW w:w="5970" w:type="dxa"/>
          </w:tcPr>
          <w:p w14:paraId="4EDE719F"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protocol title, protocol identifying number and date.</w:t>
            </w:r>
          </w:p>
        </w:tc>
        <w:tc>
          <w:tcPr>
            <w:tcW w:w="1280" w:type="dxa"/>
            <w:vAlign w:val="center"/>
          </w:tcPr>
          <w:p w14:paraId="46B9C5B1"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11</w:t>
            </w:r>
          </w:p>
        </w:tc>
      </w:tr>
      <w:tr w:rsidR="00D52792" w:rsidRPr="00ED2BB7" w14:paraId="4D94784B" w14:textId="77777777" w:rsidTr="002D235E">
        <w:tc>
          <w:tcPr>
            <w:tcW w:w="1620" w:type="dxa"/>
            <w:vMerge/>
          </w:tcPr>
          <w:p w14:paraId="7806F99A"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tcPr>
          <w:p w14:paraId="3EA28E9E"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 xml:space="preserve">The name and title of the investigator(s) who </w:t>
            </w:r>
            <w:proofErr w:type="gramStart"/>
            <w:r w:rsidRPr="00ED2BB7">
              <w:rPr>
                <w:rFonts w:ascii="Times New Roman" w:hAnsi="Times New Roman" w:cs="Times New Roman"/>
                <w:sz w:val="24"/>
                <w:szCs w:val="24"/>
                <w:lang w:val="en-GB"/>
              </w:rPr>
              <w:t>is(</w:t>
            </w:r>
            <w:proofErr w:type="gramEnd"/>
            <w:r w:rsidRPr="00ED2BB7">
              <w:rPr>
                <w:rFonts w:ascii="Times New Roman" w:hAnsi="Times New Roman" w:cs="Times New Roman"/>
                <w:sz w:val="24"/>
                <w:szCs w:val="24"/>
                <w:lang w:val="en-GB"/>
              </w:rPr>
              <w:t>are) responsible for conducting the trial, and the address and telephone number(s) of the trial site(s).</w:t>
            </w:r>
          </w:p>
        </w:tc>
        <w:tc>
          <w:tcPr>
            <w:tcW w:w="1280" w:type="dxa"/>
            <w:vAlign w:val="center"/>
          </w:tcPr>
          <w:p w14:paraId="7D461F08"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7</w:t>
            </w:r>
          </w:p>
          <w:p w14:paraId="06217BBB"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435225A6" w14:textId="77777777" w:rsidTr="002D235E">
        <w:tc>
          <w:tcPr>
            <w:tcW w:w="1620" w:type="dxa"/>
            <w:vMerge/>
          </w:tcPr>
          <w:p w14:paraId="53D7BA66"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tcPr>
          <w:p w14:paraId="1616BD24"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publication policy.</w:t>
            </w:r>
          </w:p>
        </w:tc>
        <w:tc>
          <w:tcPr>
            <w:tcW w:w="1280" w:type="dxa"/>
            <w:vAlign w:val="center"/>
          </w:tcPr>
          <w:p w14:paraId="0162B8A4"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5</w:t>
            </w:r>
          </w:p>
        </w:tc>
      </w:tr>
      <w:tr w:rsidR="00D52792" w:rsidRPr="00ED2BB7" w14:paraId="0EC3797A" w14:textId="77777777" w:rsidTr="002D235E">
        <w:tc>
          <w:tcPr>
            <w:tcW w:w="1620" w:type="dxa"/>
            <w:vMerge/>
          </w:tcPr>
          <w:p w14:paraId="417B2261"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tcPr>
          <w:p w14:paraId="2BE2B6B6"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name and address of the sponsor and monitor (if other than the sponsor).</w:t>
            </w:r>
          </w:p>
        </w:tc>
        <w:tc>
          <w:tcPr>
            <w:tcW w:w="1280" w:type="dxa"/>
            <w:vMerge w:val="restart"/>
            <w:vAlign w:val="center"/>
          </w:tcPr>
          <w:p w14:paraId="338824EE" w14:textId="77777777" w:rsidR="00924764" w:rsidRPr="00ED2BB7" w:rsidRDefault="00924764" w:rsidP="00ED2BB7">
            <w:pPr>
              <w:spacing w:after="240" w:line="240" w:lineRule="auto"/>
              <w:rPr>
                <w:rFonts w:ascii="Times New Roman" w:hAnsi="Times New Roman" w:cs="Times New Roman"/>
                <w:sz w:val="24"/>
                <w:szCs w:val="24"/>
                <w:lang w:val="en-GB"/>
              </w:rPr>
            </w:pPr>
          </w:p>
          <w:p w14:paraId="08FD9CE0" w14:textId="77777777" w:rsidR="00924764" w:rsidRPr="00ED2BB7" w:rsidRDefault="00924764" w:rsidP="00ED2BB7">
            <w:pPr>
              <w:spacing w:after="240" w:line="240" w:lineRule="auto"/>
              <w:rPr>
                <w:rFonts w:ascii="Times New Roman" w:hAnsi="Times New Roman" w:cs="Times New Roman"/>
                <w:sz w:val="24"/>
                <w:szCs w:val="24"/>
                <w:lang w:val="en-GB"/>
              </w:rPr>
            </w:pPr>
          </w:p>
          <w:p w14:paraId="0477EBC2"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2</w:t>
            </w:r>
          </w:p>
          <w:p w14:paraId="079C35AA"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36FC82E7" w14:textId="77777777" w:rsidTr="00BA1F98">
        <w:trPr>
          <w:trHeight w:val="812"/>
        </w:trPr>
        <w:tc>
          <w:tcPr>
            <w:tcW w:w="1620" w:type="dxa"/>
            <w:vMerge/>
          </w:tcPr>
          <w:p w14:paraId="7C17F211" w14:textId="77777777" w:rsidR="00924764" w:rsidRPr="00ED2BB7" w:rsidRDefault="00924764" w:rsidP="00ED2BB7">
            <w:pPr>
              <w:spacing w:after="240" w:line="240" w:lineRule="auto"/>
              <w:rPr>
                <w:rFonts w:ascii="Times New Roman" w:hAnsi="Times New Roman" w:cs="Times New Roman"/>
                <w:sz w:val="24"/>
                <w:szCs w:val="24"/>
                <w:lang w:val="en-GB"/>
              </w:rPr>
            </w:pPr>
          </w:p>
        </w:tc>
        <w:tc>
          <w:tcPr>
            <w:tcW w:w="5970" w:type="dxa"/>
          </w:tcPr>
          <w:p w14:paraId="3DAE7195"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 xml:space="preserve">The name(s) and </w:t>
            </w:r>
            <w:proofErr w:type="gramStart"/>
            <w:r w:rsidRPr="00ED2BB7">
              <w:rPr>
                <w:rFonts w:ascii="Times New Roman" w:hAnsi="Times New Roman" w:cs="Times New Roman"/>
                <w:sz w:val="24"/>
                <w:szCs w:val="24"/>
                <w:lang w:val="en-GB"/>
              </w:rPr>
              <w:t>address(</w:t>
            </w:r>
            <w:proofErr w:type="spellStart"/>
            <w:proofErr w:type="gramEnd"/>
            <w:r w:rsidRPr="00ED2BB7">
              <w:rPr>
                <w:rFonts w:ascii="Times New Roman" w:hAnsi="Times New Roman" w:cs="Times New Roman"/>
                <w:sz w:val="24"/>
                <w:szCs w:val="24"/>
                <w:lang w:val="en-GB"/>
              </w:rPr>
              <w:t>es</w:t>
            </w:r>
            <w:proofErr w:type="spellEnd"/>
            <w:r w:rsidRPr="00ED2BB7">
              <w:rPr>
                <w:rFonts w:ascii="Times New Roman" w:hAnsi="Times New Roman" w:cs="Times New Roman"/>
                <w:sz w:val="24"/>
                <w:szCs w:val="24"/>
                <w:lang w:val="en-GB"/>
              </w:rPr>
              <w:t>) of the clinical laboratory(ies) and other medical and/or technical department(s) and/or institutions involved in the trial.</w:t>
            </w:r>
          </w:p>
        </w:tc>
        <w:tc>
          <w:tcPr>
            <w:tcW w:w="1280" w:type="dxa"/>
            <w:vMerge/>
          </w:tcPr>
          <w:p w14:paraId="68484143" w14:textId="77777777" w:rsidR="00924764" w:rsidRPr="00ED2BB7" w:rsidRDefault="00924764" w:rsidP="00ED2BB7">
            <w:pPr>
              <w:spacing w:after="240" w:line="240" w:lineRule="auto"/>
              <w:rPr>
                <w:rFonts w:ascii="Times New Roman" w:hAnsi="Times New Roman" w:cs="Times New Roman"/>
                <w:sz w:val="24"/>
                <w:szCs w:val="24"/>
                <w:lang w:val="en-GB"/>
              </w:rPr>
            </w:pPr>
          </w:p>
        </w:tc>
      </w:tr>
    </w:tbl>
    <w:p w14:paraId="1036B069" w14:textId="77777777" w:rsidR="00924764" w:rsidRPr="00ED2BB7" w:rsidRDefault="00924764" w:rsidP="00ED2BB7">
      <w:pPr>
        <w:spacing w:after="240" w:line="240" w:lineRule="auto"/>
        <w:rPr>
          <w:rFonts w:ascii="Times New Roman" w:hAnsi="Times New Roman" w:cs="Times New Roman"/>
          <w:sz w:val="24"/>
          <w:szCs w:val="24"/>
          <w:lang w:val="en-GB"/>
        </w:rPr>
      </w:pPr>
    </w:p>
    <w:p w14:paraId="1D1A737B" w14:textId="77777777" w:rsidR="00924764" w:rsidRPr="00ED2BB7" w:rsidRDefault="00924764" w:rsidP="00ED2BB7">
      <w:pPr>
        <w:spacing w:after="240" w:line="240" w:lineRule="auto"/>
        <w:rPr>
          <w:rFonts w:ascii="Times New Roman" w:hAnsi="Times New Roman" w:cs="Times New Roman"/>
          <w:sz w:val="24"/>
          <w:szCs w:val="24"/>
          <w:lang w:val="en-GB"/>
        </w:rPr>
      </w:pPr>
    </w:p>
    <w:p w14:paraId="1ACCE62A"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br w:type="page"/>
      </w:r>
    </w:p>
    <w:p w14:paraId="41A6A0BD" w14:textId="139B1B0A" w:rsidR="00924764" w:rsidRPr="00ED2BB7" w:rsidRDefault="00924764" w:rsidP="00ED2BB7">
      <w:pPr>
        <w:spacing w:after="240" w:line="240" w:lineRule="auto"/>
        <w:ind w:left="142" w:right="283"/>
        <w:rPr>
          <w:rFonts w:ascii="Times New Roman" w:hAnsi="Times New Roman" w:cs="Times New Roman"/>
          <w:sz w:val="24"/>
          <w:szCs w:val="24"/>
          <w:lang w:val="en-GB"/>
        </w:rPr>
      </w:pPr>
      <w:r w:rsidRPr="00ED2BB7">
        <w:rPr>
          <w:rFonts w:ascii="Times New Roman" w:hAnsi="Times New Roman" w:cs="Times New Roman"/>
          <w:sz w:val="24"/>
          <w:szCs w:val="24"/>
          <w:lang w:val="en-GB"/>
        </w:rPr>
        <w:lastRenderedPageBreak/>
        <w:t>Table 2. Patient information sheets issues identified by MREC reviewers at initial review of PMPs in 2012</w:t>
      </w:r>
    </w:p>
    <w:tbl>
      <w:tblPr>
        <w:tblW w:w="8910" w:type="dxa"/>
        <w:tblInd w:w="218" w:type="dxa"/>
        <w:tblLook w:val="04A0" w:firstRow="1" w:lastRow="0" w:firstColumn="1" w:lastColumn="0" w:noHBand="0" w:noVBand="1"/>
      </w:tblPr>
      <w:tblGrid>
        <w:gridCol w:w="570"/>
        <w:gridCol w:w="7020"/>
        <w:gridCol w:w="1370"/>
      </w:tblGrid>
      <w:tr w:rsidR="00D52792" w:rsidRPr="00ED2BB7" w14:paraId="5F603315" w14:textId="77777777" w:rsidTr="002D235E">
        <w:trPr>
          <w:trHeight w:val="320"/>
          <w:tblHeader/>
        </w:trPr>
        <w:tc>
          <w:tcPr>
            <w:tcW w:w="520" w:type="dxa"/>
            <w:tcBorders>
              <w:top w:val="single" w:sz="8" w:space="0" w:color="auto"/>
              <w:left w:val="single" w:sz="8" w:space="0" w:color="auto"/>
              <w:bottom w:val="single" w:sz="8" w:space="0" w:color="000000"/>
              <w:right w:val="single" w:sz="8" w:space="0" w:color="auto"/>
            </w:tcBorders>
            <w:vAlign w:val="center"/>
            <w:hideMark/>
          </w:tcPr>
          <w:p w14:paraId="30715771"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b/>
                <w:sz w:val="24"/>
                <w:szCs w:val="24"/>
                <w:lang w:val="en-GB"/>
              </w:rPr>
              <w:t>No.</w:t>
            </w:r>
          </w:p>
        </w:tc>
        <w:tc>
          <w:tcPr>
            <w:tcW w:w="7020" w:type="dxa"/>
            <w:tcBorders>
              <w:top w:val="single" w:sz="4" w:space="0" w:color="auto"/>
              <w:left w:val="nil"/>
              <w:bottom w:val="single" w:sz="8" w:space="0" w:color="auto"/>
              <w:right w:val="single" w:sz="8" w:space="0" w:color="auto"/>
            </w:tcBorders>
            <w:shd w:val="clear" w:color="000000" w:fill="FFFFFF"/>
            <w:noWrap/>
            <w:vAlign w:val="center"/>
            <w:hideMark/>
          </w:tcPr>
          <w:p w14:paraId="0734494B" w14:textId="77777777" w:rsidR="00924764" w:rsidRPr="00ED2BB7" w:rsidRDefault="00924764" w:rsidP="00ED2BB7">
            <w:pPr>
              <w:spacing w:after="240" w:line="240" w:lineRule="auto"/>
              <w:rPr>
                <w:rFonts w:ascii="Times New Roman" w:hAnsi="Times New Roman" w:cs="Times New Roman"/>
                <w:b/>
                <w:sz w:val="24"/>
                <w:szCs w:val="24"/>
                <w:lang w:val="en-GB"/>
              </w:rPr>
            </w:pPr>
          </w:p>
          <w:p w14:paraId="7BEC8168" w14:textId="77777777" w:rsidR="00924764" w:rsidRPr="00ED2BB7" w:rsidRDefault="00924764" w:rsidP="00ED2BB7">
            <w:pPr>
              <w:spacing w:after="240" w:line="240" w:lineRule="auto"/>
              <w:rPr>
                <w:rFonts w:ascii="Times New Roman" w:hAnsi="Times New Roman" w:cs="Times New Roman"/>
                <w:b/>
                <w:sz w:val="24"/>
                <w:szCs w:val="24"/>
                <w:lang w:val="en-GB"/>
              </w:rPr>
            </w:pPr>
            <w:r w:rsidRPr="00ED2BB7">
              <w:rPr>
                <w:rFonts w:ascii="Times New Roman" w:hAnsi="Times New Roman" w:cs="Times New Roman"/>
                <w:b/>
                <w:sz w:val="24"/>
                <w:szCs w:val="24"/>
                <w:lang w:val="en-GB"/>
              </w:rPr>
              <w:t>Issues</w:t>
            </w:r>
          </w:p>
          <w:p w14:paraId="3B2D77B4" w14:textId="77777777" w:rsidR="00924764" w:rsidRPr="00ED2BB7" w:rsidRDefault="00924764" w:rsidP="00ED2BB7">
            <w:pPr>
              <w:spacing w:after="240" w:line="240" w:lineRule="auto"/>
              <w:rPr>
                <w:rFonts w:ascii="Times New Roman" w:hAnsi="Times New Roman" w:cs="Times New Roman"/>
                <w:b/>
                <w:sz w:val="24"/>
                <w:szCs w:val="24"/>
                <w:lang w:val="en-GB"/>
              </w:rPr>
            </w:pPr>
          </w:p>
        </w:tc>
        <w:tc>
          <w:tcPr>
            <w:tcW w:w="1370" w:type="dxa"/>
            <w:tcBorders>
              <w:top w:val="single" w:sz="8" w:space="0" w:color="auto"/>
              <w:left w:val="single" w:sz="8" w:space="0" w:color="auto"/>
              <w:bottom w:val="single" w:sz="8" w:space="0" w:color="000000"/>
              <w:right w:val="single" w:sz="8" w:space="0" w:color="auto"/>
            </w:tcBorders>
            <w:vAlign w:val="center"/>
            <w:hideMark/>
          </w:tcPr>
          <w:p w14:paraId="5A561738" w14:textId="77777777" w:rsidR="00924764" w:rsidRPr="00ED2BB7" w:rsidRDefault="00924764" w:rsidP="00ED2BB7">
            <w:pPr>
              <w:spacing w:after="240" w:line="240" w:lineRule="auto"/>
              <w:rPr>
                <w:rFonts w:ascii="Times New Roman" w:hAnsi="Times New Roman" w:cs="Times New Roman"/>
                <w:sz w:val="24"/>
                <w:szCs w:val="24"/>
                <w:lang w:val="en-GB"/>
              </w:rPr>
            </w:pPr>
          </w:p>
          <w:p w14:paraId="33C5AF96" w14:textId="77777777" w:rsidR="00924764" w:rsidRPr="00ED2BB7" w:rsidRDefault="00924764" w:rsidP="00ED2BB7">
            <w:pPr>
              <w:spacing w:after="240" w:line="240" w:lineRule="auto"/>
              <w:rPr>
                <w:rFonts w:ascii="Times New Roman" w:hAnsi="Times New Roman" w:cs="Times New Roman"/>
                <w:b/>
                <w:sz w:val="24"/>
                <w:szCs w:val="24"/>
                <w:lang w:val="en-GB"/>
              </w:rPr>
            </w:pPr>
            <w:r w:rsidRPr="00ED2BB7">
              <w:rPr>
                <w:rFonts w:ascii="Times New Roman" w:hAnsi="Times New Roman" w:cs="Times New Roman"/>
                <w:b/>
                <w:sz w:val="24"/>
                <w:szCs w:val="24"/>
                <w:lang w:val="en-GB"/>
              </w:rPr>
              <w:t>Rate of Error (%)</w:t>
            </w:r>
          </w:p>
          <w:p w14:paraId="41EDEB14"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113C9C05" w14:textId="77777777" w:rsidTr="00E71238">
        <w:trPr>
          <w:trHeight w:val="427"/>
        </w:trPr>
        <w:tc>
          <w:tcPr>
            <w:tcW w:w="520" w:type="dxa"/>
            <w:tcBorders>
              <w:top w:val="nil"/>
              <w:left w:val="single" w:sz="8" w:space="0" w:color="auto"/>
              <w:bottom w:val="single" w:sz="8" w:space="0" w:color="auto"/>
              <w:right w:val="single" w:sz="8" w:space="0" w:color="auto"/>
            </w:tcBorders>
            <w:shd w:val="clear" w:color="000000" w:fill="FFFFFF"/>
            <w:noWrap/>
            <w:vAlign w:val="center"/>
            <w:hideMark/>
          </w:tcPr>
          <w:p w14:paraId="08949E26" w14:textId="77777777" w:rsidR="00924764" w:rsidRPr="00ED2BB7" w:rsidRDefault="00924764" w:rsidP="00ED2BB7">
            <w:pPr>
              <w:pStyle w:val="ListParagraph"/>
              <w:numPr>
                <w:ilvl w:val="0"/>
                <w:numId w:val="4"/>
              </w:numPr>
              <w:spacing w:after="240" w:line="240" w:lineRule="auto"/>
              <w:rPr>
                <w:rFonts w:ascii="Times New Roman" w:hAnsi="Times New Roman" w:cs="Times New Roman"/>
                <w:sz w:val="24"/>
                <w:szCs w:val="24"/>
                <w:lang w:val="en-GB"/>
              </w:rPr>
            </w:pPr>
          </w:p>
        </w:tc>
        <w:tc>
          <w:tcPr>
            <w:tcW w:w="7020" w:type="dxa"/>
            <w:tcBorders>
              <w:top w:val="nil"/>
              <w:left w:val="nil"/>
              <w:bottom w:val="single" w:sz="8" w:space="0" w:color="auto"/>
              <w:right w:val="single" w:sz="8" w:space="0" w:color="auto"/>
            </w:tcBorders>
            <w:shd w:val="clear" w:color="000000" w:fill="FFFFFF"/>
            <w:vAlign w:val="center"/>
            <w:hideMark/>
          </w:tcPr>
          <w:p w14:paraId="4883D266"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consent form does not clearly state the compensation and/or treatment available to the subject, in the event of trial related injury.</w:t>
            </w:r>
          </w:p>
        </w:tc>
        <w:tc>
          <w:tcPr>
            <w:tcW w:w="1370" w:type="dxa"/>
            <w:tcBorders>
              <w:top w:val="nil"/>
              <w:left w:val="nil"/>
              <w:bottom w:val="single" w:sz="8" w:space="0" w:color="auto"/>
              <w:right w:val="single" w:sz="8" w:space="0" w:color="auto"/>
            </w:tcBorders>
            <w:shd w:val="clear" w:color="000000" w:fill="FFFFFF"/>
            <w:noWrap/>
            <w:vAlign w:val="center"/>
            <w:hideMark/>
          </w:tcPr>
          <w:p w14:paraId="042B6E8C"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16</w:t>
            </w:r>
          </w:p>
        </w:tc>
      </w:tr>
      <w:tr w:rsidR="00D52792" w:rsidRPr="00ED2BB7" w14:paraId="7EF7B0F2" w14:textId="77777777" w:rsidTr="00E71238">
        <w:trPr>
          <w:trHeight w:val="463"/>
        </w:trPr>
        <w:tc>
          <w:tcPr>
            <w:tcW w:w="520" w:type="dxa"/>
            <w:tcBorders>
              <w:top w:val="nil"/>
              <w:left w:val="single" w:sz="8" w:space="0" w:color="auto"/>
              <w:bottom w:val="single" w:sz="8" w:space="0" w:color="auto"/>
              <w:right w:val="single" w:sz="8" w:space="0" w:color="auto"/>
            </w:tcBorders>
            <w:shd w:val="clear" w:color="000000" w:fill="FFFFFF"/>
            <w:noWrap/>
            <w:vAlign w:val="center"/>
            <w:hideMark/>
          </w:tcPr>
          <w:p w14:paraId="5D3A3745" w14:textId="77777777" w:rsidR="00924764" w:rsidRPr="00ED2BB7" w:rsidRDefault="00924764" w:rsidP="00ED2BB7">
            <w:pPr>
              <w:pStyle w:val="ListParagraph"/>
              <w:numPr>
                <w:ilvl w:val="0"/>
                <w:numId w:val="4"/>
              </w:numPr>
              <w:spacing w:after="240" w:line="240" w:lineRule="auto"/>
              <w:rPr>
                <w:rFonts w:ascii="Times New Roman" w:hAnsi="Times New Roman" w:cs="Times New Roman"/>
                <w:sz w:val="24"/>
                <w:szCs w:val="24"/>
                <w:lang w:val="en-GB"/>
              </w:rPr>
            </w:pPr>
          </w:p>
        </w:tc>
        <w:tc>
          <w:tcPr>
            <w:tcW w:w="7020" w:type="dxa"/>
            <w:tcBorders>
              <w:top w:val="nil"/>
              <w:left w:val="nil"/>
              <w:bottom w:val="single" w:sz="8" w:space="0" w:color="auto"/>
              <w:right w:val="single" w:sz="8" w:space="0" w:color="auto"/>
            </w:tcBorders>
            <w:shd w:val="clear" w:color="000000" w:fill="FFFFFF"/>
            <w:vAlign w:val="center"/>
            <w:hideMark/>
          </w:tcPr>
          <w:p w14:paraId="1D672889"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anticipated expenses, if any, to the subject for participating in the trial is not mentioned clearly.</w:t>
            </w:r>
          </w:p>
        </w:tc>
        <w:tc>
          <w:tcPr>
            <w:tcW w:w="1370" w:type="dxa"/>
            <w:tcBorders>
              <w:top w:val="nil"/>
              <w:left w:val="nil"/>
              <w:bottom w:val="single" w:sz="8" w:space="0" w:color="auto"/>
              <w:right w:val="single" w:sz="8" w:space="0" w:color="auto"/>
            </w:tcBorders>
            <w:shd w:val="clear" w:color="000000" w:fill="FFFFFF"/>
            <w:noWrap/>
            <w:vAlign w:val="center"/>
            <w:hideMark/>
          </w:tcPr>
          <w:p w14:paraId="198ADAC7"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15</w:t>
            </w:r>
          </w:p>
        </w:tc>
      </w:tr>
      <w:tr w:rsidR="00D52792" w:rsidRPr="00ED2BB7" w14:paraId="59BE54B6" w14:textId="77777777" w:rsidTr="00E71238">
        <w:trPr>
          <w:trHeight w:val="499"/>
        </w:trPr>
        <w:tc>
          <w:tcPr>
            <w:tcW w:w="520" w:type="dxa"/>
            <w:tcBorders>
              <w:top w:val="nil"/>
              <w:left w:val="single" w:sz="8" w:space="0" w:color="auto"/>
              <w:bottom w:val="single" w:sz="8" w:space="0" w:color="auto"/>
              <w:right w:val="single" w:sz="8" w:space="0" w:color="auto"/>
            </w:tcBorders>
            <w:shd w:val="clear" w:color="000000" w:fill="FFFFFF"/>
            <w:noWrap/>
            <w:vAlign w:val="center"/>
            <w:hideMark/>
          </w:tcPr>
          <w:p w14:paraId="7F4C3E01" w14:textId="77777777" w:rsidR="00924764" w:rsidRPr="00ED2BB7" w:rsidRDefault="00924764" w:rsidP="00ED2BB7">
            <w:pPr>
              <w:pStyle w:val="ListParagraph"/>
              <w:numPr>
                <w:ilvl w:val="0"/>
                <w:numId w:val="4"/>
              </w:numPr>
              <w:spacing w:after="240" w:line="240" w:lineRule="auto"/>
              <w:rPr>
                <w:rFonts w:ascii="Times New Roman" w:hAnsi="Times New Roman" w:cs="Times New Roman"/>
                <w:sz w:val="24"/>
                <w:szCs w:val="24"/>
                <w:lang w:val="en-GB"/>
              </w:rPr>
            </w:pPr>
          </w:p>
        </w:tc>
        <w:tc>
          <w:tcPr>
            <w:tcW w:w="7020" w:type="dxa"/>
            <w:tcBorders>
              <w:top w:val="nil"/>
              <w:left w:val="nil"/>
              <w:bottom w:val="single" w:sz="8" w:space="0" w:color="auto"/>
              <w:right w:val="single" w:sz="8" w:space="0" w:color="auto"/>
            </w:tcBorders>
            <w:shd w:val="clear" w:color="000000" w:fill="FFFFFF"/>
            <w:vAlign w:val="center"/>
            <w:hideMark/>
          </w:tcPr>
          <w:p w14:paraId="2AF3A393"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 xml:space="preserve">The consent form does not clearly state the approximate number of subjects involved in the trial. </w:t>
            </w:r>
          </w:p>
        </w:tc>
        <w:tc>
          <w:tcPr>
            <w:tcW w:w="1370" w:type="dxa"/>
            <w:tcBorders>
              <w:top w:val="nil"/>
              <w:left w:val="nil"/>
              <w:bottom w:val="single" w:sz="8" w:space="0" w:color="auto"/>
              <w:right w:val="single" w:sz="8" w:space="0" w:color="auto"/>
            </w:tcBorders>
            <w:shd w:val="clear" w:color="000000" w:fill="FFFFFF"/>
            <w:noWrap/>
            <w:vAlign w:val="center"/>
            <w:hideMark/>
          </w:tcPr>
          <w:p w14:paraId="5FD717F1"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14</w:t>
            </w:r>
          </w:p>
        </w:tc>
      </w:tr>
      <w:tr w:rsidR="00D52792" w:rsidRPr="00ED2BB7" w14:paraId="5F69C5AE" w14:textId="77777777" w:rsidTr="00E71238">
        <w:trPr>
          <w:trHeight w:val="548"/>
        </w:trPr>
        <w:tc>
          <w:tcPr>
            <w:tcW w:w="520" w:type="dxa"/>
            <w:tcBorders>
              <w:top w:val="nil"/>
              <w:left w:val="single" w:sz="8" w:space="0" w:color="auto"/>
              <w:bottom w:val="single" w:sz="8" w:space="0" w:color="auto"/>
              <w:right w:val="single" w:sz="8" w:space="0" w:color="auto"/>
            </w:tcBorders>
            <w:shd w:val="clear" w:color="000000" w:fill="FFFFFF"/>
            <w:noWrap/>
            <w:vAlign w:val="center"/>
            <w:hideMark/>
          </w:tcPr>
          <w:p w14:paraId="75C4B3FD" w14:textId="77777777" w:rsidR="00924764" w:rsidRPr="00ED2BB7" w:rsidRDefault="00924764" w:rsidP="00ED2BB7">
            <w:pPr>
              <w:pStyle w:val="ListParagraph"/>
              <w:numPr>
                <w:ilvl w:val="0"/>
                <w:numId w:val="4"/>
              </w:numPr>
              <w:spacing w:after="240" w:line="240" w:lineRule="auto"/>
              <w:rPr>
                <w:rFonts w:ascii="Times New Roman" w:hAnsi="Times New Roman" w:cs="Times New Roman"/>
                <w:sz w:val="24"/>
                <w:szCs w:val="24"/>
                <w:lang w:val="en-GB"/>
              </w:rPr>
            </w:pPr>
          </w:p>
        </w:tc>
        <w:tc>
          <w:tcPr>
            <w:tcW w:w="7020" w:type="dxa"/>
            <w:tcBorders>
              <w:top w:val="nil"/>
              <w:left w:val="nil"/>
              <w:bottom w:val="single" w:sz="8" w:space="0" w:color="auto"/>
              <w:right w:val="single" w:sz="8" w:space="0" w:color="auto"/>
            </w:tcBorders>
            <w:shd w:val="clear" w:color="000000" w:fill="FFFFFF"/>
            <w:vAlign w:val="center"/>
            <w:hideMark/>
          </w:tcPr>
          <w:p w14:paraId="1639E401"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consent form does not clearly state the trial treatment(s) and the probability for random assignment to each treatment.</w:t>
            </w:r>
          </w:p>
        </w:tc>
        <w:tc>
          <w:tcPr>
            <w:tcW w:w="1370" w:type="dxa"/>
            <w:vMerge w:val="restart"/>
            <w:tcBorders>
              <w:top w:val="single" w:sz="8" w:space="0" w:color="auto"/>
              <w:left w:val="nil"/>
              <w:bottom w:val="single" w:sz="4" w:space="0" w:color="auto"/>
              <w:right w:val="single" w:sz="8" w:space="0" w:color="auto"/>
            </w:tcBorders>
            <w:shd w:val="clear" w:color="000000" w:fill="FFFFFF"/>
            <w:noWrap/>
            <w:vAlign w:val="center"/>
            <w:hideMark/>
          </w:tcPr>
          <w:p w14:paraId="45ECADD7"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11</w:t>
            </w:r>
          </w:p>
          <w:p w14:paraId="23D5E2C8"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71E4921C" w14:textId="77777777" w:rsidTr="002D235E">
        <w:trPr>
          <w:trHeight w:val="622"/>
        </w:trPr>
        <w:tc>
          <w:tcPr>
            <w:tcW w:w="520" w:type="dxa"/>
            <w:tcBorders>
              <w:top w:val="nil"/>
              <w:left w:val="single" w:sz="8" w:space="0" w:color="auto"/>
              <w:bottom w:val="single" w:sz="8" w:space="0" w:color="auto"/>
              <w:right w:val="single" w:sz="8" w:space="0" w:color="auto"/>
            </w:tcBorders>
            <w:shd w:val="clear" w:color="000000" w:fill="FFFFFF"/>
            <w:noWrap/>
            <w:vAlign w:val="center"/>
            <w:hideMark/>
          </w:tcPr>
          <w:p w14:paraId="77D198CC" w14:textId="77777777" w:rsidR="00924764" w:rsidRPr="00ED2BB7" w:rsidRDefault="00924764" w:rsidP="00ED2BB7">
            <w:pPr>
              <w:pStyle w:val="ListParagraph"/>
              <w:numPr>
                <w:ilvl w:val="0"/>
                <w:numId w:val="4"/>
              </w:numPr>
              <w:spacing w:after="240" w:line="240" w:lineRule="auto"/>
              <w:rPr>
                <w:rFonts w:ascii="Times New Roman" w:hAnsi="Times New Roman" w:cs="Times New Roman"/>
                <w:sz w:val="24"/>
                <w:szCs w:val="24"/>
                <w:lang w:val="en-GB"/>
              </w:rPr>
            </w:pPr>
          </w:p>
        </w:tc>
        <w:tc>
          <w:tcPr>
            <w:tcW w:w="7020" w:type="dxa"/>
            <w:tcBorders>
              <w:top w:val="nil"/>
              <w:left w:val="nil"/>
              <w:bottom w:val="single" w:sz="8" w:space="0" w:color="auto"/>
              <w:right w:val="single" w:sz="8" w:space="0" w:color="auto"/>
            </w:tcBorders>
            <w:shd w:val="clear" w:color="000000" w:fill="FFFFFF"/>
            <w:vAlign w:val="center"/>
            <w:hideMark/>
          </w:tcPr>
          <w:p w14:paraId="3EDFBC3A"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consent form does not clearly state the person(s) to contact for further information regarding the trial and the rights of trial subjects, and whom to contact in the event of the trial-related injury.</w:t>
            </w:r>
          </w:p>
        </w:tc>
        <w:tc>
          <w:tcPr>
            <w:tcW w:w="1370" w:type="dxa"/>
            <w:vMerge/>
            <w:tcBorders>
              <w:left w:val="nil"/>
              <w:bottom w:val="single" w:sz="4" w:space="0" w:color="auto"/>
              <w:right w:val="single" w:sz="8" w:space="0" w:color="auto"/>
            </w:tcBorders>
            <w:shd w:val="clear" w:color="000000" w:fill="FFFFFF"/>
            <w:noWrap/>
            <w:vAlign w:val="center"/>
            <w:hideMark/>
          </w:tcPr>
          <w:p w14:paraId="2844C920"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689888C8" w14:textId="77777777" w:rsidTr="002D235E">
        <w:trPr>
          <w:trHeight w:val="622"/>
        </w:trPr>
        <w:tc>
          <w:tcPr>
            <w:tcW w:w="520" w:type="dxa"/>
            <w:tcBorders>
              <w:top w:val="nil"/>
              <w:left w:val="single" w:sz="8" w:space="0" w:color="auto"/>
              <w:bottom w:val="single" w:sz="8" w:space="0" w:color="auto"/>
              <w:right w:val="single" w:sz="8" w:space="0" w:color="auto"/>
            </w:tcBorders>
            <w:shd w:val="clear" w:color="000000" w:fill="FFFFFF"/>
            <w:noWrap/>
            <w:vAlign w:val="center"/>
            <w:hideMark/>
          </w:tcPr>
          <w:p w14:paraId="68C632EE" w14:textId="77777777" w:rsidR="00924764" w:rsidRPr="00ED2BB7" w:rsidRDefault="00924764" w:rsidP="00ED2BB7">
            <w:pPr>
              <w:pStyle w:val="ListParagraph"/>
              <w:numPr>
                <w:ilvl w:val="0"/>
                <w:numId w:val="4"/>
              </w:numPr>
              <w:spacing w:after="240" w:line="240" w:lineRule="auto"/>
              <w:rPr>
                <w:rFonts w:ascii="Times New Roman" w:hAnsi="Times New Roman" w:cs="Times New Roman"/>
                <w:sz w:val="24"/>
                <w:szCs w:val="24"/>
                <w:lang w:val="en-GB"/>
              </w:rPr>
            </w:pPr>
          </w:p>
        </w:tc>
        <w:tc>
          <w:tcPr>
            <w:tcW w:w="7020" w:type="dxa"/>
            <w:tcBorders>
              <w:top w:val="nil"/>
              <w:left w:val="nil"/>
              <w:bottom w:val="single" w:sz="8" w:space="0" w:color="auto"/>
              <w:right w:val="single" w:sz="8" w:space="0" w:color="auto"/>
            </w:tcBorders>
            <w:shd w:val="clear" w:color="000000" w:fill="FFFFFF"/>
            <w:vAlign w:val="center"/>
            <w:hideMark/>
          </w:tcPr>
          <w:p w14:paraId="169CD0EB"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consent form does not clearly state the trial procedures to be followed, including all invasive procedures.</w:t>
            </w:r>
          </w:p>
        </w:tc>
        <w:tc>
          <w:tcPr>
            <w:tcW w:w="1370" w:type="dxa"/>
            <w:vMerge w:val="restart"/>
            <w:tcBorders>
              <w:top w:val="single" w:sz="4" w:space="0" w:color="auto"/>
              <w:left w:val="nil"/>
              <w:right w:val="single" w:sz="8" w:space="0" w:color="auto"/>
            </w:tcBorders>
            <w:shd w:val="clear" w:color="000000" w:fill="FFFFFF"/>
            <w:noWrap/>
            <w:vAlign w:val="center"/>
            <w:hideMark/>
          </w:tcPr>
          <w:p w14:paraId="190795E6"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10</w:t>
            </w:r>
          </w:p>
          <w:p w14:paraId="530E59D1"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005E4F33" w14:textId="77777777" w:rsidTr="002D235E">
        <w:trPr>
          <w:trHeight w:val="622"/>
        </w:trPr>
        <w:tc>
          <w:tcPr>
            <w:tcW w:w="520" w:type="dxa"/>
            <w:tcBorders>
              <w:top w:val="nil"/>
              <w:left w:val="single" w:sz="8" w:space="0" w:color="auto"/>
              <w:bottom w:val="single" w:sz="8" w:space="0" w:color="auto"/>
              <w:right w:val="single" w:sz="8" w:space="0" w:color="auto"/>
            </w:tcBorders>
            <w:shd w:val="clear" w:color="000000" w:fill="FFFFFF"/>
            <w:noWrap/>
            <w:vAlign w:val="center"/>
            <w:hideMark/>
          </w:tcPr>
          <w:p w14:paraId="3EC4430A" w14:textId="77777777" w:rsidR="00924764" w:rsidRPr="00ED2BB7" w:rsidRDefault="00924764" w:rsidP="00ED2BB7">
            <w:pPr>
              <w:pStyle w:val="ListParagraph"/>
              <w:numPr>
                <w:ilvl w:val="0"/>
                <w:numId w:val="4"/>
              </w:numPr>
              <w:spacing w:after="240" w:line="240" w:lineRule="auto"/>
              <w:rPr>
                <w:rFonts w:ascii="Times New Roman" w:hAnsi="Times New Roman" w:cs="Times New Roman"/>
                <w:sz w:val="24"/>
                <w:szCs w:val="24"/>
                <w:lang w:val="en-GB"/>
              </w:rPr>
            </w:pPr>
          </w:p>
        </w:tc>
        <w:tc>
          <w:tcPr>
            <w:tcW w:w="7020" w:type="dxa"/>
            <w:tcBorders>
              <w:top w:val="nil"/>
              <w:left w:val="nil"/>
              <w:bottom w:val="single" w:sz="8" w:space="0" w:color="auto"/>
              <w:right w:val="single" w:sz="8" w:space="0" w:color="auto"/>
            </w:tcBorders>
            <w:shd w:val="clear" w:color="000000" w:fill="FFFFFF"/>
            <w:vAlign w:val="center"/>
            <w:hideMark/>
          </w:tcPr>
          <w:p w14:paraId="0A4C9D12"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 xml:space="preserve">The consent form does not clearly state the reasonably foreseeable risks or inconveniences to the subject and when applicable, to an embryo, </w:t>
            </w:r>
            <w:proofErr w:type="spellStart"/>
            <w:r w:rsidRPr="00ED2BB7">
              <w:rPr>
                <w:rFonts w:ascii="Times New Roman" w:hAnsi="Times New Roman" w:cs="Times New Roman"/>
                <w:sz w:val="24"/>
                <w:szCs w:val="24"/>
                <w:lang w:val="en-GB"/>
              </w:rPr>
              <w:t>fetus</w:t>
            </w:r>
            <w:proofErr w:type="spellEnd"/>
            <w:r w:rsidRPr="00ED2BB7">
              <w:rPr>
                <w:rFonts w:ascii="Times New Roman" w:hAnsi="Times New Roman" w:cs="Times New Roman"/>
                <w:sz w:val="24"/>
                <w:szCs w:val="24"/>
                <w:lang w:val="en-GB"/>
              </w:rPr>
              <w:t>, or nursing infant.</w:t>
            </w:r>
          </w:p>
        </w:tc>
        <w:tc>
          <w:tcPr>
            <w:tcW w:w="1370" w:type="dxa"/>
            <w:vMerge/>
            <w:tcBorders>
              <w:left w:val="nil"/>
              <w:right w:val="single" w:sz="8" w:space="0" w:color="auto"/>
            </w:tcBorders>
            <w:shd w:val="clear" w:color="000000" w:fill="FFFFFF"/>
            <w:noWrap/>
            <w:vAlign w:val="center"/>
            <w:hideMark/>
          </w:tcPr>
          <w:p w14:paraId="38326520"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13B9133B" w14:textId="77777777" w:rsidTr="00E71238">
        <w:trPr>
          <w:trHeight w:val="474"/>
        </w:trPr>
        <w:tc>
          <w:tcPr>
            <w:tcW w:w="520" w:type="dxa"/>
            <w:tcBorders>
              <w:top w:val="nil"/>
              <w:left w:val="single" w:sz="8" w:space="0" w:color="auto"/>
              <w:bottom w:val="single" w:sz="8" w:space="0" w:color="auto"/>
              <w:right w:val="single" w:sz="8" w:space="0" w:color="auto"/>
            </w:tcBorders>
            <w:shd w:val="clear" w:color="000000" w:fill="FFFFFF"/>
            <w:noWrap/>
            <w:vAlign w:val="center"/>
            <w:hideMark/>
          </w:tcPr>
          <w:p w14:paraId="3D111173" w14:textId="77777777" w:rsidR="00924764" w:rsidRPr="00ED2BB7" w:rsidRDefault="00924764" w:rsidP="00ED2BB7">
            <w:pPr>
              <w:pStyle w:val="ListParagraph"/>
              <w:numPr>
                <w:ilvl w:val="0"/>
                <w:numId w:val="4"/>
              </w:numPr>
              <w:spacing w:after="240" w:line="240" w:lineRule="auto"/>
              <w:rPr>
                <w:rFonts w:ascii="Times New Roman" w:hAnsi="Times New Roman" w:cs="Times New Roman"/>
                <w:sz w:val="24"/>
                <w:szCs w:val="24"/>
                <w:lang w:val="en-GB"/>
              </w:rPr>
            </w:pPr>
          </w:p>
        </w:tc>
        <w:tc>
          <w:tcPr>
            <w:tcW w:w="7020" w:type="dxa"/>
            <w:tcBorders>
              <w:top w:val="nil"/>
              <w:left w:val="nil"/>
              <w:bottom w:val="single" w:sz="8" w:space="0" w:color="auto"/>
              <w:right w:val="single" w:sz="8" w:space="0" w:color="auto"/>
            </w:tcBorders>
            <w:shd w:val="clear" w:color="000000" w:fill="FFFFFF"/>
            <w:vAlign w:val="center"/>
            <w:hideMark/>
          </w:tcPr>
          <w:p w14:paraId="52D72BEA"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consent form does not clearly state the expected duration of the subject’s participation in the trial.</w:t>
            </w:r>
          </w:p>
        </w:tc>
        <w:tc>
          <w:tcPr>
            <w:tcW w:w="1370" w:type="dxa"/>
            <w:vMerge/>
            <w:tcBorders>
              <w:left w:val="nil"/>
              <w:bottom w:val="single" w:sz="8" w:space="0" w:color="auto"/>
              <w:right w:val="single" w:sz="8" w:space="0" w:color="auto"/>
            </w:tcBorders>
            <w:shd w:val="clear" w:color="000000" w:fill="FFFFFF"/>
            <w:noWrap/>
            <w:vAlign w:val="center"/>
            <w:hideMark/>
          </w:tcPr>
          <w:p w14:paraId="23BC8EA5"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4C31A8FC" w14:textId="77777777" w:rsidTr="002D235E">
        <w:trPr>
          <w:trHeight w:val="417"/>
        </w:trPr>
        <w:tc>
          <w:tcPr>
            <w:tcW w:w="520" w:type="dxa"/>
            <w:tcBorders>
              <w:top w:val="nil"/>
              <w:left w:val="single" w:sz="8" w:space="0" w:color="auto"/>
              <w:bottom w:val="single" w:sz="8" w:space="0" w:color="auto"/>
              <w:right w:val="single" w:sz="8" w:space="0" w:color="auto"/>
            </w:tcBorders>
            <w:shd w:val="clear" w:color="000000" w:fill="FFFFFF"/>
            <w:noWrap/>
            <w:vAlign w:val="center"/>
            <w:hideMark/>
          </w:tcPr>
          <w:p w14:paraId="3E237641" w14:textId="77777777" w:rsidR="00924764" w:rsidRPr="00ED2BB7" w:rsidRDefault="00924764" w:rsidP="00ED2BB7">
            <w:pPr>
              <w:pStyle w:val="ListParagraph"/>
              <w:numPr>
                <w:ilvl w:val="0"/>
                <w:numId w:val="4"/>
              </w:numPr>
              <w:spacing w:after="240" w:line="240" w:lineRule="auto"/>
              <w:rPr>
                <w:rFonts w:ascii="Times New Roman" w:hAnsi="Times New Roman" w:cs="Times New Roman"/>
                <w:sz w:val="24"/>
                <w:szCs w:val="24"/>
                <w:lang w:val="en-GB"/>
              </w:rPr>
            </w:pPr>
          </w:p>
        </w:tc>
        <w:tc>
          <w:tcPr>
            <w:tcW w:w="7020" w:type="dxa"/>
            <w:tcBorders>
              <w:top w:val="nil"/>
              <w:left w:val="nil"/>
              <w:bottom w:val="single" w:sz="8" w:space="0" w:color="auto"/>
              <w:right w:val="single" w:sz="8" w:space="0" w:color="auto"/>
            </w:tcBorders>
            <w:shd w:val="clear" w:color="000000" w:fill="FFFFFF"/>
            <w:vAlign w:val="center"/>
            <w:hideMark/>
          </w:tcPr>
          <w:p w14:paraId="717C81D0"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consent form does not clearly state the reasonably expected benefits.</w:t>
            </w:r>
          </w:p>
        </w:tc>
        <w:tc>
          <w:tcPr>
            <w:tcW w:w="1370" w:type="dxa"/>
            <w:tcBorders>
              <w:top w:val="nil"/>
              <w:left w:val="nil"/>
              <w:bottom w:val="single" w:sz="8" w:space="0" w:color="auto"/>
              <w:right w:val="single" w:sz="8" w:space="0" w:color="auto"/>
            </w:tcBorders>
            <w:shd w:val="clear" w:color="000000" w:fill="FFFFFF"/>
            <w:noWrap/>
            <w:vAlign w:val="center"/>
            <w:hideMark/>
          </w:tcPr>
          <w:p w14:paraId="508CFF79"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9</w:t>
            </w:r>
          </w:p>
        </w:tc>
      </w:tr>
      <w:tr w:rsidR="00D52792" w:rsidRPr="00ED2BB7" w14:paraId="30AD716E" w14:textId="77777777" w:rsidTr="002D235E">
        <w:trPr>
          <w:trHeight w:val="622"/>
        </w:trPr>
        <w:tc>
          <w:tcPr>
            <w:tcW w:w="520" w:type="dxa"/>
            <w:tcBorders>
              <w:top w:val="nil"/>
              <w:left w:val="single" w:sz="8" w:space="0" w:color="auto"/>
              <w:bottom w:val="single" w:sz="8" w:space="0" w:color="auto"/>
              <w:right w:val="single" w:sz="8" w:space="0" w:color="auto"/>
            </w:tcBorders>
            <w:shd w:val="clear" w:color="000000" w:fill="FFFFFF"/>
            <w:noWrap/>
            <w:vAlign w:val="center"/>
            <w:hideMark/>
          </w:tcPr>
          <w:p w14:paraId="282CB832" w14:textId="77777777" w:rsidR="00924764" w:rsidRPr="00ED2BB7" w:rsidRDefault="00924764" w:rsidP="00ED2BB7">
            <w:pPr>
              <w:pStyle w:val="ListParagraph"/>
              <w:numPr>
                <w:ilvl w:val="0"/>
                <w:numId w:val="4"/>
              </w:numPr>
              <w:spacing w:after="240" w:line="240" w:lineRule="auto"/>
              <w:rPr>
                <w:rFonts w:ascii="Times New Roman" w:hAnsi="Times New Roman" w:cs="Times New Roman"/>
                <w:sz w:val="24"/>
                <w:szCs w:val="24"/>
                <w:lang w:val="en-GB"/>
              </w:rPr>
            </w:pPr>
          </w:p>
        </w:tc>
        <w:tc>
          <w:tcPr>
            <w:tcW w:w="7020" w:type="dxa"/>
            <w:tcBorders>
              <w:top w:val="nil"/>
              <w:left w:val="nil"/>
              <w:bottom w:val="single" w:sz="8" w:space="0" w:color="auto"/>
              <w:right w:val="single" w:sz="8" w:space="0" w:color="auto"/>
            </w:tcBorders>
            <w:shd w:val="clear" w:color="000000" w:fill="FFFFFF"/>
            <w:vAlign w:val="center"/>
            <w:hideMark/>
          </w:tcPr>
          <w:p w14:paraId="56A3182D"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There is no clear statement that the subject’s participation in the trial is voluntary and that the subject may refuse to participate or withdraw from the trial, at any time, without penalty or loss of benefits to which the subject is otherwise entitled.</w:t>
            </w:r>
          </w:p>
        </w:tc>
        <w:tc>
          <w:tcPr>
            <w:tcW w:w="1370" w:type="dxa"/>
            <w:tcBorders>
              <w:top w:val="nil"/>
              <w:left w:val="nil"/>
              <w:bottom w:val="single" w:sz="8" w:space="0" w:color="auto"/>
              <w:right w:val="single" w:sz="8" w:space="0" w:color="auto"/>
            </w:tcBorders>
            <w:shd w:val="clear" w:color="000000" w:fill="FFFFFF"/>
            <w:noWrap/>
            <w:vAlign w:val="center"/>
            <w:hideMark/>
          </w:tcPr>
          <w:p w14:paraId="49E35129"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7</w:t>
            </w:r>
          </w:p>
        </w:tc>
      </w:tr>
      <w:tr w:rsidR="00D52792" w:rsidRPr="00ED2BB7" w14:paraId="3D2A9EF1" w14:textId="77777777" w:rsidTr="002D235E">
        <w:trPr>
          <w:trHeight w:val="281"/>
        </w:trPr>
        <w:tc>
          <w:tcPr>
            <w:tcW w:w="520" w:type="dxa"/>
            <w:tcBorders>
              <w:top w:val="nil"/>
              <w:left w:val="single" w:sz="8" w:space="0" w:color="auto"/>
              <w:bottom w:val="single" w:sz="8" w:space="0" w:color="auto"/>
              <w:right w:val="single" w:sz="8" w:space="0" w:color="auto"/>
            </w:tcBorders>
            <w:shd w:val="clear" w:color="000000" w:fill="FFFFFF"/>
            <w:noWrap/>
            <w:vAlign w:val="center"/>
            <w:hideMark/>
          </w:tcPr>
          <w:p w14:paraId="08E55325" w14:textId="77777777" w:rsidR="00924764" w:rsidRPr="00ED2BB7" w:rsidRDefault="00924764" w:rsidP="00ED2BB7">
            <w:pPr>
              <w:pStyle w:val="ListParagraph"/>
              <w:numPr>
                <w:ilvl w:val="0"/>
                <w:numId w:val="4"/>
              </w:numPr>
              <w:spacing w:after="240" w:line="240" w:lineRule="auto"/>
              <w:rPr>
                <w:rFonts w:ascii="Times New Roman" w:hAnsi="Times New Roman" w:cs="Times New Roman"/>
                <w:sz w:val="24"/>
                <w:szCs w:val="24"/>
                <w:lang w:val="en-GB"/>
              </w:rPr>
            </w:pPr>
          </w:p>
        </w:tc>
        <w:tc>
          <w:tcPr>
            <w:tcW w:w="7020" w:type="dxa"/>
            <w:tcBorders>
              <w:top w:val="nil"/>
              <w:left w:val="nil"/>
              <w:bottom w:val="single" w:sz="8" w:space="0" w:color="auto"/>
              <w:right w:val="single" w:sz="8" w:space="0" w:color="auto"/>
            </w:tcBorders>
            <w:shd w:val="clear" w:color="000000" w:fill="FFFFFF"/>
            <w:vAlign w:val="center"/>
            <w:hideMark/>
          </w:tcPr>
          <w:p w14:paraId="60B35F2C"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consent form does not clearly state the purpose of the trial.</w:t>
            </w:r>
          </w:p>
        </w:tc>
        <w:tc>
          <w:tcPr>
            <w:tcW w:w="1370" w:type="dxa"/>
            <w:vMerge w:val="restart"/>
            <w:tcBorders>
              <w:top w:val="nil"/>
              <w:left w:val="nil"/>
              <w:right w:val="single" w:sz="8" w:space="0" w:color="auto"/>
            </w:tcBorders>
            <w:shd w:val="clear" w:color="000000" w:fill="FFFFFF"/>
            <w:noWrap/>
            <w:vAlign w:val="center"/>
            <w:hideMark/>
          </w:tcPr>
          <w:p w14:paraId="5C5705AE"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6</w:t>
            </w:r>
          </w:p>
          <w:p w14:paraId="1181D73B"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5A18439A" w14:textId="77777777" w:rsidTr="002D235E">
        <w:trPr>
          <w:trHeight w:val="622"/>
        </w:trPr>
        <w:tc>
          <w:tcPr>
            <w:tcW w:w="520" w:type="dxa"/>
            <w:tcBorders>
              <w:top w:val="nil"/>
              <w:left w:val="single" w:sz="8" w:space="0" w:color="auto"/>
              <w:bottom w:val="single" w:sz="8" w:space="0" w:color="auto"/>
              <w:right w:val="single" w:sz="8" w:space="0" w:color="auto"/>
            </w:tcBorders>
            <w:shd w:val="clear" w:color="000000" w:fill="FFFFFF"/>
            <w:noWrap/>
            <w:vAlign w:val="center"/>
            <w:hideMark/>
          </w:tcPr>
          <w:p w14:paraId="27205958" w14:textId="77777777" w:rsidR="00924764" w:rsidRPr="00ED2BB7" w:rsidRDefault="00924764" w:rsidP="00ED2BB7">
            <w:pPr>
              <w:pStyle w:val="ListParagraph"/>
              <w:numPr>
                <w:ilvl w:val="0"/>
                <w:numId w:val="4"/>
              </w:numPr>
              <w:spacing w:after="240" w:line="240" w:lineRule="auto"/>
              <w:rPr>
                <w:rFonts w:ascii="Times New Roman" w:hAnsi="Times New Roman" w:cs="Times New Roman"/>
                <w:sz w:val="24"/>
                <w:szCs w:val="24"/>
                <w:lang w:val="en-GB"/>
              </w:rPr>
            </w:pPr>
          </w:p>
        </w:tc>
        <w:tc>
          <w:tcPr>
            <w:tcW w:w="7020" w:type="dxa"/>
            <w:tcBorders>
              <w:top w:val="nil"/>
              <w:left w:val="nil"/>
              <w:bottom w:val="single" w:sz="8" w:space="0" w:color="auto"/>
              <w:right w:val="single" w:sz="8" w:space="0" w:color="auto"/>
            </w:tcBorders>
            <w:shd w:val="clear" w:color="000000" w:fill="FFFFFF"/>
            <w:vAlign w:val="center"/>
            <w:hideMark/>
          </w:tcPr>
          <w:p w14:paraId="1F105DFC"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consent form does not clearly state those aspects of the trial that are experimental.</w:t>
            </w:r>
          </w:p>
        </w:tc>
        <w:tc>
          <w:tcPr>
            <w:tcW w:w="1370" w:type="dxa"/>
            <w:vMerge/>
            <w:tcBorders>
              <w:left w:val="nil"/>
              <w:bottom w:val="single" w:sz="8" w:space="0" w:color="auto"/>
              <w:right w:val="single" w:sz="8" w:space="0" w:color="auto"/>
            </w:tcBorders>
            <w:shd w:val="clear" w:color="000000" w:fill="FFFFFF"/>
            <w:noWrap/>
            <w:vAlign w:val="center"/>
            <w:hideMark/>
          </w:tcPr>
          <w:p w14:paraId="51F25E4B"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4860471A" w14:textId="77777777" w:rsidTr="002D235E">
        <w:trPr>
          <w:trHeight w:val="194"/>
        </w:trPr>
        <w:tc>
          <w:tcPr>
            <w:tcW w:w="520" w:type="dxa"/>
            <w:tcBorders>
              <w:top w:val="nil"/>
              <w:left w:val="single" w:sz="8" w:space="0" w:color="auto"/>
              <w:bottom w:val="single" w:sz="8" w:space="0" w:color="auto"/>
              <w:right w:val="single" w:sz="8" w:space="0" w:color="auto"/>
            </w:tcBorders>
            <w:shd w:val="clear" w:color="000000" w:fill="FFFFFF"/>
            <w:noWrap/>
            <w:vAlign w:val="center"/>
            <w:hideMark/>
          </w:tcPr>
          <w:p w14:paraId="6FE65B69" w14:textId="77777777" w:rsidR="00924764" w:rsidRPr="00ED2BB7" w:rsidRDefault="00924764" w:rsidP="00ED2BB7">
            <w:pPr>
              <w:pStyle w:val="ListParagraph"/>
              <w:numPr>
                <w:ilvl w:val="0"/>
                <w:numId w:val="4"/>
              </w:numPr>
              <w:spacing w:after="240" w:line="240" w:lineRule="auto"/>
              <w:rPr>
                <w:rFonts w:ascii="Times New Roman" w:hAnsi="Times New Roman" w:cs="Times New Roman"/>
                <w:sz w:val="24"/>
                <w:szCs w:val="24"/>
                <w:lang w:val="en-GB"/>
              </w:rPr>
            </w:pPr>
          </w:p>
        </w:tc>
        <w:tc>
          <w:tcPr>
            <w:tcW w:w="7020" w:type="dxa"/>
            <w:tcBorders>
              <w:top w:val="nil"/>
              <w:left w:val="nil"/>
              <w:bottom w:val="single" w:sz="8" w:space="0" w:color="auto"/>
              <w:right w:val="single" w:sz="8" w:space="0" w:color="auto"/>
            </w:tcBorders>
            <w:shd w:val="clear" w:color="000000" w:fill="FFFFFF"/>
            <w:vAlign w:val="center"/>
            <w:hideMark/>
          </w:tcPr>
          <w:p w14:paraId="734DBDA2"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 xml:space="preserve">The consent form does not clearly state that the monitor(s), the auditor(s), the IRB/IEC, and the regulatory authority(ies) will be </w:t>
            </w:r>
            <w:r w:rsidRPr="00ED2BB7">
              <w:rPr>
                <w:rFonts w:ascii="Times New Roman" w:hAnsi="Times New Roman" w:cs="Times New Roman"/>
                <w:sz w:val="24"/>
                <w:szCs w:val="24"/>
                <w:lang w:val="en-GB"/>
              </w:rPr>
              <w:lastRenderedPageBreak/>
              <w:t>granted direct access to the subject’s original medical records for verification of clinical trial procedures and/or data, without violating the confidentiality of the subject, to the extent permitted by the applicable laws and regulations and that, by signing a written informed consent form, the subject or the subject’s legally acceptable representative is authorising such access.</w:t>
            </w:r>
          </w:p>
        </w:tc>
        <w:tc>
          <w:tcPr>
            <w:tcW w:w="1370" w:type="dxa"/>
            <w:vMerge w:val="restart"/>
            <w:tcBorders>
              <w:top w:val="nil"/>
              <w:left w:val="nil"/>
              <w:right w:val="single" w:sz="8" w:space="0" w:color="auto"/>
            </w:tcBorders>
            <w:shd w:val="clear" w:color="000000" w:fill="FFFFFF"/>
            <w:noWrap/>
            <w:vAlign w:val="center"/>
            <w:hideMark/>
          </w:tcPr>
          <w:p w14:paraId="0870DEAD"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lastRenderedPageBreak/>
              <w:t>5</w:t>
            </w:r>
          </w:p>
          <w:p w14:paraId="6D1B38D5"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655C9917" w14:textId="77777777" w:rsidTr="002D235E">
        <w:trPr>
          <w:trHeight w:val="622"/>
        </w:trPr>
        <w:tc>
          <w:tcPr>
            <w:tcW w:w="520" w:type="dxa"/>
            <w:tcBorders>
              <w:top w:val="nil"/>
              <w:left w:val="single" w:sz="8" w:space="0" w:color="auto"/>
              <w:bottom w:val="single" w:sz="8" w:space="0" w:color="auto"/>
              <w:right w:val="single" w:sz="8" w:space="0" w:color="auto"/>
            </w:tcBorders>
            <w:shd w:val="clear" w:color="000000" w:fill="FFFFFF"/>
            <w:noWrap/>
            <w:vAlign w:val="center"/>
            <w:hideMark/>
          </w:tcPr>
          <w:p w14:paraId="309496E0" w14:textId="77777777" w:rsidR="00924764" w:rsidRPr="00ED2BB7" w:rsidRDefault="00924764" w:rsidP="00ED2BB7">
            <w:pPr>
              <w:pStyle w:val="ListParagraph"/>
              <w:numPr>
                <w:ilvl w:val="0"/>
                <w:numId w:val="4"/>
              </w:numPr>
              <w:spacing w:after="240" w:line="240" w:lineRule="auto"/>
              <w:rPr>
                <w:rFonts w:ascii="Times New Roman" w:hAnsi="Times New Roman" w:cs="Times New Roman"/>
                <w:sz w:val="24"/>
                <w:szCs w:val="24"/>
                <w:lang w:val="en-GB"/>
              </w:rPr>
            </w:pPr>
          </w:p>
        </w:tc>
        <w:tc>
          <w:tcPr>
            <w:tcW w:w="7020" w:type="dxa"/>
            <w:tcBorders>
              <w:top w:val="nil"/>
              <w:left w:val="nil"/>
              <w:bottom w:val="single" w:sz="8" w:space="0" w:color="auto"/>
              <w:right w:val="single" w:sz="8" w:space="0" w:color="auto"/>
            </w:tcBorders>
            <w:shd w:val="clear" w:color="000000" w:fill="FFFFFF"/>
            <w:vAlign w:val="center"/>
            <w:hideMark/>
          </w:tcPr>
          <w:p w14:paraId="4F6CCE77"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consent form does not clearly state that the subject or the subject’s legally acceptable representative will be informed in a timely manner if information becomes available that may be relevant to the subject’s willingness to continue participation in this trial.</w:t>
            </w:r>
          </w:p>
        </w:tc>
        <w:tc>
          <w:tcPr>
            <w:tcW w:w="1370" w:type="dxa"/>
            <w:vMerge/>
            <w:tcBorders>
              <w:left w:val="nil"/>
              <w:bottom w:val="single" w:sz="8" w:space="0" w:color="auto"/>
              <w:right w:val="single" w:sz="8" w:space="0" w:color="auto"/>
            </w:tcBorders>
            <w:shd w:val="clear" w:color="000000" w:fill="FFFFFF"/>
            <w:noWrap/>
            <w:vAlign w:val="center"/>
            <w:hideMark/>
          </w:tcPr>
          <w:p w14:paraId="1C3982D3"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7828CC14" w14:textId="77777777" w:rsidTr="002D235E">
        <w:trPr>
          <w:trHeight w:val="622"/>
        </w:trPr>
        <w:tc>
          <w:tcPr>
            <w:tcW w:w="520" w:type="dxa"/>
            <w:tcBorders>
              <w:top w:val="nil"/>
              <w:left w:val="single" w:sz="8" w:space="0" w:color="auto"/>
              <w:bottom w:val="single" w:sz="8" w:space="0" w:color="auto"/>
              <w:right w:val="single" w:sz="8" w:space="0" w:color="auto"/>
            </w:tcBorders>
            <w:shd w:val="clear" w:color="000000" w:fill="FFFFFF"/>
            <w:noWrap/>
            <w:vAlign w:val="center"/>
            <w:hideMark/>
          </w:tcPr>
          <w:p w14:paraId="2C69E94A" w14:textId="77777777" w:rsidR="00924764" w:rsidRPr="00ED2BB7" w:rsidRDefault="00924764" w:rsidP="00ED2BB7">
            <w:pPr>
              <w:pStyle w:val="ListParagraph"/>
              <w:numPr>
                <w:ilvl w:val="0"/>
                <w:numId w:val="4"/>
              </w:numPr>
              <w:spacing w:after="240" w:line="240" w:lineRule="auto"/>
              <w:rPr>
                <w:rFonts w:ascii="Times New Roman" w:hAnsi="Times New Roman" w:cs="Times New Roman"/>
                <w:sz w:val="24"/>
                <w:szCs w:val="24"/>
                <w:lang w:val="en-GB"/>
              </w:rPr>
            </w:pPr>
          </w:p>
        </w:tc>
        <w:tc>
          <w:tcPr>
            <w:tcW w:w="7020" w:type="dxa"/>
            <w:tcBorders>
              <w:top w:val="nil"/>
              <w:left w:val="nil"/>
              <w:bottom w:val="single" w:sz="8" w:space="0" w:color="auto"/>
              <w:right w:val="single" w:sz="8" w:space="0" w:color="auto"/>
            </w:tcBorders>
            <w:shd w:val="clear" w:color="000000" w:fill="FFFFFF"/>
            <w:vAlign w:val="center"/>
            <w:hideMark/>
          </w:tcPr>
          <w:p w14:paraId="76277EDE"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anticipated expenses, if any, to the subject for participating in the trial are not mentioned clearly.</w:t>
            </w:r>
          </w:p>
        </w:tc>
        <w:tc>
          <w:tcPr>
            <w:tcW w:w="1370" w:type="dxa"/>
            <w:vMerge w:val="restart"/>
            <w:tcBorders>
              <w:top w:val="nil"/>
              <w:left w:val="nil"/>
              <w:right w:val="single" w:sz="8" w:space="0" w:color="auto"/>
            </w:tcBorders>
            <w:shd w:val="clear" w:color="000000" w:fill="FFFFFF"/>
            <w:noWrap/>
            <w:vAlign w:val="center"/>
            <w:hideMark/>
          </w:tcPr>
          <w:p w14:paraId="643AF352" w14:textId="77777777" w:rsidR="00924764" w:rsidRPr="00ED2BB7" w:rsidRDefault="00924764" w:rsidP="00ED2BB7">
            <w:pPr>
              <w:spacing w:after="240" w:line="240" w:lineRule="auto"/>
              <w:rPr>
                <w:rFonts w:ascii="Times New Roman" w:hAnsi="Times New Roman" w:cs="Times New Roman"/>
                <w:sz w:val="24"/>
                <w:szCs w:val="24"/>
                <w:lang w:val="en-GB"/>
              </w:rPr>
            </w:pPr>
          </w:p>
          <w:p w14:paraId="4495878D"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4</w:t>
            </w:r>
          </w:p>
          <w:p w14:paraId="377E023E"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6888D185" w14:textId="77777777" w:rsidTr="002D235E">
        <w:trPr>
          <w:trHeight w:val="622"/>
        </w:trPr>
        <w:tc>
          <w:tcPr>
            <w:tcW w:w="520" w:type="dxa"/>
            <w:tcBorders>
              <w:top w:val="nil"/>
              <w:left w:val="single" w:sz="8" w:space="0" w:color="auto"/>
              <w:bottom w:val="single" w:sz="8" w:space="0" w:color="auto"/>
              <w:right w:val="single" w:sz="8" w:space="0" w:color="auto"/>
            </w:tcBorders>
            <w:shd w:val="clear" w:color="000000" w:fill="FFFFFF"/>
            <w:noWrap/>
            <w:vAlign w:val="center"/>
            <w:hideMark/>
          </w:tcPr>
          <w:p w14:paraId="502A0703" w14:textId="77777777" w:rsidR="00924764" w:rsidRPr="00ED2BB7" w:rsidRDefault="00924764" w:rsidP="00ED2BB7">
            <w:pPr>
              <w:pStyle w:val="ListParagraph"/>
              <w:numPr>
                <w:ilvl w:val="0"/>
                <w:numId w:val="4"/>
              </w:numPr>
              <w:spacing w:after="240" w:line="240" w:lineRule="auto"/>
              <w:rPr>
                <w:rFonts w:ascii="Times New Roman" w:hAnsi="Times New Roman" w:cs="Times New Roman"/>
                <w:sz w:val="24"/>
                <w:szCs w:val="24"/>
                <w:lang w:val="en-GB"/>
              </w:rPr>
            </w:pPr>
          </w:p>
        </w:tc>
        <w:tc>
          <w:tcPr>
            <w:tcW w:w="7020" w:type="dxa"/>
            <w:tcBorders>
              <w:top w:val="nil"/>
              <w:left w:val="nil"/>
              <w:bottom w:val="single" w:sz="8" w:space="0" w:color="auto"/>
              <w:right w:val="single" w:sz="8" w:space="0" w:color="auto"/>
            </w:tcBorders>
            <w:shd w:val="clear" w:color="000000" w:fill="FFFFFF"/>
            <w:vAlign w:val="center"/>
            <w:hideMark/>
          </w:tcPr>
          <w:p w14:paraId="775BDFB8"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consent form does not clearly state that records identifying the subject will be kept confidential and, to the extent permitted by the applicable laws and/or regulations, will not be made publicly available? And if the results of the trial are published, the subject’s identity will remain confidential.</w:t>
            </w:r>
          </w:p>
        </w:tc>
        <w:tc>
          <w:tcPr>
            <w:tcW w:w="1370" w:type="dxa"/>
            <w:vMerge/>
            <w:tcBorders>
              <w:left w:val="nil"/>
              <w:right w:val="single" w:sz="8" w:space="0" w:color="auto"/>
            </w:tcBorders>
            <w:shd w:val="clear" w:color="000000" w:fill="FFFFFF"/>
            <w:noWrap/>
            <w:vAlign w:val="center"/>
            <w:hideMark/>
          </w:tcPr>
          <w:p w14:paraId="1AA289AF"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57923D4A" w14:textId="77777777" w:rsidTr="002D235E">
        <w:trPr>
          <w:trHeight w:val="622"/>
        </w:trPr>
        <w:tc>
          <w:tcPr>
            <w:tcW w:w="520" w:type="dxa"/>
            <w:tcBorders>
              <w:top w:val="nil"/>
              <w:left w:val="single" w:sz="8" w:space="0" w:color="auto"/>
              <w:bottom w:val="single" w:sz="8" w:space="0" w:color="auto"/>
              <w:right w:val="single" w:sz="8" w:space="0" w:color="auto"/>
            </w:tcBorders>
            <w:shd w:val="clear" w:color="000000" w:fill="FFFFFF"/>
            <w:noWrap/>
            <w:vAlign w:val="center"/>
            <w:hideMark/>
          </w:tcPr>
          <w:p w14:paraId="63DAB813" w14:textId="77777777" w:rsidR="00924764" w:rsidRPr="00ED2BB7" w:rsidRDefault="00924764" w:rsidP="00ED2BB7">
            <w:pPr>
              <w:pStyle w:val="ListParagraph"/>
              <w:numPr>
                <w:ilvl w:val="0"/>
                <w:numId w:val="4"/>
              </w:numPr>
              <w:spacing w:after="240" w:line="240" w:lineRule="auto"/>
              <w:rPr>
                <w:rFonts w:ascii="Times New Roman" w:hAnsi="Times New Roman" w:cs="Times New Roman"/>
                <w:sz w:val="24"/>
                <w:szCs w:val="24"/>
                <w:lang w:val="en-GB"/>
              </w:rPr>
            </w:pPr>
          </w:p>
        </w:tc>
        <w:tc>
          <w:tcPr>
            <w:tcW w:w="7020" w:type="dxa"/>
            <w:tcBorders>
              <w:top w:val="nil"/>
              <w:left w:val="nil"/>
              <w:bottom w:val="single" w:sz="8" w:space="0" w:color="auto"/>
              <w:right w:val="single" w:sz="8" w:space="0" w:color="auto"/>
            </w:tcBorders>
            <w:shd w:val="clear" w:color="000000" w:fill="FFFFFF"/>
            <w:vAlign w:val="center"/>
            <w:hideMark/>
          </w:tcPr>
          <w:p w14:paraId="58D4AC28"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consent form does not clearly state the foreseeable circumstances and/or reasons under which the subject’s participation in the trial may be terminated.</w:t>
            </w:r>
          </w:p>
        </w:tc>
        <w:tc>
          <w:tcPr>
            <w:tcW w:w="1370" w:type="dxa"/>
            <w:vMerge/>
            <w:tcBorders>
              <w:left w:val="nil"/>
              <w:right w:val="single" w:sz="8" w:space="0" w:color="auto"/>
            </w:tcBorders>
            <w:shd w:val="clear" w:color="000000" w:fill="FFFFFF"/>
            <w:noWrap/>
            <w:vAlign w:val="center"/>
            <w:hideMark/>
          </w:tcPr>
          <w:p w14:paraId="71DD7303"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777809E3" w14:textId="77777777" w:rsidTr="002D235E">
        <w:trPr>
          <w:trHeight w:val="622"/>
        </w:trPr>
        <w:tc>
          <w:tcPr>
            <w:tcW w:w="520" w:type="dxa"/>
            <w:tcBorders>
              <w:top w:val="nil"/>
              <w:left w:val="single" w:sz="8" w:space="0" w:color="auto"/>
              <w:bottom w:val="single" w:sz="8" w:space="0" w:color="auto"/>
              <w:right w:val="single" w:sz="8" w:space="0" w:color="auto"/>
            </w:tcBorders>
            <w:shd w:val="clear" w:color="000000" w:fill="FFFFFF"/>
            <w:noWrap/>
            <w:vAlign w:val="center"/>
            <w:hideMark/>
          </w:tcPr>
          <w:p w14:paraId="20461BD2" w14:textId="77777777" w:rsidR="00924764" w:rsidRPr="00ED2BB7" w:rsidRDefault="00924764" w:rsidP="00ED2BB7">
            <w:pPr>
              <w:pStyle w:val="ListParagraph"/>
              <w:numPr>
                <w:ilvl w:val="0"/>
                <w:numId w:val="4"/>
              </w:numPr>
              <w:spacing w:after="240" w:line="240" w:lineRule="auto"/>
              <w:rPr>
                <w:rFonts w:ascii="Times New Roman" w:hAnsi="Times New Roman" w:cs="Times New Roman"/>
                <w:sz w:val="24"/>
                <w:szCs w:val="24"/>
                <w:lang w:val="en-GB"/>
              </w:rPr>
            </w:pPr>
          </w:p>
        </w:tc>
        <w:tc>
          <w:tcPr>
            <w:tcW w:w="7020" w:type="dxa"/>
            <w:tcBorders>
              <w:top w:val="nil"/>
              <w:left w:val="nil"/>
              <w:bottom w:val="single" w:sz="8" w:space="0" w:color="auto"/>
              <w:right w:val="single" w:sz="8" w:space="0" w:color="auto"/>
            </w:tcBorders>
            <w:shd w:val="clear" w:color="000000" w:fill="FFFFFF"/>
            <w:vAlign w:val="center"/>
            <w:hideMark/>
          </w:tcPr>
          <w:p w14:paraId="3CA61C42"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consent form does not clearly state the source(s) and component(s) of the investigational product(s) that may be culturally unacceptable.</w:t>
            </w:r>
          </w:p>
        </w:tc>
        <w:tc>
          <w:tcPr>
            <w:tcW w:w="1370" w:type="dxa"/>
            <w:vMerge/>
            <w:tcBorders>
              <w:left w:val="nil"/>
              <w:bottom w:val="single" w:sz="8" w:space="0" w:color="auto"/>
              <w:right w:val="single" w:sz="8" w:space="0" w:color="auto"/>
            </w:tcBorders>
            <w:shd w:val="clear" w:color="000000" w:fill="FFFFFF"/>
            <w:noWrap/>
            <w:vAlign w:val="center"/>
            <w:hideMark/>
          </w:tcPr>
          <w:p w14:paraId="4B96E911"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659B7C50" w14:textId="77777777" w:rsidTr="002D235E">
        <w:trPr>
          <w:trHeight w:val="301"/>
        </w:trPr>
        <w:tc>
          <w:tcPr>
            <w:tcW w:w="520" w:type="dxa"/>
            <w:tcBorders>
              <w:top w:val="nil"/>
              <w:left w:val="single" w:sz="8" w:space="0" w:color="auto"/>
              <w:bottom w:val="single" w:sz="8" w:space="0" w:color="auto"/>
              <w:right w:val="single" w:sz="8" w:space="0" w:color="auto"/>
            </w:tcBorders>
            <w:shd w:val="clear" w:color="000000" w:fill="FFFFFF"/>
            <w:noWrap/>
            <w:vAlign w:val="center"/>
            <w:hideMark/>
          </w:tcPr>
          <w:p w14:paraId="53204C10" w14:textId="77777777" w:rsidR="00924764" w:rsidRPr="00ED2BB7" w:rsidRDefault="00924764" w:rsidP="00ED2BB7">
            <w:pPr>
              <w:pStyle w:val="ListParagraph"/>
              <w:numPr>
                <w:ilvl w:val="0"/>
                <w:numId w:val="4"/>
              </w:numPr>
              <w:spacing w:after="240" w:line="240" w:lineRule="auto"/>
              <w:rPr>
                <w:rFonts w:ascii="Times New Roman" w:hAnsi="Times New Roman" w:cs="Times New Roman"/>
                <w:sz w:val="24"/>
                <w:szCs w:val="24"/>
                <w:lang w:val="en-GB"/>
              </w:rPr>
            </w:pPr>
          </w:p>
        </w:tc>
        <w:tc>
          <w:tcPr>
            <w:tcW w:w="7020" w:type="dxa"/>
            <w:tcBorders>
              <w:top w:val="nil"/>
              <w:left w:val="nil"/>
              <w:bottom w:val="single" w:sz="8" w:space="0" w:color="auto"/>
              <w:right w:val="single" w:sz="8" w:space="0" w:color="auto"/>
            </w:tcBorders>
            <w:shd w:val="clear" w:color="000000" w:fill="FFFFFF"/>
            <w:vAlign w:val="center"/>
            <w:hideMark/>
          </w:tcPr>
          <w:p w14:paraId="1912F2BB"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consent form does not clearly state the subject’s responsibilities.</w:t>
            </w:r>
          </w:p>
        </w:tc>
        <w:tc>
          <w:tcPr>
            <w:tcW w:w="1370" w:type="dxa"/>
            <w:vMerge w:val="restart"/>
            <w:tcBorders>
              <w:top w:val="nil"/>
              <w:left w:val="nil"/>
              <w:right w:val="single" w:sz="8" w:space="0" w:color="auto"/>
            </w:tcBorders>
            <w:shd w:val="clear" w:color="000000" w:fill="FFFFFF"/>
            <w:noWrap/>
            <w:vAlign w:val="center"/>
            <w:hideMark/>
          </w:tcPr>
          <w:p w14:paraId="06F6BF83"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2</w:t>
            </w:r>
          </w:p>
          <w:p w14:paraId="431DB452"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1BA0C76C" w14:textId="77777777" w:rsidTr="002D235E">
        <w:trPr>
          <w:trHeight w:val="622"/>
        </w:trPr>
        <w:tc>
          <w:tcPr>
            <w:tcW w:w="520" w:type="dxa"/>
            <w:tcBorders>
              <w:top w:val="nil"/>
              <w:left w:val="single" w:sz="8" w:space="0" w:color="auto"/>
              <w:bottom w:val="single" w:sz="8" w:space="0" w:color="auto"/>
              <w:right w:val="single" w:sz="8" w:space="0" w:color="auto"/>
            </w:tcBorders>
            <w:shd w:val="clear" w:color="000000" w:fill="FFFFFF"/>
            <w:noWrap/>
            <w:vAlign w:val="center"/>
            <w:hideMark/>
          </w:tcPr>
          <w:p w14:paraId="18FCF0B1" w14:textId="77777777" w:rsidR="00924764" w:rsidRPr="00ED2BB7" w:rsidRDefault="00924764" w:rsidP="00ED2BB7">
            <w:pPr>
              <w:pStyle w:val="ListParagraph"/>
              <w:numPr>
                <w:ilvl w:val="0"/>
                <w:numId w:val="4"/>
              </w:numPr>
              <w:spacing w:after="240" w:line="240" w:lineRule="auto"/>
              <w:rPr>
                <w:rFonts w:ascii="Times New Roman" w:hAnsi="Times New Roman" w:cs="Times New Roman"/>
                <w:sz w:val="24"/>
                <w:szCs w:val="24"/>
                <w:lang w:val="en-GB"/>
              </w:rPr>
            </w:pPr>
          </w:p>
        </w:tc>
        <w:tc>
          <w:tcPr>
            <w:tcW w:w="7020" w:type="dxa"/>
            <w:tcBorders>
              <w:top w:val="nil"/>
              <w:left w:val="nil"/>
              <w:bottom w:val="single" w:sz="8" w:space="0" w:color="auto"/>
              <w:right w:val="single" w:sz="8" w:space="0" w:color="auto"/>
            </w:tcBorders>
            <w:shd w:val="clear" w:color="000000" w:fill="FFFFFF"/>
            <w:vAlign w:val="center"/>
            <w:hideMark/>
          </w:tcPr>
          <w:p w14:paraId="3AAA71CB"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The consent form does not clearly state the alternative procedure(s) or course(s) of treatment that may be available to the subject and their important potential benefits and risks.</w:t>
            </w:r>
          </w:p>
        </w:tc>
        <w:tc>
          <w:tcPr>
            <w:tcW w:w="1370" w:type="dxa"/>
            <w:vMerge/>
            <w:tcBorders>
              <w:left w:val="nil"/>
              <w:bottom w:val="single" w:sz="8" w:space="0" w:color="auto"/>
              <w:right w:val="single" w:sz="8" w:space="0" w:color="auto"/>
            </w:tcBorders>
            <w:shd w:val="clear" w:color="000000" w:fill="FFFFFF"/>
            <w:noWrap/>
            <w:vAlign w:val="center"/>
            <w:hideMark/>
          </w:tcPr>
          <w:p w14:paraId="37DC5B21" w14:textId="77777777" w:rsidR="00924764" w:rsidRPr="00ED2BB7" w:rsidRDefault="00924764" w:rsidP="00ED2BB7">
            <w:pPr>
              <w:spacing w:after="240" w:line="240" w:lineRule="auto"/>
              <w:rPr>
                <w:rFonts w:ascii="Times New Roman" w:hAnsi="Times New Roman" w:cs="Times New Roman"/>
                <w:sz w:val="24"/>
                <w:szCs w:val="24"/>
                <w:lang w:val="en-GB"/>
              </w:rPr>
            </w:pPr>
          </w:p>
        </w:tc>
      </w:tr>
      <w:tr w:rsidR="00D52792" w:rsidRPr="00ED2BB7" w14:paraId="56787435" w14:textId="77777777" w:rsidTr="002D235E">
        <w:trPr>
          <w:trHeight w:val="275"/>
        </w:trPr>
        <w:tc>
          <w:tcPr>
            <w:tcW w:w="520" w:type="dxa"/>
            <w:tcBorders>
              <w:top w:val="nil"/>
              <w:left w:val="single" w:sz="8" w:space="0" w:color="auto"/>
              <w:bottom w:val="single" w:sz="8" w:space="0" w:color="auto"/>
              <w:right w:val="single" w:sz="8" w:space="0" w:color="auto"/>
            </w:tcBorders>
            <w:shd w:val="clear" w:color="000000" w:fill="FFFFFF"/>
            <w:noWrap/>
            <w:vAlign w:val="center"/>
            <w:hideMark/>
          </w:tcPr>
          <w:p w14:paraId="020F4A30" w14:textId="77777777" w:rsidR="00924764" w:rsidRPr="00ED2BB7" w:rsidRDefault="00924764" w:rsidP="00ED2BB7">
            <w:pPr>
              <w:pStyle w:val="ListParagraph"/>
              <w:numPr>
                <w:ilvl w:val="0"/>
                <w:numId w:val="4"/>
              </w:numPr>
              <w:spacing w:after="240" w:line="240" w:lineRule="auto"/>
              <w:rPr>
                <w:rFonts w:ascii="Times New Roman" w:hAnsi="Times New Roman" w:cs="Times New Roman"/>
                <w:sz w:val="24"/>
                <w:szCs w:val="24"/>
                <w:lang w:val="en-GB"/>
              </w:rPr>
            </w:pPr>
          </w:p>
        </w:tc>
        <w:tc>
          <w:tcPr>
            <w:tcW w:w="7020" w:type="dxa"/>
            <w:tcBorders>
              <w:top w:val="nil"/>
              <w:left w:val="nil"/>
              <w:bottom w:val="single" w:sz="8" w:space="0" w:color="auto"/>
              <w:right w:val="single" w:sz="8" w:space="0" w:color="auto"/>
            </w:tcBorders>
            <w:shd w:val="clear" w:color="000000" w:fill="FFFFFF"/>
            <w:vAlign w:val="center"/>
            <w:hideMark/>
          </w:tcPr>
          <w:p w14:paraId="1F9DBFA6"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It is not stated that the trial involves research.</w:t>
            </w:r>
          </w:p>
        </w:tc>
        <w:tc>
          <w:tcPr>
            <w:tcW w:w="1370" w:type="dxa"/>
            <w:tcBorders>
              <w:top w:val="nil"/>
              <w:left w:val="nil"/>
              <w:bottom w:val="single" w:sz="8" w:space="0" w:color="auto"/>
              <w:right w:val="single" w:sz="8" w:space="0" w:color="auto"/>
            </w:tcBorders>
            <w:shd w:val="clear" w:color="000000" w:fill="FFFFFF"/>
            <w:noWrap/>
            <w:vAlign w:val="center"/>
            <w:hideMark/>
          </w:tcPr>
          <w:p w14:paraId="01CDFD3B" w14:textId="77777777" w:rsidR="00924764" w:rsidRPr="00ED2BB7" w:rsidRDefault="00924764" w:rsidP="00ED2BB7">
            <w:pPr>
              <w:spacing w:after="240" w:line="240" w:lineRule="auto"/>
              <w:rPr>
                <w:rFonts w:ascii="Times New Roman" w:hAnsi="Times New Roman" w:cs="Times New Roman"/>
                <w:sz w:val="24"/>
                <w:szCs w:val="24"/>
                <w:lang w:val="en-GB"/>
              </w:rPr>
            </w:pPr>
            <w:r w:rsidRPr="00ED2BB7">
              <w:rPr>
                <w:rFonts w:ascii="Times New Roman" w:hAnsi="Times New Roman" w:cs="Times New Roman"/>
                <w:sz w:val="24"/>
                <w:szCs w:val="24"/>
                <w:lang w:val="en-GB"/>
              </w:rPr>
              <w:t>1</w:t>
            </w:r>
          </w:p>
        </w:tc>
      </w:tr>
    </w:tbl>
    <w:p w14:paraId="784800BC" w14:textId="04DCADF7" w:rsidR="00910364" w:rsidRPr="00ED2BB7" w:rsidRDefault="00910364" w:rsidP="00ED2BB7">
      <w:pPr>
        <w:spacing w:after="240" w:line="240" w:lineRule="auto"/>
        <w:rPr>
          <w:rFonts w:ascii="Times New Roman" w:hAnsi="Times New Roman" w:cs="Times New Roman"/>
          <w:sz w:val="24"/>
          <w:szCs w:val="24"/>
        </w:rPr>
      </w:pPr>
    </w:p>
    <w:sectPr w:rsidR="00910364" w:rsidRPr="00ED2BB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43FEF" w14:textId="77777777" w:rsidR="001F00A8" w:rsidRDefault="001F00A8" w:rsidP="00F71F67">
      <w:pPr>
        <w:spacing w:after="0" w:line="240" w:lineRule="auto"/>
      </w:pPr>
      <w:r>
        <w:separator/>
      </w:r>
    </w:p>
  </w:endnote>
  <w:endnote w:type="continuationSeparator" w:id="0">
    <w:p w14:paraId="4047751E" w14:textId="77777777" w:rsidR="001F00A8" w:rsidRDefault="001F00A8" w:rsidP="00F71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12449" w14:textId="73C9B05F" w:rsidR="004E37CC" w:rsidRPr="0042332E" w:rsidRDefault="004E37CC">
    <w:pPr>
      <w:pStyle w:val="Footer"/>
      <w:rPr>
        <w:rFonts w:ascii="Times New Roman" w:hAnsi="Times New Roman" w:cs="Times New Roman"/>
      </w:rPr>
    </w:pPr>
    <w:r>
      <w:rPr>
        <w:rFonts w:ascii="Times New Roman" w:hAnsi="Times New Roman" w:cs="Times New Roman"/>
      </w:rPr>
      <w:t>*</w:t>
    </w:r>
    <w:r w:rsidRPr="0042332E">
      <w:rPr>
        <w:rFonts w:ascii="Times New Roman" w:hAnsi="Times New Roman" w:cs="Times New Roman"/>
      </w:rPr>
      <w:t>Corresponding author’s email: laiwh@crc.gov.my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BBD30" w14:textId="77777777" w:rsidR="001F00A8" w:rsidRDefault="001F00A8" w:rsidP="00F71F67">
      <w:pPr>
        <w:spacing w:after="0" w:line="240" w:lineRule="auto"/>
      </w:pPr>
      <w:r>
        <w:separator/>
      </w:r>
    </w:p>
  </w:footnote>
  <w:footnote w:type="continuationSeparator" w:id="0">
    <w:p w14:paraId="2961E92F" w14:textId="77777777" w:rsidR="001F00A8" w:rsidRDefault="001F00A8" w:rsidP="00F71F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36AB"/>
    <w:multiLevelType w:val="hybridMultilevel"/>
    <w:tmpl w:val="42BA69BE"/>
    <w:lvl w:ilvl="0" w:tplc="BD121566">
      <w:start w:val="1"/>
      <w:numFmt w:val="decimal"/>
      <w:lvlText w:val="%1."/>
      <w:lvlJc w:val="left"/>
      <w:pPr>
        <w:ind w:left="0" w:hanging="360"/>
      </w:pPr>
      <w:rPr>
        <w:rFonts w:hint="default"/>
      </w:rPr>
    </w:lvl>
    <w:lvl w:ilvl="1" w:tplc="44090019" w:tentative="1">
      <w:start w:val="1"/>
      <w:numFmt w:val="lowerLetter"/>
      <w:lvlText w:val="%2."/>
      <w:lvlJc w:val="left"/>
      <w:pPr>
        <w:ind w:left="720" w:hanging="360"/>
      </w:pPr>
    </w:lvl>
    <w:lvl w:ilvl="2" w:tplc="4409001B" w:tentative="1">
      <w:start w:val="1"/>
      <w:numFmt w:val="lowerRoman"/>
      <w:lvlText w:val="%3."/>
      <w:lvlJc w:val="right"/>
      <w:pPr>
        <w:ind w:left="1440" w:hanging="180"/>
      </w:pPr>
    </w:lvl>
    <w:lvl w:ilvl="3" w:tplc="4409000F" w:tentative="1">
      <w:start w:val="1"/>
      <w:numFmt w:val="decimal"/>
      <w:lvlText w:val="%4."/>
      <w:lvlJc w:val="left"/>
      <w:pPr>
        <w:ind w:left="2160" w:hanging="360"/>
      </w:pPr>
    </w:lvl>
    <w:lvl w:ilvl="4" w:tplc="44090019" w:tentative="1">
      <w:start w:val="1"/>
      <w:numFmt w:val="lowerLetter"/>
      <w:lvlText w:val="%5."/>
      <w:lvlJc w:val="left"/>
      <w:pPr>
        <w:ind w:left="2880" w:hanging="360"/>
      </w:pPr>
    </w:lvl>
    <w:lvl w:ilvl="5" w:tplc="4409001B" w:tentative="1">
      <w:start w:val="1"/>
      <w:numFmt w:val="lowerRoman"/>
      <w:lvlText w:val="%6."/>
      <w:lvlJc w:val="right"/>
      <w:pPr>
        <w:ind w:left="3600" w:hanging="180"/>
      </w:pPr>
    </w:lvl>
    <w:lvl w:ilvl="6" w:tplc="4409000F" w:tentative="1">
      <w:start w:val="1"/>
      <w:numFmt w:val="decimal"/>
      <w:lvlText w:val="%7."/>
      <w:lvlJc w:val="left"/>
      <w:pPr>
        <w:ind w:left="4320" w:hanging="360"/>
      </w:pPr>
    </w:lvl>
    <w:lvl w:ilvl="7" w:tplc="44090019" w:tentative="1">
      <w:start w:val="1"/>
      <w:numFmt w:val="lowerLetter"/>
      <w:lvlText w:val="%8."/>
      <w:lvlJc w:val="left"/>
      <w:pPr>
        <w:ind w:left="5040" w:hanging="360"/>
      </w:pPr>
    </w:lvl>
    <w:lvl w:ilvl="8" w:tplc="4409001B" w:tentative="1">
      <w:start w:val="1"/>
      <w:numFmt w:val="lowerRoman"/>
      <w:lvlText w:val="%9."/>
      <w:lvlJc w:val="right"/>
      <w:pPr>
        <w:ind w:left="5760" w:hanging="180"/>
      </w:pPr>
    </w:lvl>
  </w:abstractNum>
  <w:abstractNum w:abstractNumId="1">
    <w:nsid w:val="09941800"/>
    <w:multiLevelType w:val="hybridMultilevel"/>
    <w:tmpl w:val="6DEEE42C"/>
    <w:lvl w:ilvl="0" w:tplc="1DA0E1A0">
      <w:start w:val="1"/>
      <w:numFmt w:val="decimal"/>
      <w:lvlText w:val="%1."/>
      <w:lvlJc w:val="left"/>
      <w:pPr>
        <w:ind w:left="720" w:hanging="360"/>
      </w:pPr>
      <w:rPr>
        <w:b w:val="0"/>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48052F2A"/>
    <w:multiLevelType w:val="hybridMultilevel"/>
    <w:tmpl w:val="2D0A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C040BE"/>
    <w:multiLevelType w:val="hybridMultilevel"/>
    <w:tmpl w:val="ACFE24A6"/>
    <w:lvl w:ilvl="0" w:tplc="6FC8E1DE">
      <w:start w:val="1"/>
      <w:numFmt w:val="low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A0405"/>
    <w:multiLevelType w:val="hybridMultilevel"/>
    <w:tmpl w:val="D070EEBA"/>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5C625496"/>
    <w:multiLevelType w:val="hybridMultilevel"/>
    <w:tmpl w:val="DCD467D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nsid w:val="77DD394A"/>
    <w:multiLevelType w:val="hybridMultilevel"/>
    <w:tmpl w:val="12522AD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D37"/>
    <w:rsid w:val="000027DB"/>
    <w:rsid w:val="00004846"/>
    <w:rsid w:val="00007E40"/>
    <w:rsid w:val="00012674"/>
    <w:rsid w:val="00013EF2"/>
    <w:rsid w:val="00014E3C"/>
    <w:rsid w:val="00020296"/>
    <w:rsid w:val="00022661"/>
    <w:rsid w:val="0002306B"/>
    <w:rsid w:val="00026580"/>
    <w:rsid w:val="0003266C"/>
    <w:rsid w:val="00034770"/>
    <w:rsid w:val="00034ABF"/>
    <w:rsid w:val="00046991"/>
    <w:rsid w:val="000476FF"/>
    <w:rsid w:val="00047E2A"/>
    <w:rsid w:val="00054AF8"/>
    <w:rsid w:val="000550A7"/>
    <w:rsid w:val="00057194"/>
    <w:rsid w:val="00061C94"/>
    <w:rsid w:val="00062FAE"/>
    <w:rsid w:val="000646C9"/>
    <w:rsid w:val="0006577B"/>
    <w:rsid w:val="000709BE"/>
    <w:rsid w:val="00071D69"/>
    <w:rsid w:val="00073402"/>
    <w:rsid w:val="000738C0"/>
    <w:rsid w:val="0007771D"/>
    <w:rsid w:val="00077FC1"/>
    <w:rsid w:val="0008470D"/>
    <w:rsid w:val="00085719"/>
    <w:rsid w:val="00086F22"/>
    <w:rsid w:val="00092ACC"/>
    <w:rsid w:val="00096A63"/>
    <w:rsid w:val="000971C3"/>
    <w:rsid w:val="000A65E4"/>
    <w:rsid w:val="000B0E47"/>
    <w:rsid w:val="000B4C96"/>
    <w:rsid w:val="000C0208"/>
    <w:rsid w:val="000C0555"/>
    <w:rsid w:val="000C6247"/>
    <w:rsid w:val="000D0367"/>
    <w:rsid w:val="000D3757"/>
    <w:rsid w:val="000D4530"/>
    <w:rsid w:val="000D4784"/>
    <w:rsid w:val="000D5D60"/>
    <w:rsid w:val="000E64B9"/>
    <w:rsid w:val="000E7854"/>
    <w:rsid w:val="000F116E"/>
    <w:rsid w:val="000F34CE"/>
    <w:rsid w:val="000F4E47"/>
    <w:rsid w:val="00102A72"/>
    <w:rsid w:val="00103FE0"/>
    <w:rsid w:val="0010489D"/>
    <w:rsid w:val="001120CA"/>
    <w:rsid w:val="0011316F"/>
    <w:rsid w:val="0012428A"/>
    <w:rsid w:val="001309B9"/>
    <w:rsid w:val="00134514"/>
    <w:rsid w:val="001347E6"/>
    <w:rsid w:val="00137275"/>
    <w:rsid w:val="001400D9"/>
    <w:rsid w:val="00147ED2"/>
    <w:rsid w:val="0015166E"/>
    <w:rsid w:val="00153798"/>
    <w:rsid w:val="00155D7A"/>
    <w:rsid w:val="00157D1E"/>
    <w:rsid w:val="0016331C"/>
    <w:rsid w:val="00166404"/>
    <w:rsid w:val="00172C2B"/>
    <w:rsid w:val="00174CAB"/>
    <w:rsid w:val="00180212"/>
    <w:rsid w:val="0018022B"/>
    <w:rsid w:val="001849D9"/>
    <w:rsid w:val="00184ACA"/>
    <w:rsid w:val="00190B31"/>
    <w:rsid w:val="00191760"/>
    <w:rsid w:val="00194938"/>
    <w:rsid w:val="001962DD"/>
    <w:rsid w:val="00196AF0"/>
    <w:rsid w:val="00197E88"/>
    <w:rsid w:val="001A2A10"/>
    <w:rsid w:val="001A7744"/>
    <w:rsid w:val="001B7791"/>
    <w:rsid w:val="001C06CF"/>
    <w:rsid w:val="001C3FFB"/>
    <w:rsid w:val="001C47F9"/>
    <w:rsid w:val="001D56C5"/>
    <w:rsid w:val="001E53BD"/>
    <w:rsid w:val="001E60DD"/>
    <w:rsid w:val="001F002E"/>
    <w:rsid w:val="001F00A8"/>
    <w:rsid w:val="001F1F3D"/>
    <w:rsid w:val="00205293"/>
    <w:rsid w:val="00217754"/>
    <w:rsid w:val="00217CE3"/>
    <w:rsid w:val="00222E2C"/>
    <w:rsid w:val="002237B9"/>
    <w:rsid w:val="00225D3A"/>
    <w:rsid w:val="00227605"/>
    <w:rsid w:val="00230E13"/>
    <w:rsid w:val="00234E7B"/>
    <w:rsid w:val="00240728"/>
    <w:rsid w:val="002417F0"/>
    <w:rsid w:val="00245785"/>
    <w:rsid w:val="002540DC"/>
    <w:rsid w:val="00255AA8"/>
    <w:rsid w:val="00257E45"/>
    <w:rsid w:val="00262542"/>
    <w:rsid w:val="00263A0C"/>
    <w:rsid w:val="00275144"/>
    <w:rsid w:val="002754A3"/>
    <w:rsid w:val="00287E32"/>
    <w:rsid w:val="002911B5"/>
    <w:rsid w:val="002A1EA5"/>
    <w:rsid w:val="002A2A4A"/>
    <w:rsid w:val="002A2C35"/>
    <w:rsid w:val="002A3299"/>
    <w:rsid w:val="002A4F79"/>
    <w:rsid w:val="002A562E"/>
    <w:rsid w:val="002B206F"/>
    <w:rsid w:val="002B2ED6"/>
    <w:rsid w:val="002B3FC7"/>
    <w:rsid w:val="002B4AAB"/>
    <w:rsid w:val="002B4CFB"/>
    <w:rsid w:val="002B4E3E"/>
    <w:rsid w:val="002B541E"/>
    <w:rsid w:val="002B77D0"/>
    <w:rsid w:val="002C1009"/>
    <w:rsid w:val="002D267E"/>
    <w:rsid w:val="002D4381"/>
    <w:rsid w:val="002E54BF"/>
    <w:rsid w:val="002E566E"/>
    <w:rsid w:val="002E656A"/>
    <w:rsid w:val="002F050B"/>
    <w:rsid w:val="002F2FD8"/>
    <w:rsid w:val="002F31C4"/>
    <w:rsid w:val="002F3CDE"/>
    <w:rsid w:val="003003B0"/>
    <w:rsid w:val="00300989"/>
    <w:rsid w:val="00312B4D"/>
    <w:rsid w:val="00313FE9"/>
    <w:rsid w:val="00317614"/>
    <w:rsid w:val="00320A23"/>
    <w:rsid w:val="00320A98"/>
    <w:rsid w:val="003261DA"/>
    <w:rsid w:val="00326B5C"/>
    <w:rsid w:val="00330295"/>
    <w:rsid w:val="00331B48"/>
    <w:rsid w:val="00334ECD"/>
    <w:rsid w:val="003378D7"/>
    <w:rsid w:val="00344190"/>
    <w:rsid w:val="0035097D"/>
    <w:rsid w:val="00350BF0"/>
    <w:rsid w:val="0035550F"/>
    <w:rsid w:val="00355DD9"/>
    <w:rsid w:val="00365755"/>
    <w:rsid w:val="0036623E"/>
    <w:rsid w:val="00366F73"/>
    <w:rsid w:val="003721D1"/>
    <w:rsid w:val="0037460D"/>
    <w:rsid w:val="00385921"/>
    <w:rsid w:val="00392474"/>
    <w:rsid w:val="00394C3B"/>
    <w:rsid w:val="003A1585"/>
    <w:rsid w:val="003A3FD0"/>
    <w:rsid w:val="003A531F"/>
    <w:rsid w:val="003A72B0"/>
    <w:rsid w:val="003B3A70"/>
    <w:rsid w:val="003B44F4"/>
    <w:rsid w:val="003B5CDF"/>
    <w:rsid w:val="003C23E9"/>
    <w:rsid w:val="003C2ADE"/>
    <w:rsid w:val="003C50DC"/>
    <w:rsid w:val="003C5EA3"/>
    <w:rsid w:val="003C6784"/>
    <w:rsid w:val="003D17A6"/>
    <w:rsid w:val="003D24C3"/>
    <w:rsid w:val="003D2CA4"/>
    <w:rsid w:val="003D49B9"/>
    <w:rsid w:val="003D6860"/>
    <w:rsid w:val="003E37F6"/>
    <w:rsid w:val="003E480B"/>
    <w:rsid w:val="003F002B"/>
    <w:rsid w:val="003F336B"/>
    <w:rsid w:val="003F5929"/>
    <w:rsid w:val="00404F7E"/>
    <w:rsid w:val="004065AF"/>
    <w:rsid w:val="00410A02"/>
    <w:rsid w:val="004147AA"/>
    <w:rsid w:val="0042332E"/>
    <w:rsid w:val="004237DE"/>
    <w:rsid w:val="004316DD"/>
    <w:rsid w:val="00434CF6"/>
    <w:rsid w:val="004451FF"/>
    <w:rsid w:val="00445376"/>
    <w:rsid w:val="00445D57"/>
    <w:rsid w:val="004511D5"/>
    <w:rsid w:val="00451B06"/>
    <w:rsid w:val="00452B03"/>
    <w:rsid w:val="00455E1F"/>
    <w:rsid w:val="00460FA5"/>
    <w:rsid w:val="00467759"/>
    <w:rsid w:val="00483A14"/>
    <w:rsid w:val="00487E47"/>
    <w:rsid w:val="00490FA3"/>
    <w:rsid w:val="00491BCC"/>
    <w:rsid w:val="00492E67"/>
    <w:rsid w:val="00497E79"/>
    <w:rsid w:val="004A3999"/>
    <w:rsid w:val="004A422D"/>
    <w:rsid w:val="004A54BA"/>
    <w:rsid w:val="004B11C6"/>
    <w:rsid w:val="004C181E"/>
    <w:rsid w:val="004C607E"/>
    <w:rsid w:val="004D14C0"/>
    <w:rsid w:val="004D6B6F"/>
    <w:rsid w:val="004D771D"/>
    <w:rsid w:val="004D78AF"/>
    <w:rsid w:val="004D78E5"/>
    <w:rsid w:val="004D79CE"/>
    <w:rsid w:val="004E2C65"/>
    <w:rsid w:val="004E303C"/>
    <w:rsid w:val="004E37CC"/>
    <w:rsid w:val="004E3CE2"/>
    <w:rsid w:val="004E525E"/>
    <w:rsid w:val="004E7896"/>
    <w:rsid w:val="004F3E1E"/>
    <w:rsid w:val="004F4101"/>
    <w:rsid w:val="004F411A"/>
    <w:rsid w:val="004F506D"/>
    <w:rsid w:val="00507D37"/>
    <w:rsid w:val="00510D34"/>
    <w:rsid w:val="00517A17"/>
    <w:rsid w:val="00520CFD"/>
    <w:rsid w:val="00531807"/>
    <w:rsid w:val="00555F20"/>
    <w:rsid w:val="005564D4"/>
    <w:rsid w:val="005572C4"/>
    <w:rsid w:val="0056326C"/>
    <w:rsid w:val="00566294"/>
    <w:rsid w:val="00575336"/>
    <w:rsid w:val="00584472"/>
    <w:rsid w:val="00586DBD"/>
    <w:rsid w:val="00586E36"/>
    <w:rsid w:val="005877DA"/>
    <w:rsid w:val="00590D07"/>
    <w:rsid w:val="005961B9"/>
    <w:rsid w:val="00596D59"/>
    <w:rsid w:val="005A10E8"/>
    <w:rsid w:val="005A1788"/>
    <w:rsid w:val="005A3F16"/>
    <w:rsid w:val="005B7425"/>
    <w:rsid w:val="005C439A"/>
    <w:rsid w:val="005D0D55"/>
    <w:rsid w:val="005D38F0"/>
    <w:rsid w:val="005D3C3C"/>
    <w:rsid w:val="005D6DA1"/>
    <w:rsid w:val="005D7686"/>
    <w:rsid w:val="005E1C7E"/>
    <w:rsid w:val="005E277D"/>
    <w:rsid w:val="005E2A9E"/>
    <w:rsid w:val="005F0611"/>
    <w:rsid w:val="00600997"/>
    <w:rsid w:val="00602240"/>
    <w:rsid w:val="0060471A"/>
    <w:rsid w:val="00610AEC"/>
    <w:rsid w:val="006114A3"/>
    <w:rsid w:val="00623466"/>
    <w:rsid w:val="0062347A"/>
    <w:rsid w:val="00642390"/>
    <w:rsid w:val="00645975"/>
    <w:rsid w:val="00645D92"/>
    <w:rsid w:val="00646240"/>
    <w:rsid w:val="0064767B"/>
    <w:rsid w:val="006478A0"/>
    <w:rsid w:val="006543BA"/>
    <w:rsid w:val="00657B73"/>
    <w:rsid w:val="00662350"/>
    <w:rsid w:val="006626D2"/>
    <w:rsid w:val="00666B46"/>
    <w:rsid w:val="00670239"/>
    <w:rsid w:val="006708C1"/>
    <w:rsid w:val="0067308A"/>
    <w:rsid w:val="00676E33"/>
    <w:rsid w:val="006778D6"/>
    <w:rsid w:val="00680746"/>
    <w:rsid w:val="00683182"/>
    <w:rsid w:val="006831E2"/>
    <w:rsid w:val="00692ECA"/>
    <w:rsid w:val="006948C5"/>
    <w:rsid w:val="006A7FF8"/>
    <w:rsid w:val="006B3792"/>
    <w:rsid w:val="006B45FA"/>
    <w:rsid w:val="006C7AA6"/>
    <w:rsid w:val="006E287E"/>
    <w:rsid w:val="006F4959"/>
    <w:rsid w:val="007002CC"/>
    <w:rsid w:val="0070382C"/>
    <w:rsid w:val="00710544"/>
    <w:rsid w:val="00711A2B"/>
    <w:rsid w:val="00712105"/>
    <w:rsid w:val="007139AF"/>
    <w:rsid w:val="00714FC4"/>
    <w:rsid w:val="00715447"/>
    <w:rsid w:val="00721A55"/>
    <w:rsid w:val="00724CA4"/>
    <w:rsid w:val="00737976"/>
    <w:rsid w:val="00740FEE"/>
    <w:rsid w:val="00741622"/>
    <w:rsid w:val="00743A5F"/>
    <w:rsid w:val="00745045"/>
    <w:rsid w:val="007454B4"/>
    <w:rsid w:val="00754B44"/>
    <w:rsid w:val="00756673"/>
    <w:rsid w:val="007566AA"/>
    <w:rsid w:val="00761285"/>
    <w:rsid w:val="00763053"/>
    <w:rsid w:val="007670C3"/>
    <w:rsid w:val="00767A06"/>
    <w:rsid w:val="00780765"/>
    <w:rsid w:val="00791B0A"/>
    <w:rsid w:val="00793D78"/>
    <w:rsid w:val="007A5C14"/>
    <w:rsid w:val="007B00C2"/>
    <w:rsid w:val="007B2402"/>
    <w:rsid w:val="007C0D48"/>
    <w:rsid w:val="007C3CBE"/>
    <w:rsid w:val="007C4538"/>
    <w:rsid w:val="007C56A8"/>
    <w:rsid w:val="007C5DFD"/>
    <w:rsid w:val="007D4044"/>
    <w:rsid w:val="007E07A4"/>
    <w:rsid w:val="007E22F3"/>
    <w:rsid w:val="007E3E2B"/>
    <w:rsid w:val="007E4541"/>
    <w:rsid w:val="007E4CD1"/>
    <w:rsid w:val="007E549D"/>
    <w:rsid w:val="007F2D3C"/>
    <w:rsid w:val="007F4B5B"/>
    <w:rsid w:val="007F60FE"/>
    <w:rsid w:val="008008BA"/>
    <w:rsid w:val="008008FF"/>
    <w:rsid w:val="00806BC6"/>
    <w:rsid w:val="00812EBC"/>
    <w:rsid w:val="00814537"/>
    <w:rsid w:val="0082095A"/>
    <w:rsid w:val="008224DF"/>
    <w:rsid w:val="008305FE"/>
    <w:rsid w:val="0083696A"/>
    <w:rsid w:val="0083790F"/>
    <w:rsid w:val="008426F1"/>
    <w:rsid w:val="008437A2"/>
    <w:rsid w:val="00846A30"/>
    <w:rsid w:val="00847B64"/>
    <w:rsid w:val="008507CA"/>
    <w:rsid w:val="0085094E"/>
    <w:rsid w:val="00851FF7"/>
    <w:rsid w:val="00852567"/>
    <w:rsid w:val="00852B3F"/>
    <w:rsid w:val="00853696"/>
    <w:rsid w:val="00861F9E"/>
    <w:rsid w:val="00866C1E"/>
    <w:rsid w:val="008679BA"/>
    <w:rsid w:val="00867F24"/>
    <w:rsid w:val="00871E0B"/>
    <w:rsid w:val="008725F2"/>
    <w:rsid w:val="00877EF6"/>
    <w:rsid w:val="0088093E"/>
    <w:rsid w:val="00881F29"/>
    <w:rsid w:val="00884991"/>
    <w:rsid w:val="00887152"/>
    <w:rsid w:val="00897700"/>
    <w:rsid w:val="008A58DD"/>
    <w:rsid w:val="008B792B"/>
    <w:rsid w:val="008C2B2D"/>
    <w:rsid w:val="008C2D61"/>
    <w:rsid w:val="008C3241"/>
    <w:rsid w:val="008C57AA"/>
    <w:rsid w:val="008C7BEA"/>
    <w:rsid w:val="008C7E07"/>
    <w:rsid w:val="008D0032"/>
    <w:rsid w:val="008D0D87"/>
    <w:rsid w:val="008E2B6F"/>
    <w:rsid w:val="008E3BED"/>
    <w:rsid w:val="008E3D3B"/>
    <w:rsid w:val="008E4152"/>
    <w:rsid w:val="008E4ED3"/>
    <w:rsid w:val="008E5004"/>
    <w:rsid w:val="008E6CAD"/>
    <w:rsid w:val="008F228D"/>
    <w:rsid w:val="009012CF"/>
    <w:rsid w:val="009014CB"/>
    <w:rsid w:val="009042CE"/>
    <w:rsid w:val="009049F9"/>
    <w:rsid w:val="00906D3F"/>
    <w:rsid w:val="00910364"/>
    <w:rsid w:val="00911069"/>
    <w:rsid w:val="00915221"/>
    <w:rsid w:val="009155A8"/>
    <w:rsid w:val="00916552"/>
    <w:rsid w:val="00917F89"/>
    <w:rsid w:val="00924764"/>
    <w:rsid w:val="009256F5"/>
    <w:rsid w:val="0092665A"/>
    <w:rsid w:val="00927342"/>
    <w:rsid w:val="00930948"/>
    <w:rsid w:val="00932F49"/>
    <w:rsid w:val="0093622F"/>
    <w:rsid w:val="00937825"/>
    <w:rsid w:val="00945AA9"/>
    <w:rsid w:val="00952BF4"/>
    <w:rsid w:val="00952BFC"/>
    <w:rsid w:val="00953F70"/>
    <w:rsid w:val="00966E1C"/>
    <w:rsid w:val="00966F2E"/>
    <w:rsid w:val="00967874"/>
    <w:rsid w:val="0097026E"/>
    <w:rsid w:val="0097130F"/>
    <w:rsid w:val="00981786"/>
    <w:rsid w:val="00982181"/>
    <w:rsid w:val="00982CAE"/>
    <w:rsid w:val="00991122"/>
    <w:rsid w:val="00994666"/>
    <w:rsid w:val="0099698D"/>
    <w:rsid w:val="009A1B4A"/>
    <w:rsid w:val="009A3D23"/>
    <w:rsid w:val="009A7038"/>
    <w:rsid w:val="009B1B23"/>
    <w:rsid w:val="009B786C"/>
    <w:rsid w:val="009C0ED9"/>
    <w:rsid w:val="009C14FC"/>
    <w:rsid w:val="009C5919"/>
    <w:rsid w:val="009D0036"/>
    <w:rsid w:val="009D0C70"/>
    <w:rsid w:val="009D57C9"/>
    <w:rsid w:val="009E24EA"/>
    <w:rsid w:val="009E5834"/>
    <w:rsid w:val="009E5CDC"/>
    <w:rsid w:val="009E79CD"/>
    <w:rsid w:val="009F28BF"/>
    <w:rsid w:val="009F2FA5"/>
    <w:rsid w:val="00A00648"/>
    <w:rsid w:val="00A02602"/>
    <w:rsid w:val="00A03D0F"/>
    <w:rsid w:val="00A03FBB"/>
    <w:rsid w:val="00A056CB"/>
    <w:rsid w:val="00A07BF1"/>
    <w:rsid w:val="00A101DA"/>
    <w:rsid w:val="00A129A3"/>
    <w:rsid w:val="00A16BA1"/>
    <w:rsid w:val="00A16C5C"/>
    <w:rsid w:val="00A177E5"/>
    <w:rsid w:val="00A27717"/>
    <w:rsid w:val="00A30150"/>
    <w:rsid w:val="00A34E18"/>
    <w:rsid w:val="00A40BE3"/>
    <w:rsid w:val="00A413B6"/>
    <w:rsid w:val="00A419D0"/>
    <w:rsid w:val="00A437BE"/>
    <w:rsid w:val="00A46F47"/>
    <w:rsid w:val="00A476E5"/>
    <w:rsid w:val="00A675B8"/>
    <w:rsid w:val="00A71F98"/>
    <w:rsid w:val="00A73148"/>
    <w:rsid w:val="00A73F51"/>
    <w:rsid w:val="00A7552F"/>
    <w:rsid w:val="00A75834"/>
    <w:rsid w:val="00A80889"/>
    <w:rsid w:val="00A84D71"/>
    <w:rsid w:val="00A871E0"/>
    <w:rsid w:val="00A94070"/>
    <w:rsid w:val="00A9474B"/>
    <w:rsid w:val="00A94F79"/>
    <w:rsid w:val="00AA101C"/>
    <w:rsid w:val="00AA39F5"/>
    <w:rsid w:val="00AA4191"/>
    <w:rsid w:val="00AA55C5"/>
    <w:rsid w:val="00AB0F83"/>
    <w:rsid w:val="00AB2510"/>
    <w:rsid w:val="00AB5F6C"/>
    <w:rsid w:val="00AB66BE"/>
    <w:rsid w:val="00AB699B"/>
    <w:rsid w:val="00AC0233"/>
    <w:rsid w:val="00AC0A7D"/>
    <w:rsid w:val="00AC0D2A"/>
    <w:rsid w:val="00AE5949"/>
    <w:rsid w:val="00AE597C"/>
    <w:rsid w:val="00AE733D"/>
    <w:rsid w:val="00AF4082"/>
    <w:rsid w:val="00AF64BB"/>
    <w:rsid w:val="00B05E3D"/>
    <w:rsid w:val="00B066A0"/>
    <w:rsid w:val="00B106F3"/>
    <w:rsid w:val="00B13A04"/>
    <w:rsid w:val="00B14A17"/>
    <w:rsid w:val="00B152C7"/>
    <w:rsid w:val="00B218E7"/>
    <w:rsid w:val="00B26FA4"/>
    <w:rsid w:val="00B31EC3"/>
    <w:rsid w:val="00B342B4"/>
    <w:rsid w:val="00B35B5B"/>
    <w:rsid w:val="00B37BD7"/>
    <w:rsid w:val="00B419B3"/>
    <w:rsid w:val="00B41BAF"/>
    <w:rsid w:val="00B41EAF"/>
    <w:rsid w:val="00B50934"/>
    <w:rsid w:val="00B52156"/>
    <w:rsid w:val="00B52D78"/>
    <w:rsid w:val="00B57979"/>
    <w:rsid w:val="00B61D45"/>
    <w:rsid w:val="00B61F1C"/>
    <w:rsid w:val="00B71C76"/>
    <w:rsid w:val="00B8014F"/>
    <w:rsid w:val="00B83803"/>
    <w:rsid w:val="00B83A98"/>
    <w:rsid w:val="00B84971"/>
    <w:rsid w:val="00B87146"/>
    <w:rsid w:val="00B92355"/>
    <w:rsid w:val="00B92CDE"/>
    <w:rsid w:val="00B931DA"/>
    <w:rsid w:val="00B94EA1"/>
    <w:rsid w:val="00B94F10"/>
    <w:rsid w:val="00B95BD6"/>
    <w:rsid w:val="00B97AF8"/>
    <w:rsid w:val="00BA0441"/>
    <w:rsid w:val="00BA1F98"/>
    <w:rsid w:val="00BA60C7"/>
    <w:rsid w:val="00BA7C8C"/>
    <w:rsid w:val="00BB224F"/>
    <w:rsid w:val="00BB3FEB"/>
    <w:rsid w:val="00BC1419"/>
    <w:rsid w:val="00BD4070"/>
    <w:rsid w:val="00BD514D"/>
    <w:rsid w:val="00BE5169"/>
    <w:rsid w:val="00BE5FFC"/>
    <w:rsid w:val="00BE6F62"/>
    <w:rsid w:val="00BF471F"/>
    <w:rsid w:val="00BF493B"/>
    <w:rsid w:val="00C0213B"/>
    <w:rsid w:val="00C043C2"/>
    <w:rsid w:val="00C2001C"/>
    <w:rsid w:val="00C202CE"/>
    <w:rsid w:val="00C24087"/>
    <w:rsid w:val="00C26C07"/>
    <w:rsid w:val="00C27D33"/>
    <w:rsid w:val="00C31CAF"/>
    <w:rsid w:val="00C34430"/>
    <w:rsid w:val="00C41023"/>
    <w:rsid w:val="00C44776"/>
    <w:rsid w:val="00C47570"/>
    <w:rsid w:val="00C47871"/>
    <w:rsid w:val="00C51070"/>
    <w:rsid w:val="00C52503"/>
    <w:rsid w:val="00C569F9"/>
    <w:rsid w:val="00C622B4"/>
    <w:rsid w:val="00C62A50"/>
    <w:rsid w:val="00C637FE"/>
    <w:rsid w:val="00C665C8"/>
    <w:rsid w:val="00C67925"/>
    <w:rsid w:val="00C7212A"/>
    <w:rsid w:val="00C72BC9"/>
    <w:rsid w:val="00C77FFC"/>
    <w:rsid w:val="00C82728"/>
    <w:rsid w:val="00C84725"/>
    <w:rsid w:val="00C85010"/>
    <w:rsid w:val="00C85CC0"/>
    <w:rsid w:val="00C90995"/>
    <w:rsid w:val="00C92DFF"/>
    <w:rsid w:val="00C93203"/>
    <w:rsid w:val="00C934B1"/>
    <w:rsid w:val="00C939A7"/>
    <w:rsid w:val="00CA3B5D"/>
    <w:rsid w:val="00CA7659"/>
    <w:rsid w:val="00CB507B"/>
    <w:rsid w:val="00CB6C9A"/>
    <w:rsid w:val="00CC04D6"/>
    <w:rsid w:val="00CC4CCE"/>
    <w:rsid w:val="00CC681C"/>
    <w:rsid w:val="00CC787B"/>
    <w:rsid w:val="00CD3810"/>
    <w:rsid w:val="00CD6F1A"/>
    <w:rsid w:val="00CD7322"/>
    <w:rsid w:val="00CE3F47"/>
    <w:rsid w:val="00CE5D2E"/>
    <w:rsid w:val="00D010F3"/>
    <w:rsid w:val="00D011EA"/>
    <w:rsid w:val="00D05794"/>
    <w:rsid w:val="00D06252"/>
    <w:rsid w:val="00D10899"/>
    <w:rsid w:val="00D112BD"/>
    <w:rsid w:val="00D11560"/>
    <w:rsid w:val="00D22559"/>
    <w:rsid w:val="00D2362C"/>
    <w:rsid w:val="00D23BE3"/>
    <w:rsid w:val="00D244CE"/>
    <w:rsid w:val="00D2468D"/>
    <w:rsid w:val="00D26044"/>
    <w:rsid w:val="00D26E15"/>
    <w:rsid w:val="00D27BD2"/>
    <w:rsid w:val="00D31494"/>
    <w:rsid w:val="00D36838"/>
    <w:rsid w:val="00D4041E"/>
    <w:rsid w:val="00D41B4C"/>
    <w:rsid w:val="00D45A6C"/>
    <w:rsid w:val="00D46E8C"/>
    <w:rsid w:val="00D504C9"/>
    <w:rsid w:val="00D52792"/>
    <w:rsid w:val="00D54788"/>
    <w:rsid w:val="00D552E8"/>
    <w:rsid w:val="00D553F5"/>
    <w:rsid w:val="00D57478"/>
    <w:rsid w:val="00D57C70"/>
    <w:rsid w:val="00D64061"/>
    <w:rsid w:val="00D7587F"/>
    <w:rsid w:val="00D80A2D"/>
    <w:rsid w:val="00D81DBE"/>
    <w:rsid w:val="00D86FF3"/>
    <w:rsid w:val="00D90561"/>
    <w:rsid w:val="00D95927"/>
    <w:rsid w:val="00D962B7"/>
    <w:rsid w:val="00DA3203"/>
    <w:rsid w:val="00DA3BEE"/>
    <w:rsid w:val="00DB0ED5"/>
    <w:rsid w:val="00DB573D"/>
    <w:rsid w:val="00DC0F65"/>
    <w:rsid w:val="00DC432C"/>
    <w:rsid w:val="00DD12EC"/>
    <w:rsid w:val="00DD2586"/>
    <w:rsid w:val="00DD551F"/>
    <w:rsid w:val="00DD575D"/>
    <w:rsid w:val="00DD5D66"/>
    <w:rsid w:val="00DE289B"/>
    <w:rsid w:val="00DE5545"/>
    <w:rsid w:val="00DE7CD2"/>
    <w:rsid w:val="00DF1AD3"/>
    <w:rsid w:val="00DF22B2"/>
    <w:rsid w:val="00DF2AA1"/>
    <w:rsid w:val="00DF4BB8"/>
    <w:rsid w:val="00E00887"/>
    <w:rsid w:val="00E010C1"/>
    <w:rsid w:val="00E05714"/>
    <w:rsid w:val="00E06230"/>
    <w:rsid w:val="00E15C28"/>
    <w:rsid w:val="00E273A1"/>
    <w:rsid w:val="00E31F56"/>
    <w:rsid w:val="00E36590"/>
    <w:rsid w:val="00E37C7F"/>
    <w:rsid w:val="00E42762"/>
    <w:rsid w:val="00E45C04"/>
    <w:rsid w:val="00E5215E"/>
    <w:rsid w:val="00E553C9"/>
    <w:rsid w:val="00E56F23"/>
    <w:rsid w:val="00E60436"/>
    <w:rsid w:val="00E71238"/>
    <w:rsid w:val="00E73432"/>
    <w:rsid w:val="00E7471F"/>
    <w:rsid w:val="00E80F12"/>
    <w:rsid w:val="00E827C4"/>
    <w:rsid w:val="00E91B22"/>
    <w:rsid w:val="00E93F57"/>
    <w:rsid w:val="00E95B28"/>
    <w:rsid w:val="00EA22ED"/>
    <w:rsid w:val="00EA2C70"/>
    <w:rsid w:val="00EA44E4"/>
    <w:rsid w:val="00EA5FCA"/>
    <w:rsid w:val="00EB3F22"/>
    <w:rsid w:val="00EB5CF3"/>
    <w:rsid w:val="00EC0FFC"/>
    <w:rsid w:val="00EC14C9"/>
    <w:rsid w:val="00EC2466"/>
    <w:rsid w:val="00EC4A59"/>
    <w:rsid w:val="00EC73D5"/>
    <w:rsid w:val="00EC7EDD"/>
    <w:rsid w:val="00ED2BB7"/>
    <w:rsid w:val="00ED7D14"/>
    <w:rsid w:val="00EE0EA6"/>
    <w:rsid w:val="00EE2DEE"/>
    <w:rsid w:val="00EE4D76"/>
    <w:rsid w:val="00EE5F5F"/>
    <w:rsid w:val="00EF11D1"/>
    <w:rsid w:val="00EF3181"/>
    <w:rsid w:val="00EF404E"/>
    <w:rsid w:val="00EF4DBD"/>
    <w:rsid w:val="00F058F5"/>
    <w:rsid w:val="00F067EA"/>
    <w:rsid w:val="00F10FC8"/>
    <w:rsid w:val="00F13167"/>
    <w:rsid w:val="00F14E77"/>
    <w:rsid w:val="00F16D10"/>
    <w:rsid w:val="00F173F4"/>
    <w:rsid w:val="00F174E5"/>
    <w:rsid w:val="00F1777A"/>
    <w:rsid w:val="00F21D96"/>
    <w:rsid w:val="00F316A7"/>
    <w:rsid w:val="00F34B36"/>
    <w:rsid w:val="00F35466"/>
    <w:rsid w:val="00F35931"/>
    <w:rsid w:val="00F3601D"/>
    <w:rsid w:val="00F40F7C"/>
    <w:rsid w:val="00F40F83"/>
    <w:rsid w:val="00F43618"/>
    <w:rsid w:val="00F54E89"/>
    <w:rsid w:val="00F607AA"/>
    <w:rsid w:val="00F64723"/>
    <w:rsid w:val="00F71F67"/>
    <w:rsid w:val="00F75BD7"/>
    <w:rsid w:val="00F80E91"/>
    <w:rsid w:val="00F82609"/>
    <w:rsid w:val="00F8691C"/>
    <w:rsid w:val="00F91EC2"/>
    <w:rsid w:val="00F9553D"/>
    <w:rsid w:val="00F957C0"/>
    <w:rsid w:val="00F965DA"/>
    <w:rsid w:val="00F9672F"/>
    <w:rsid w:val="00FA7E2D"/>
    <w:rsid w:val="00FC25F1"/>
    <w:rsid w:val="00FC4C7D"/>
    <w:rsid w:val="00FC5E3C"/>
    <w:rsid w:val="00FC6C5E"/>
    <w:rsid w:val="00FC6F1D"/>
    <w:rsid w:val="00FD0919"/>
    <w:rsid w:val="00FD2850"/>
    <w:rsid w:val="00FD298C"/>
    <w:rsid w:val="00FD61D5"/>
    <w:rsid w:val="00FE257E"/>
    <w:rsid w:val="00FE4F90"/>
    <w:rsid w:val="00FE65CC"/>
    <w:rsid w:val="00FE794D"/>
    <w:rsid w:val="00FF47D7"/>
    <w:rsid w:val="00FF4A0F"/>
    <w:rsid w:val="00FF6BA8"/>
    <w:rsid w:val="00FF6C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D2F552"/>
  <w15:docId w15:val="{632E3871-0777-428E-B19D-B6AE5E6C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D37"/>
  </w:style>
  <w:style w:type="paragraph" w:styleId="Heading1">
    <w:name w:val="heading 1"/>
    <w:basedOn w:val="Normal"/>
    <w:link w:val="Heading1Char"/>
    <w:uiPriority w:val="9"/>
    <w:qFormat/>
    <w:rsid w:val="008E6C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7D3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C93203"/>
    <w:rPr>
      <w:color w:val="0000FF" w:themeColor="hyperlink"/>
      <w:u w:val="single"/>
    </w:rPr>
  </w:style>
  <w:style w:type="character" w:customStyle="1" w:styleId="apple-converted-space">
    <w:name w:val="apple-converted-space"/>
    <w:basedOn w:val="DefaultParagraphFont"/>
    <w:rsid w:val="00C93203"/>
  </w:style>
  <w:style w:type="paragraph" w:styleId="Header">
    <w:name w:val="header"/>
    <w:basedOn w:val="Normal"/>
    <w:link w:val="HeaderChar"/>
    <w:uiPriority w:val="99"/>
    <w:unhideWhenUsed/>
    <w:rsid w:val="00F71F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F67"/>
  </w:style>
  <w:style w:type="paragraph" w:styleId="Footer">
    <w:name w:val="footer"/>
    <w:basedOn w:val="Normal"/>
    <w:link w:val="FooterChar"/>
    <w:uiPriority w:val="99"/>
    <w:unhideWhenUsed/>
    <w:rsid w:val="00F71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F67"/>
  </w:style>
  <w:style w:type="character" w:customStyle="1" w:styleId="Heading1Char">
    <w:name w:val="Heading 1 Char"/>
    <w:basedOn w:val="DefaultParagraphFont"/>
    <w:link w:val="Heading1"/>
    <w:uiPriority w:val="9"/>
    <w:rsid w:val="008E6CAD"/>
    <w:rPr>
      <w:rFonts w:ascii="Times New Roman" w:eastAsia="Times New Roman" w:hAnsi="Times New Roman" w:cs="Times New Roman"/>
      <w:b/>
      <w:bCs/>
      <w:kern w:val="36"/>
      <w:sz w:val="48"/>
      <w:szCs w:val="48"/>
      <w:lang w:eastAsia="en-AU"/>
    </w:rPr>
  </w:style>
  <w:style w:type="character" w:styleId="Strong">
    <w:name w:val="Strong"/>
    <w:basedOn w:val="DefaultParagraphFont"/>
    <w:uiPriority w:val="22"/>
    <w:qFormat/>
    <w:rsid w:val="008E6CAD"/>
    <w:rPr>
      <w:b/>
      <w:bCs/>
    </w:rPr>
  </w:style>
  <w:style w:type="character" w:customStyle="1" w:styleId="flex-5">
    <w:name w:val="flex-5"/>
    <w:basedOn w:val="DefaultParagraphFont"/>
    <w:rsid w:val="0012428A"/>
  </w:style>
  <w:style w:type="paragraph" w:styleId="BalloonText">
    <w:name w:val="Balloon Text"/>
    <w:basedOn w:val="Normal"/>
    <w:link w:val="BalloonTextChar"/>
    <w:uiPriority w:val="99"/>
    <w:semiHidden/>
    <w:unhideWhenUsed/>
    <w:rsid w:val="00097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1C3"/>
    <w:rPr>
      <w:rFonts w:ascii="Tahoma" w:hAnsi="Tahoma" w:cs="Tahoma"/>
      <w:sz w:val="16"/>
      <w:szCs w:val="16"/>
    </w:rPr>
  </w:style>
  <w:style w:type="paragraph" w:styleId="ListParagraph">
    <w:name w:val="List Paragraph"/>
    <w:basedOn w:val="Normal"/>
    <w:uiPriority w:val="34"/>
    <w:qFormat/>
    <w:rsid w:val="00D112BD"/>
    <w:pPr>
      <w:ind w:left="720"/>
      <w:contextualSpacing/>
    </w:pPr>
  </w:style>
  <w:style w:type="paragraph" w:customStyle="1" w:styleId="xmsonormal">
    <w:name w:val="x_msonormal"/>
    <w:basedOn w:val="Normal"/>
    <w:rsid w:val="00FD298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A03FBB"/>
    <w:rPr>
      <w:sz w:val="16"/>
      <w:szCs w:val="16"/>
    </w:rPr>
  </w:style>
  <w:style w:type="paragraph" w:styleId="CommentText">
    <w:name w:val="annotation text"/>
    <w:basedOn w:val="Normal"/>
    <w:link w:val="CommentTextChar"/>
    <w:uiPriority w:val="99"/>
    <w:semiHidden/>
    <w:unhideWhenUsed/>
    <w:rsid w:val="00A03FBB"/>
    <w:pPr>
      <w:spacing w:line="240" w:lineRule="auto"/>
    </w:pPr>
    <w:rPr>
      <w:sz w:val="20"/>
      <w:szCs w:val="20"/>
    </w:rPr>
  </w:style>
  <w:style w:type="character" w:customStyle="1" w:styleId="CommentTextChar">
    <w:name w:val="Comment Text Char"/>
    <w:basedOn w:val="DefaultParagraphFont"/>
    <w:link w:val="CommentText"/>
    <w:uiPriority w:val="99"/>
    <w:semiHidden/>
    <w:rsid w:val="00A03FBB"/>
    <w:rPr>
      <w:sz w:val="20"/>
      <w:szCs w:val="20"/>
    </w:rPr>
  </w:style>
  <w:style w:type="paragraph" w:styleId="CommentSubject">
    <w:name w:val="annotation subject"/>
    <w:basedOn w:val="CommentText"/>
    <w:next w:val="CommentText"/>
    <w:link w:val="CommentSubjectChar"/>
    <w:uiPriority w:val="99"/>
    <w:semiHidden/>
    <w:unhideWhenUsed/>
    <w:rsid w:val="00A03FBB"/>
    <w:rPr>
      <w:b/>
      <w:bCs/>
    </w:rPr>
  </w:style>
  <w:style w:type="character" w:customStyle="1" w:styleId="CommentSubjectChar">
    <w:name w:val="Comment Subject Char"/>
    <w:basedOn w:val="CommentTextChar"/>
    <w:link w:val="CommentSubject"/>
    <w:uiPriority w:val="99"/>
    <w:semiHidden/>
    <w:rsid w:val="00A03FBB"/>
    <w:rPr>
      <w:b/>
      <w:bCs/>
      <w:sz w:val="20"/>
      <w:szCs w:val="20"/>
    </w:rPr>
  </w:style>
  <w:style w:type="paragraph" w:customStyle="1" w:styleId="western">
    <w:name w:val="western"/>
    <w:basedOn w:val="Normal"/>
    <w:rsid w:val="00047E2A"/>
    <w:pPr>
      <w:spacing w:before="100" w:beforeAutospacing="1" w:after="144" w:line="288" w:lineRule="auto"/>
    </w:pPr>
    <w:rPr>
      <w:rFonts w:ascii="Calibri" w:eastAsia="Times New Roman" w:hAnsi="Calibri" w:cs="Times New Roman"/>
      <w:color w:val="000000"/>
      <w:lang w:val="en-MY" w:eastAsia="en-MY"/>
    </w:rPr>
  </w:style>
  <w:style w:type="character" w:customStyle="1" w:styleId="UnresolvedMention">
    <w:name w:val="Unresolved Mention"/>
    <w:basedOn w:val="DefaultParagraphFont"/>
    <w:uiPriority w:val="99"/>
    <w:semiHidden/>
    <w:unhideWhenUsed/>
    <w:rsid w:val="00C51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0304">
      <w:bodyDiv w:val="1"/>
      <w:marLeft w:val="0"/>
      <w:marRight w:val="0"/>
      <w:marTop w:val="0"/>
      <w:marBottom w:val="0"/>
      <w:divBdr>
        <w:top w:val="none" w:sz="0" w:space="0" w:color="auto"/>
        <w:left w:val="none" w:sz="0" w:space="0" w:color="auto"/>
        <w:bottom w:val="none" w:sz="0" w:space="0" w:color="auto"/>
        <w:right w:val="none" w:sz="0" w:space="0" w:color="auto"/>
      </w:divBdr>
      <w:divsChild>
        <w:div w:id="318197110">
          <w:marLeft w:val="0"/>
          <w:marRight w:val="0"/>
          <w:marTop w:val="0"/>
          <w:marBottom w:val="0"/>
          <w:divBdr>
            <w:top w:val="none" w:sz="0" w:space="0" w:color="auto"/>
            <w:left w:val="none" w:sz="0" w:space="0" w:color="auto"/>
            <w:bottom w:val="none" w:sz="0" w:space="0" w:color="auto"/>
            <w:right w:val="none" w:sz="0" w:space="0" w:color="auto"/>
          </w:divBdr>
        </w:div>
        <w:div w:id="1339892572">
          <w:marLeft w:val="0"/>
          <w:marRight w:val="0"/>
          <w:marTop w:val="0"/>
          <w:marBottom w:val="0"/>
          <w:divBdr>
            <w:top w:val="none" w:sz="0" w:space="0" w:color="auto"/>
            <w:left w:val="none" w:sz="0" w:space="0" w:color="auto"/>
            <w:bottom w:val="none" w:sz="0" w:space="0" w:color="auto"/>
            <w:right w:val="none" w:sz="0" w:space="0" w:color="auto"/>
          </w:divBdr>
        </w:div>
      </w:divsChild>
    </w:div>
    <w:div w:id="243758764">
      <w:bodyDiv w:val="1"/>
      <w:marLeft w:val="0"/>
      <w:marRight w:val="0"/>
      <w:marTop w:val="0"/>
      <w:marBottom w:val="0"/>
      <w:divBdr>
        <w:top w:val="none" w:sz="0" w:space="0" w:color="auto"/>
        <w:left w:val="none" w:sz="0" w:space="0" w:color="auto"/>
        <w:bottom w:val="none" w:sz="0" w:space="0" w:color="auto"/>
        <w:right w:val="none" w:sz="0" w:space="0" w:color="auto"/>
      </w:divBdr>
    </w:div>
    <w:div w:id="254631103">
      <w:bodyDiv w:val="1"/>
      <w:marLeft w:val="0"/>
      <w:marRight w:val="0"/>
      <w:marTop w:val="0"/>
      <w:marBottom w:val="0"/>
      <w:divBdr>
        <w:top w:val="none" w:sz="0" w:space="0" w:color="auto"/>
        <w:left w:val="none" w:sz="0" w:space="0" w:color="auto"/>
        <w:bottom w:val="none" w:sz="0" w:space="0" w:color="auto"/>
        <w:right w:val="none" w:sz="0" w:space="0" w:color="auto"/>
      </w:divBdr>
    </w:div>
    <w:div w:id="269169937">
      <w:bodyDiv w:val="1"/>
      <w:marLeft w:val="0"/>
      <w:marRight w:val="0"/>
      <w:marTop w:val="0"/>
      <w:marBottom w:val="0"/>
      <w:divBdr>
        <w:top w:val="none" w:sz="0" w:space="0" w:color="auto"/>
        <w:left w:val="none" w:sz="0" w:space="0" w:color="auto"/>
        <w:bottom w:val="none" w:sz="0" w:space="0" w:color="auto"/>
        <w:right w:val="none" w:sz="0" w:space="0" w:color="auto"/>
      </w:divBdr>
    </w:div>
    <w:div w:id="328216265">
      <w:bodyDiv w:val="1"/>
      <w:marLeft w:val="0"/>
      <w:marRight w:val="0"/>
      <w:marTop w:val="0"/>
      <w:marBottom w:val="0"/>
      <w:divBdr>
        <w:top w:val="none" w:sz="0" w:space="0" w:color="auto"/>
        <w:left w:val="none" w:sz="0" w:space="0" w:color="auto"/>
        <w:bottom w:val="none" w:sz="0" w:space="0" w:color="auto"/>
        <w:right w:val="none" w:sz="0" w:space="0" w:color="auto"/>
      </w:divBdr>
    </w:div>
    <w:div w:id="407846658">
      <w:bodyDiv w:val="1"/>
      <w:marLeft w:val="0"/>
      <w:marRight w:val="0"/>
      <w:marTop w:val="0"/>
      <w:marBottom w:val="0"/>
      <w:divBdr>
        <w:top w:val="none" w:sz="0" w:space="0" w:color="auto"/>
        <w:left w:val="none" w:sz="0" w:space="0" w:color="auto"/>
        <w:bottom w:val="none" w:sz="0" w:space="0" w:color="auto"/>
        <w:right w:val="none" w:sz="0" w:space="0" w:color="auto"/>
      </w:divBdr>
    </w:div>
    <w:div w:id="827015953">
      <w:bodyDiv w:val="1"/>
      <w:marLeft w:val="0"/>
      <w:marRight w:val="0"/>
      <w:marTop w:val="0"/>
      <w:marBottom w:val="0"/>
      <w:divBdr>
        <w:top w:val="none" w:sz="0" w:space="0" w:color="auto"/>
        <w:left w:val="none" w:sz="0" w:space="0" w:color="auto"/>
        <w:bottom w:val="none" w:sz="0" w:space="0" w:color="auto"/>
        <w:right w:val="none" w:sz="0" w:space="0" w:color="auto"/>
      </w:divBdr>
    </w:div>
    <w:div w:id="888490118">
      <w:bodyDiv w:val="1"/>
      <w:marLeft w:val="0"/>
      <w:marRight w:val="0"/>
      <w:marTop w:val="0"/>
      <w:marBottom w:val="0"/>
      <w:divBdr>
        <w:top w:val="none" w:sz="0" w:space="0" w:color="auto"/>
        <w:left w:val="none" w:sz="0" w:space="0" w:color="auto"/>
        <w:bottom w:val="none" w:sz="0" w:space="0" w:color="auto"/>
        <w:right w:val="none" w:sz="0" w:space="0" w:color="auto"/>
      </w:divBdr>
    </w:div>
    <w:div w:id="1285772954">
      <w:bodyDiv w:val="1"/>
      <w:marLeft w:val="0"/>
      <w:marRight w:val="0"/>
      <w:marTop w:val="0"/>
      <w:marBottom w:val="0"/>
      <w:divBdr>
        <w:top w:val="none" w:sz="0" w:space="0" w:color="auto"/>
        <w:left w:val="none" w:sz="0" w:space="0" w:color="auto"/>
        <w:bottom w:val="none" w:sz="0" w:space="0" w:color="auto"/>
        <w:right w:val="none" w:sz="0" w:space="0" w:color="auto"/>
      </w:divBdr>
    </w:div>
    <w:div w:id="1468351447">
      <w:bodyDiv w:val="1"/>
      <w:marLeft w:val="0"/>
      <w:marRight w:val="0"/>
      <w:marTop w:val="0"/>
      <w:marBottom w:val="0"/>
      <w:divBdr>
        <w:top w:val="none" w:sz="0" w:space="0" w:color="auto"/>
        <w:left w:val="none" w:sz="0" w:space="0" w:color="auto"/>
        <w:bottom w:val="none" w:sz="0" w:space="0" w:color="auto"/>
        <w:right w:val="none" w:sz="0" w:space="0" w:color="auto"/>
      </w:divBdr>
    </w:div>
    <w:div w:id="1552964019">
      <w:bodyDiv w:val="1"/>
      <w:marLeft w:val="0"/>
      <w:marRight w:val="0"/>
      <w:marTop w:val="0"/>
      <w:marBottom w:val="0"/>
      <w:divBdr>
        <w:top w:val="none" w:sz="0" w:space="0" w:color="auto"/>
        <w:left w:val="none" w:sz="0" w:space="0" w:color="auto"/>
        <w:bottom w:val="none" w:sz="0" w:space="0" w:color="auto"/>
        <w:right w:val="none" w:sz="0" w:space="0" w:color="auto"/>
      </w:divBdr>
      <w:divsChild>
        <w:div w:id="705836141">
          <w:marLeft w:val="0"/>
          <w:marRight w:val="0"/>
          <w:marTop w:val="0"/>
          <w:marBottom w:val="0"/>
          <w:divBdr>
            <w:top w:val="none" w:sz="0" w:space="0" w:color="auto"/>
            <w:left w:val="none" w:sz="0" w:space="0" w:color="auto"/>
            <w:bottom w:val="none" w:sz="0" w:space="0" w:color="auto"/>
            <w:right w:val="none" w:sz="0" w:space="0" w:color="auto"/>
          </w:divBdr>
          <w:divsChild>
            <w:div w:id="90590511">
              <w:marLeft w:val="0"/>
              <w:marRight w:val="0"/>
              <w:marTop w:val="0"/>
              <w:marBottom w:val="0"/>
              <w:divBdr>
                <w:top w:val="none" w:sz="0" w:space="0" w:color="auto"/>
                <w:left w:val="none" w:sz="0" w:space="0" w:color="auto"/>
                <w:bottom w:val="none" w:sz="0" w:space="0" w:color="auto"/>
                <w:right w:val="none" w:sz="0" w:space="0" w:color="auto"/>
              </w:divBdr>
              <w:divsChild>
                <w:div w:id="1593589664">
                  <w:marLeft w:val="0"/>
                  <w:marRight w:val="0"/>
                  <w:marTop w:val="0"/>
                  <w:marBottom w:val="0"/>
                  <w:divBdr>
                    <w:top w:val="none" w:sz="0" w:space="0" w:color="auto"/>
                    <w:left w:val="none" w:sz="0" w:space="0" w:color="auto"/>
                    <w:bottom w:val="none" w:sz="0" w:space="0" w:color="auto"/>
                    <w:right w:val="none" w:sz="0" w:space="0" w:color="auto"/>
                  </w:divBdr>
                  <w:divsChild>
                    <w:div w:id="2085952867">
                      <w:marLeft w:val="0"/>
                      <w:marRight w:val="0"/>
                      <w:marTop w:val="0"/>
                      <w:marBottom w:val="0"/>
                      <w:divBdr>
                        <w:top w:val="none" w:sz="0" w:space="0" w:color="auto"/>
                        <w:left w:val="none" w:sz="0" w:space="0" w:color="auto"/>
                        <w:bottom w:val="none" w:sz="0" w:space="0" w:color="auto"/>
                        <w:right w:val="none" w:sz="0" w:space="0" w:color="auto"/>
                      </w:divBdr>
                      <w:divsChild>
                        <w:div w:id="1691491216">
                          <w:marLeft w:val="0"/>
                          <w:marRight w:val="0"/>
                          <w:marTop w:val="0"/>
                          <w:marBottom w:val="0"/>
                          <w:divBdr>
                            <w:top w:val="none" w:sz="0" w:space="0" w:color="auto"/>
                            <w:left w:val="none" w:sz="0" w:space="0" w:color="auto"/>
                            <w:bottom w:val="none" w:sz="0" w:space="0" w:color="auto"/>
                            <w:right w:val="none" w:sz="0" w:space="0" w:color="auto"/>
                          </w:divBdr>
                          <w:divsChild>
                            <w:div w:id="2068187456">
                              <w:marLeft w:val="0"/>
                              <w:marRight w:val="0"/>
                              <w:marTop w:val="0"/>
                              <w:marBottom w:val="450"/>
                              <w:divBdr>
                                <w:top w:val="none" w:sz="0" w:space="0" w:color="auto"/>
                                <w:left w:val="none" w:sz="0" w:space="0" w:color="auto"/>
                                <w:bottom w:val="none" w:sz="0" w:space="0" w:color="auto"/>
                                <w:right w:val="none" w:sz="0" w:space="0" w:color="auto"/>
                              </w:divBdr>
                              <w:divsChild>
                                <w:div w:id="790058006">
                                  <w:marLeft w:val="0"/>
                                  <w:marRight w:val="0"/>
                                  <w:marTop w:val="0"/>
                                  <w:marBottom w:val="0"/>
                                  <w:divBdr>
                                    <w:top w:val="none" w:sz="0" w:space="0" w:color="auto"/>
                                    <w:left w:val="none" w:sz="0" w:space="0" w:color="auto"/>
                                    <w:bottom w:val="none" w:sz="0" w:space="0" w:color="auto"/>
                                    <w:right w:val="none" w:sz="0" w:space="0" w:color="auto"/>
                                  </w:divBdr>
                                  <w:divsChild>
                                    <w:div w:id="1288857708">
                                      <w:marLeft w:val="0"/>
                                      <w:marRight w:val="0"/>
                                      <w:marTop w:val="0"/>
                                      <w:marBottom w:val="0"/>
                                      <w:divBdr>
                                        <w:top w:val="none" w:sz="0" w:space="0" w:color="auto"/>
                                        <w:left w:val="none" w:sz="0" w:space="0" w:color="auto"/>
                                        <w:bottom w:val="none" w:sz="0" w:space="0" w:color="auto"/>
                                        <w:right w:val="none" w:sz="0" w:space="0" w:color="auto"/>
                                      </w:divBdr>
                                      <w:divsChild>
                                        <w:div w:id="1147161554">
                                          <w:marLeft w:val="0"/>
                                          <w:marRight w:val="0"/>
                                          <w:marTop w:val="0"/>
                                          <w:marBottom w:val="0"/>
                                          <w:divBdr>
                                            <w:top w:val="none" w:sz="0" w:space="0" w:color="auto"/>
                                            <w:left w:val="none" w:sz="0" w:space="0" w:color="auto"/>
                                            <w:bottom w:val="none" w:sz="0" w:space="0" w:color="auto"/>
                                            <w:right w:val="none" w:sz="0" w:space="0" w:color="auto"/>
                                          </w:divBdr>
                                          <w:divsChild>
                                            <w:div w:id="835346861">
                                              <w:marLeft w:val="0"/>
                                              <w:marRight w:val="0"/>
                                              <w:marTop w:val="0"/>
                                              <w:marBottom w:val="0"/>
                                              <w:divBdr>
                                                <w:top w:val="none" w:sz="0" w:space="0" w:color="auto"/>
                                                <w:left w:val="none" w:sz="0" w:space="0" w:color="auto"/>
                                                <w:bottom w:val="none" w:sz="0" w:space="0" w:color="auto"/>
                                                <w:right w:val="none" w:sz="0" w:space="0" w:color="auto"/>
                                              </w:divBdr>
                                              <w:divsChild>
                                                <w:div w:id="7748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2661076">
      <w:bodyDiv w:val="1"/>
      <w:marLeft w:val="0"/>
      <w:marRight w:val="0"/>
      <w:marTop w:val="0"/>
      <w:marBottom w:val="0"/>
      <w:divBdr>
        <w:top w:val="none" w:sz="0" w:space="0" w:color="auto"/>
        <w:left w:val="none" w:sz="0" w:space="0" w:color="auto"/>
        <w:bottom w:val="none" w:sz="0" w:space="0" w:color="auto"/>
        <w:right w:val="none" w:sz="0" w:space="0" w:color="auto"/>
      </w:divBdr>
    </w:div>
    <w:div w:id="2140418202">
      <w:bodyDiv w:val="1"/>
      <w:marLeft w:val="0"/>
      <w:marRight w:val="0"/>
      <w:marTop w:val="0"/>
      <w:marBottom w:val="0"/>
      <w:divBdr>
        <w:top w:val="none" w:sz="0" w:space="0" w:color="auto"/>
        <w:left w:val="none" w:sz="0" w:space="0" w:color="auto"/>
        <w:bottom w:val="none" w:sz="0" w:space="0" w:color="auto"/>
        <w:right w:val="none" w:sz="0" w:space="0" w:color="auto"/>
      </w:divBdr>
      <w:divsChild>
        <w:div w:id="470757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05055-2DE2-4C8B-926C-C9D7AFDF2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4940</Words>
  <Characters>28160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Leong Joon Yee</dc:creator>
  <cp:lastModifiedBy>Copy editor</cp:lastModifiedBy>
  <cp:revision>2</cp:revision>
  <cp:lastPrinted>2016-03-09T02:37:00Z</cp:lastPrinted>
  <dcterms:created xsi:type="dcterms:W3CDTF">2020-01-16T02:32:00Z</dcterms:created>
  <dcterms:modified xsi:type="dcterms:W3CDTF">2020-01-16T02:32:00Z</dcterms:modified>
</cp:coreProperties>
</file>