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FDD" w:rsidRPr="00597BD4" w:rsidRDefault="00586FDD" w:rsidP="00586FDD">
      <w:pPr>
        <w:pStyle w:val="ListParagraph"/>
        <w:numPr>
          <w:ilvl w:val="0"/>
          <w:numId w:val="1"/>
        </w:numPr>
        <w:spacing w:line="360" w:lineRule="auto"/>
        <w:rPr>
          <w:rFonts w:ascii="Times New Roman" w:hAnsi="Times New Roman" w:cs="Times New Roman"/>
          <w:b/>
          <w:bCs/>
          <w:u w:val="single"/>
        </w:rPr>
      </w:pPr>
      <w:r w:rsidRPr="00597BD4">
        <w:rPr>
          <w:rFonts w:ascii="Arial" w:hAnsi="Arial" w:cs="Arial"/>
          <w:b/>
          <w:color w:val="222222"/>
          <w:u w:val="single"/>
          <w:shd w:val="clear" w:color="auto" w:fill="FFFFFF"/>
        </w:rPr>
        <w:t xml:space="preserve">Title: </w:t>
      </w:r>
      <w:r w:rsidRPr="00597BD4">
        <w:rPr>
          <w:rFonts w:ascii="Times New Roman" w:hAnsi="Times New Roman" w:cs="Times New Roman"/>
          <w:b/>
          <w:bCs/>
          <w:u w:val="single"/>
        </w:rPr>
        <w:t>Between dispelling hope and leaving them in the state of ‘</w:t>
      </w:r>
      <w:proofErr w:type="spellStart"/>
      <w:r w:rsidRPr="00597BD4">
        <w:rPr>
          <w:rFonts w:ascii="Times New Roman" w:hAnsi="Times New Roman" w:cs="Times New Roman"/>
          <w:b/>
          <w:bCs/>
          <w:u w:val="single"/>
        </w:rPr>
        <w:t>inbetweeness</w:t>
      </w:r>
      <w:proofErr w:type="spellEnd"/>
      <w:r w:rsidRPr="00597BD4">
        <w:rPr>
          <w:rFonts w:ascii="Times New Roman" w:hAnsi="Times New Roman" w:cs="Times New Roman"/>
          <w:b/>
          <w:bCs/>
          <w:u w:val="single"/>
        </w:rPr>
        <w:t>’: Moral dilemmas of research on infertility treatment seeking in Kerala.</w:t>
      </w:r>
    </w:p>
    <w:p w:rsidR="00586FDD" w:rsidRPr="00EC3475" w:rsidRDefault="00586FDD" w:rsidP="00586FDD">
      <w:pPr>
        <w:pStyle w:val="ListParagraph"/>
        <w:rPr>
          <w:b/>
          <w:u w:val="single"/>
        </w:rPr>
      </w:pPr>
      <w:r>
        <w:rPr>
          <w:rFonts w:ascii="Arial" w:hAnsi="Arial" w:cs="Arial"/>
          <w:color w:val="222222"/>
        </w:rPr>
        <w:br/>
      </w:r>
    </w:p>
    <w:tbl>
      <w:tblPr>
        <w:tblStyle w:val="TableGrid"/>
        <w:tblW w:w="0" w:type="auto"/>
        <w:tblInd w:w="720" w:type="dxa"/>
        <w:tblLook w:val="04A0" w:firstRow="1" w:lastRow="0" w:firstColumn="1" w:lastColumn="0" w:noHBand="0" w:noVBand="1"/>
      </w:tblPr>
      <w:tblGrid>
        <w:gridCol w:w="835"/>
        <w:gridCol w:w="4921"/>
        <w:gridCol w:w="2874"/>
      </w:tblGrid>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S. No.</w:t>
            </w:r>
          </w:p>
        </w:tc>
        <w:tc>
          <w:tcPr>
            <w:tcW w:w="4921"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Reviewer’s comment</w:t>
            </w:r>
          </w:p>
        </w:tc>
        <w:tc>
          <w:tcPr>
            <w:tcW w:w="2874"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Author’s response</w:t>
            </w: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1</w:t>
            </w:r>
          </w:p>
        </w:tc>
        <w:tc>
          <w:tcPr>
            <w:tcW w:w="4921" w:type="dxa"/>
          </w:tcPr>
          <w:p w:rsidR="00586FDD" w:rsidRPr="00AD618F" w:rsidRDefault="00586FDD" w:rsidP="0035716F">
            <w:pPr>
              <w:spacing w:after="0" w:line="240" w:lineRule="auto"/>
              <w:rPr>
                <w:b/>
                <w:u w:val="single"/>
              </w:rPr>
            </w:pPr>
            <w:r w:rsidRPr="00AD618F">
              <w:rPr>
                <w:rFonts w:ascii="Arial" w:hAnsi="Arial" w:cs="Arial"/>
                <w:color w:val="222222"/>
                <w:shd w:val="clear" w:color="auto" w:fill="FFFFFF"/>
              </w:rPr>
              <w:t>The paper does address issues relevant to the fields of bioethics and medical ethics in the developing countries, and is not too specialised for the journal.</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2.</w:t>
            </w:r>
          </w:p>
        </w:tc>
        <w:tc>
          <w:tcPr>
            <w:tcW w:w="4921" w:type="dxa"/>
          </w:tcPr>
          <w:p w:rsidR="00586FDD" w:rsidRPr="00AD618F" w:rsidRDefault="00586FDD" w:rsidP="0035716F">
            <w:pPr>
              <w:spacing w:after="0" w:line="240" w:lineRule="auto"/>
              <w:rPr>
                <w:b/>
                <w:u w:val="single"/>
              </w:rPr>
            </w:pPr>
            <w:r w:rsidRPr="00AD618F">
              <w:rPr>
                <w:rFonts w:ascii="Arial" w:hAnsi="Arial" w:cs="Arial"/>
                <w:color w:val="222222"/>
                <w:shd w:val="clear" w:color="auto" w:fill="FFFFFF"/>
              </w:rPr>
              <w:t>The information is new to some extent, especially the quantitative data being discussed.</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3.</w:t>
            </w:r>
          </w:p>
        </w:tc>
        <w:tc>
          <w:tcPr>
            <w:tcW w:w="4921"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rPr>
              <w:t xml:space="preserve">The interpretation needs to be developed further. Right now, the author has presented a simplistic interpretation of a mountain of data. There is need to pick on some data and reflect on findings through existing studies of IVF and infertility in India: Sama, </w:t>
            </w:r>
            <w:proofErr w:type="spellStart"/>
            <w:r>
              <w:rPr>
                <w:rFonts w:ascii="Arial" w:hAnsi="Arial" w:cs="Arial"/>
                <w:color w:val="222222"/>
              </w:rPr>
              <w:t>Kalindi</w:t>
            </w:r>
            <w:proofErr w:type="spellEnd"/>
            <w:r>
              <w:rPr>
                <w:rFonts w:ascii="Arial" w:hAnsi="Arial" w:cs="Arial"/>
                <w:color w:val="222222"/>
              </w:rPr>
              <w:t xml:space="preserve"> </w:t>
            </w:r>
            <w:proofErr w:type="spellStart"/>
            <w:r>
              <w:rPr>
                <w:rFonts w:ascii="Arial" w:hAnsi="Arial" w:cs="Arial"/>
                <w:color w:val="222222"/>
              </w:rPr>
              <w:t>Vora</w:t>
            </w:r>
            <w:proofErr w:type="spellEnd"/>
            <w:r>
              <w:rPr>
                <w:rFonts w:ascii="Arial" w:hAnsi="Arial" w:cs="Arial"/>
                <w:color w:val="222222"/>
              </w:rPr>
              <w:t xml:space="preserve">, </w:t>
            </w:r>
            <w:proofErr w:type="spellStart"/>
            <w:r>
              <w:rPr>
                <w:rFonts w:ascii="Arial" w:hAnsi="Arial" w:cs="Arial"/>
                <w:color w:val="222222"/>
              </w:rPr>
              <w:t>Unisa</w:t>
            </w:r>
            <w:proofErr w:type="spellEnd"/>
            <w:r>
              <w:rPr>
                <w:rFonts w:ascii="Arial" w:hAnsi="Arial" w:cs="Arial"/>
                <w:color w:val="222222"/>
              </w:rPr>
              <w:t xml:space="preserve">, Majumdar, Catherine </w:t>
            </w:r>
            <w:proofErr w:type="spellStart"/>
            <w:r>
              <w:rPr>
                <w:rFonts w:ascii="Arial" w:hAnsi="Arial" w:cs="Arial"/>
                <w:color w:val="222222"/>
              </w:rPr>
              <w:t>Riesmann</w:t>
            </w:r>
            <w:proofErr w:type="spellEnd"/>
            <w:r>
              <w:rPr>
                <w:rFonts w:ascii="Arial" w:hAnsi="Arial" w:cs="Arial"/>
                <w:color w:val="222222"/>
              </w:rPr>
              <w:t xml:space="preserve">, Aditya </w:t>
            </w:r>
            <w:proofErr w:type="spellStart"/>
            <w:r>
              <w:rPr>
                <w:rFonts w:ascii="Arial" w:hAnsi="Arial" w:cs="Arial"/>
                <w:color w:val="222222"/>
              </w:rPr>
              <w:t>Bharadwaj</w:t>
            </w:r>
            <w:proofErr w:type="spellEnd"/>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4.</w:t>
            </w:r>
          </w:p>
        </w:tc>
        <w:tc>
          <w:tcPr>
            <w:tcW w:w="4921" w:type="dxa"/>
          </w:tcPr>
          <w:p w:rsidR="00586FDD" w:rsidRPr="00AD618F" w:rsidRDefault="00586FDD" w:rsidP="0035716F">
            <w:pPr>
              <w:spacing w:after="0" w:line="240" w:lineRule="auto"/>
              <w:rPr>
                <w:b/>
                <w:u w:val="single"/>
              </w:rPr>
            </w:pPr>
            <w:r w:rsidRPr="00AD618F">
              <w:rPr>
                <w:rFonts w:ascii="Arial" w:hAnsi="Arial" w:cs="Arial"/>
                <w:color w:val="222222"/>
              </w:rPr>
              <w:t xml:space="preserve">The paper is peppered with loose generalisations. What is care seeking? How is it different from infertility treatment? There is very little conceptual engagement with Franklin’s idea of hope technology though the author keeps calling her respondents hopeless. </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5.</w:t>
            </w:r>
          </w:p>
        </w:tc>
        <w:tc>
          <w:tcPr>
            <w:tcW w:w="4921" w:type="dxa"/>
          </w:tcPr>
          <w:p w:rsidR="00586FDD" w:rsidRPr="00DB57B7" w:rsidRDefault="00586FDD" w:rsidP="0035716F">
            <w:pPr>
              <w:spacing w:after="0" w:line="240" w:lineRule="auto"/>
              <w:rPr>
                <w:b/>
                <w:u w:val="single"/>
              </w:rPr>
            </w:pPr>
            <w:r w:rsidRPr="00DB57B7">
              <w:rPr>
                <w:rFonts w:ascii="Arial" w:hAnsi="Arial" w:cs="Arial"/>
                <w:color w:val="222222"/>
                <w:shd w:val="clear" w:color="auto" w:fill="FFFFFF"/>
              </w:rPr>
              <w:t>The concept of morality and ethics cannot be restricted to a paragraph long discussion of tangibility and intangibility. It seems fleeting and not in-depth enough. Also, the author’s self-reflexivity is not fully explored in the paper, except in the beginning.</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6.</w:t>
            </w:r>
          </w:p>
        </w:tc>
        <w:tc>
          <w:tcPr>
            <w:tcW w:w="4921" w:type="dxa"/>
          </w:tcPr>
          <w:p w:rsidR="00586FDD" w:rsidRPr="00205D35" w:rsidRDefault="00586FDD" w:rsidP="0035716F">
            <w:pPr>
              <w:spacing w:after="0" w:line="240" w:lineRule="auto"/>
              <w:rPr>
                <w:rFonts w:ascii="Arial" w:hAnsi="Arial" w:cs="Arial"/>
                <w:color w:val="222222"/>
              </w:rPr>
            </w:pPr>
            <w:r w:rsidRPr="00205D35">
              <w:rPr>
                <w:rFonts w:ascii="Arial" w:hAnsi="Arial" w:cs="Arial"/>
                <w:color w:val="222222"/>
              </w:rPr>
              <w:t>We get no idea of the questionnaire distributed to the 600 + women: what kind of questions were asked, what was the majority class, caste, religious background? How much money did individuals and couples spend on the treatment? These are important markers of hopelessness as well.</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7.</w:t>
            </w:r>
          </w:p>
        </w:tc>
        <w:tc>
          <w:tcPr>
            <w:tcW w:w="4921" w:type="dxa"/>
          </w:tcPr>
          <w:p w:rsidR="00586FDD" w:rsidRPr="00597BD4" w:rsidRDefault="00586FDD" w:rsidP="0035716F">
            <w:pPr>
              <w:rPr>
                <w:rFonts w:ascii="Arial" w:hAnsi="Arial" w:cs="Arial"/>
                <w:color w:val="222222"/>
              </w:rPr>
            </w:pPr>
            <w:r w:rsidRPr="00205D35">
              <w:rPr>
                <w:rFonts w:ascii="Arial" w:hAnsi="Arial" w:cs="Arial"/>
                <w:color w:val="222222"/>
              </w:rPr>
              <w:t>The idea of ‘</w:t>
            </w:r>
            <w:proofErr w:type="spellStart"/>
            <w:r w:rsidRPr="00205D35">
              <w:rPr>
                <w:rFonts w:ascii="Arial" w:hAnsi="Arial" w:cs="Arial"/>
                <w:color w:val="222222"/>
              </w:rPr>
              <w:t>inbetweeness</w:t>
            </w:r>
            <w:proofErr w:type="spellEnd"/>
            <w:r w:rsidRPr="00205D35">
              <w:rPr>
                <w:rFonts w:ascii="Arial" w:hAnsi="Arial" w:cs="Arial"/>
                <w:color w:val="222222"/>
              </w:rPr>
              <w:t xml:space="preserve">’ comes in at the end. It’s not completely articulated considering it </w:t>
            </w:r>
            <w:r w:rsidRPr="00205D35">
              <w:rPr>
                <w:rFonts w:ascii="Arial" w:hAnsi="Arial" w:cs="Arial"/>
                <w:color w:val="222222"/>
              </w:rPr>
              <w:lastRenderedPageBreak/>
              <w:t xml:space="preserve">appears so prominently in the title. If a theoretical conceptualization would help, then Janet </w:t>
            </w:r>
            <w:proofErr w:type="spellStart"/>
            <w:r w:rsidRPr="00205D35">
              <w:rPr>
                <w:rFonts w:ascii="Arial" w:hAnsi="Arial" w:cs="Arial"/>
                <w:color w:val="222222"/>
              </w:rPr>
              <w:t>Carsten’s</w:t>
            </w:r>
            <w:proofErr w:type="spellEnd"/>
            <w:r w:rsidRPr="00205D35">
              <w:rPr>
                <w:rFonts w:ascii="Arial" w:hAnsi="Arial" w:cs="Arial"/>
                <w:color w:val="222222"/>
              </w:rPr>
              <w:t xml:space="preserve"> article on children and </w:t>
            </w:r>
            <w:proofErr w:type="spellStart"/>
            <w:r w:rsidRPr="00205D35">
              <w:rPr>
                <w:rFonts w:ascii="Arial" w:hAnsi="Arial" w:cs="Arial"/>
                <w:color w:val="222222"/>
              </w:rPr>
              <w:t>inbetweenness</w:t>
            </w:r>
            <w:proofErr w:type="spellEnd"/>
            <w:r w:rsidRPr="00205D35">
              <w:rPr>
                <w:rFonts w:ascii="Arial" w:hAnsi="Arial" w:cs="Arial"/>
                <w:color w:val="222222"/>
              </w:rPr>
              <w:t xml:space="preserve"> might be useful. </w:t>
            </w: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lastRenderedPageBreak/>
              <w:t>8.</w:t>
            </w:r>
          </w:p>
        </w:tc>
        <w:tc>
          <w:tcPr>
            <w:tcW w:w="4921" w:type="dxa"/>
          </w:tcPr>
          <w:p w:rsidR="00586FDD" w:rsidRPr="00205D35" w:rsidRDefault="00586FDD" w:rsidP="0035716F">
            <w:pPr>
              <w:spacing w:after="0" w:line="240" w:lineRule="auto"/>
              <w:rPr>
                <w:rFonts w:ascii="Arial" w:hAnsi="Arial" w:cs="Arial"/>
                <w:color w:val="222222"/>
              </w:rPr>
            </w:pPr>
            <w:r w:rsidRPr="00EC3475">
              <w:rPr>
                <w:rFonts w:ascii="Arial" w:hAnsi="Arial" w:cs="Arial"/>
                <w:color w:val="222222"/>
              </w:rPr>
              <w:t>Figure</w:t>
            </w:r>
            <w:r>
              <w:rPr>
                <w:rFonts w:ascii="Arial" w:hAnsi="Arial" w:cs="Arial"/>
                <w:color w:val="222222"/>
              </w:rPr>
              <w:t xml:space="preserve"> 1 is very convoluted and needs redrafting. </w:t>
            </w:r>
            <w:r>
              <w:rPr>
                <w:rFonts w:ascii="Arial" w:hAnsi="Arial" w:cs="Arial"/>
                <w:color w:val="222222"/>
              </w:rPr>
              <w:br/>
            </w: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9.</w:t>
            </w:r>
          </w:p>
        </w:tc>
        <w:tc>
          <w:tcPr>
            <w:tcW w:w="4921" w:type="dxa"/>
          </w:tcPr>
          <w:p w:rsidR="00586FDD" w:rsidRPr="00205D35" w:rsidRDefault="00586FDD" w:rsidP="0035716F">
            <w:pPr>
              <w:spacing w:after="0" w:line="240" w:lineRule="auto"/>
              <w:rPr>
                <w:rFonts w:ascii="Arial" w:hAnsi="Arial" w:cs="Arial"/>
                <w:color w:val="222222"/>
              </w:rPr>
            </w:pPr>
            <w:r w:rsidRPr="00205D35">
              <w:rPr>
                <w:rFonts w:ascii="Arial" w:hAnsi="Arial" w:cs="Arial"/>
                <w:color w:val="222222"/>
              </w:rPr>
              <w:t>The present manuscript lacks an overall objective, and the stated aim of the paper is too specialized for the journal. However, most of the paper only describes the issue in a peripheral way.</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Pr="00205D35" w:rsidRDefault="00586FDD" w:rsidP="0035716F">
            <w:pPr>
              <w:spacing w:after="0" w:line="240" w:lineRule="auto"/>
              <w:rPr>
                <w:rFonts w:ascii="Arial" w:hAnsi="Arial" w:cs="Arial"/>
                <w:color w:val="222222"/>
                <w:shd w:val="clear" w:color="auto" w:fill="FFFFFF"/>
              </w:rPr>
            </w:pPr>
            <w:r>
              <w:rPr>
                <w:rFonts w:ascii="Arial" w:hAnsi="Arial" w:cs="Arial"/>
                <w:color w:val="222222"/>
                <w:shd w:val="clear" w:color="auto" w:fill="FFFFFF"/>
              </w:rPr>
              <w:t>10.</w:t>
            </w:r>
          </w:p>
        </w:tc>
        <w:tc>
          <w:tcPr>
            <w:tcW w:w="4921" w:type="dxa"/>
          </w:tcPr>
          <w:p w:rsidR="00586FDD" w:rsidRPr="00205D35" w:rsidRDefault="00586FDD" w:rsidP="0035716F">
            <w:pPr>
              <w:spacing w:after="0" w:line="240" w:lineRule="auto"/>
              <w:rPr>
                <w:rFonts w:ascii="Arial" w:hAnsi="Arial" w:cs="Arial"/>
                <w:color w:val="222222"/>
              </w:rPr>
            </w:pPr>
            <w:r w:rsidRPr="00205D35">
              <w:rPr>
                <w:rFonts w:ascii="Arial" w:hAnsi="Arial" w:cs="Arial"/>
                <w:color w:val="222222"/>
                <w:shd w:val="clear" w:color="auto" w:fill="FFFFFF"/>
              </w:rPr>
              <w:t>The main argument</w:t>
            </w:r>
            <w:r>
              <w:rPr>
                <w:rFonts w:ascii="Arial" w:hAnsi="Arial" w:cs="Arial"/>
                <w:color w:val="222222"/>
                <w:shd w:val="clear" w:color="auto" w:fill="FFFFFF"/>
              </w:rPr>
              <w:t>s are</w:t>
            </w:r>
            <w:r w:rsidRPr="00205D35">
              <w:rPr>
                <w:rFonts w:ascii="Arial" w:hAnsi="Arial" w:cs="Arial"/>
                <w:color w:val="222222"/>
                <w:shd w:val="clear" w:color="auto" w:fill="FFFFFF"/>
              </w:rPr>
              <w:t xml:space="preserve"> not new</w:t>
            </w:r>
            <w:r>
              <w:rPr>
                <w:rFonts w:ascii="Arial" w:hAnsi="Arial" w:cs="Arial"/>
                <w:color w:val="222222"/>
                <w:shd w:val="clear" w:color="auto" w:fill="FFFFFF"/>
              </w:rPr>
              <w:t xml:space="preserve"> nor are they well grounded</w:t>
            </w:r>
            <w:proofErr w:type="gramStart"/>
            <w:r>
              <w:rPr>
                <w:rFonts w:ascii="Arial" w:hAnsi="Arial" w:cs="Arial"/>
                <w:color w:val="222222"/>
                <w:shd w:val="clear" w:color="auto" w:fill="FFFFFF"/>
              </w:rPr>
              <w:t>.</w:t>
            </w:r>
            <w:r w:rsidRPr="00205D35">
              <w:rPr>
                <w:rFonts w:ascii="Arial" w:hAnsi="Arial" w:cs="Arial"/>
                <w:color w:val="222222"/>
                <w:shd w:val="clear" w:color="auto" w:fill="FFFFFF"/>
              </w:rPr>
              <w:t>.</w:t>
            </w:r>
            <w:proofErr w:type="gramEnd"/>
            <w:r w:rsidRPr="00205D35">
              <w:rPr>
                <w:rFonts w:ascii="Arial" w:hAnsi="Arial" w:cs="Arial"/>
                <w:color w:val="222222"/>
              </w:rPr>
              <w:t xml:space="preserve"> Detailed analysis and in-depth discussion is lacking</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11.</w:t>
            </w:r>
          </w:p>
        </w:tc>
        <w:tc>
          <w:tcPr>
            <w:tcW w:w="4921" w:type="dxa"/>
          </w:tcPr>
          <w:p w:rsidR="00586FDD" w:rsidRDefault="00586FDD" w:rsidP="0035716F">
            <w:pPr>
              <w:spacing w:after="0" w:line="240" w:lineRule="auto"/>
              <w:rPr>
                <w:rFonts w:ascii="Arial" w:hAnsi="Arial" w:cs="Arial"/>
                <w:color w:val="222222"/>
                <w:shd w:val="clear" w:color="auto" w:fill="FFFFFF"/>
              </w:rPr>
            </w:pPr>
            <w:r>
              <w:rPr>
                <w:rFonts w:ascii="Arial" w:hAnsi="Arial" w:cs="Arial"/>
                <w:color w:val="222222"/>
                <w:shd w:val="clear" w:color="auto" w:fill="FFFFFF"/>
              </w:rPr>
              <w:t>Analysis is not carried out with reference to important literature.</w:t>
            </w: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12.</w:t>
            </w:r>
          </w:p>
        </w:tc>
        <w:tc>
          <w:tcPr>
            <w:tcW w:w="4921" w:type="dxa"/>
          </w:tcPr>
          <w:p w:rsidR="00586FDD" w:rsidRPr="00597BD4" w:rsidRDefault="00586FDD" w:rsidP="0035716F">
            <w:pPr>
              <w:spacing w:after="0" w:line="240" w:lineRule="auto"/>
              <w:rPr>
                <w:rFonts w:ascii="Arial" w:hAnsi="Arial" w:cs="Arial"/>
                <w:color w:val="222222"/>
                <w:shd w:val="clear" w:color="auto" w:fill="FFFFFF"/>
              </w:rPr>
            </w:pPr>
            <w:r w:rsidRPr="00597BD4">
              <w:rPr>
                <w:rFonts w:ascii="Arial" w:hAnsi="Arial" w:cs="Arial"/>
                <w:color w:val="222222"/>
              </w:rPr>
              <w:t>The paper has potential, but the present manuscript lacks logical coherence, depth and rigor in its presentation.</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r>
              <w:rPr>
                <w:rFonts w:ascii="Arial" w:hAnsi="Arial" w:cs="Arial"/>
                <w:color w:val="222222"/>
                <w:shd w:val="clear" w:color="auto" w:fill="FFFFFF"/>
              </w:rPr>
              <w:t>13.</w:t>
            </w:r>
          </w:p>
        </w:tc>
        <w:tc>
          <w:tcPr>
            <w:tcW w:w="4921" w:type="dxa"/>
          </w:tcPr>
          <w:p w:rsidR="00586FDD" w:rsidRPr="00597BD4" w:rsidRDefault="00586FDD" w:rsidP="0035716F">
            <w:pPr>
              <w:spacing w:after="0" w:line="240" w:lineRule="auto"/>
              <w:rPr>
                <w:rFonts w:ascii="Arial" w:hAnsi="Arial" w:cs="Arial"/>
                <w:color w:val="222222"/>
                <w:u w:val="single"/>
                <w:shd w:val="clear" w:color="auto" w:fill="FFFFFF"/>
              </w:rPr>
            </w:pPr>
            <w:r w:rsidRPr="00597BD4">
              <w:rPr>
                <w:rFonts w:ascii="Arial" w:hAnsi="Arial" w:cs="Arial"/>
                <w:color w:val="222222"/>
              </w:rPr>
              <w:t xml:space="preserve">The paper needs a complete revision to achieve its stated objective, along with rich analysis and engagement with existing literature and studies. </w:t>
            </w:r>
            <w:r w:rsidRPr="00597BD4">
              <w:rPr>
                <w:rFonts w:ascii="Arial" w:hAnsi="Arial" w:cs="Arial"/>
                <w:color w:val="222222"/>
                <w:u w:val="single"/>
              </w:rPr>
              <w:t>Detailed comments for the author have been made in a separate document.</w:t>
            </w:r>
          </w:p>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p>
        </w:tc>
        <w:tc>
          <w:tcPr>
            <w:tcW w:w="4921" w:type="dxa"/>
          </w:tcPr>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r w:rsidR="00586FDD" w:rsidTr="0035716F">
        <w:tc>
          <w:tcPr>
            <w:tcW w:w="835" w:type="dxa"/>
          </w:tcPr>
          <w:p w:rsidR="00586FDD" w:rsidRDefault="00586FDD" w:rsidP="0035716F">
            <w:pPr>
              <w:pStyle w:val="ListParagraph"/>
              <w:ind w:left="0"/>
              <w:rPr>
                <w:rFonts w:ascii="Arial" w:hAnsi="Arial" w:cs="Arial"/>
                <w:color w:val="222222"/>
                <w:shd w:val="clear" w:color="auto" w:fill="FFFFFF"/>
              </w:rPr>
            </w:pPr>
          </w:p>
        </w:tc>
        <w:tc>
          <w:tcPr>
            <w:tcW w:w="4921" w:type="dxa"/>
          </w:tcPr>
          <w:p w:rsidR="00586FDD" w:rsidRDefault="00586FDD" w:rsidP="0035716F">
            <w:pPr>
              <w:pStyle w:val="ListParagraph"/>
              <w:ind w:left="0"/>
              <w:rPr>
                <w:rFonts w:ascii="Arial" w:hAnsi="Arial" w:cs="Arial"/>
                <w:color w:val="222222"/>
                <w:shd w:val="clear" w:color="auto" w:fill="FFFFFF"/>
              </w:rPr>
            </w:pPr>
          </w:p>
        </w:tc>
        <w:tc>
          <w:tcPr>
            <w:tcW w:w="2874" w:type="dxa"/>
          </w:tcPr>
          <w:p w:rsidR="00586FDD" w:rsidRDefault="00586FDD" w:rsidP="0035716F">
            <w:pPr>
              <w:pStyle w:val="ListParagraph"/>
              <w:ind w:left="0"/>
              <w:rPr>
                <w:rFonts w:ascii="Arial" w:hAnsi="Arial" w:cs="Arial"/>
                <w:color w:val="222222"/>
                <w:shd w:val="clear" w:color="auto" w:fill="FFFFFF"/>
              </w:rPr>
            </w:pPr>
          </w:p>
        </w:tc>
      </w:tr>
    </w:tbl>
    <w:p w:rsidR="00586FDD" w:rsidRPr="00302E66" w:rsidRDefault="00586FDD" w:rsidP="00586FDD">
      <w:pPr>
        <w:pStyle w:val="ListParagraph"/>
        <w:rPr>
          <w:rFonts w:ascii="Arial" w:hAnsi="Arial" w:cs="Arial"/>
          <w:color w:val="222222"/>
          <w:shd w:val="clear" w:color="auto" w:fill="FFFFFF"/>
        </w:rPr>
      </w:pPr>
    </w:p>
    <w:p w:rsidR="00586FDD" w:rsidRPr="00F009A0" w:rsidRDefault="00586FDD" w:rsidP="00586FDD">
      <w:pPr>
        <w:ind w:left="360"/>
      </w:pPr>
    </w:p>
    <w:p w:rsidR="000B5C50" w:rsidRDefault="000B5C50">
      <w:bookmarkStart w:id="0" w:name="_GoBack"/>
      <w:bookmarkEnd w:id="0"/>
    </w:p>
    <w:sectPr w:rsidR="000B5C50"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36495"/>
    <w:multiLevelType w:val="hybridMultilevel"/>
    <w:tmpl w:val="69FA17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DD"/>
    <w:rsid w:val="000B5C50"/>
    <w:rsid w:val="00586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4A145-E881-4297-9B78-C1416CCD8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FDD"/>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FDD"/>
    <w:pPr>
      <w:ind w:left="720"/>
      <w:contextualSpacing/>
    </w:pPr>
  </w:style>
  <w:style w:type="table" w:styleId="TableGrid">
    <w:name w:val="Table Grid"/>
    <w:basedOn w:val="TableNormal"/>
    <w:uiPriority w:val="59"/>
    <w:rsid w:val="00586FDD"/>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dc:creator>
  <cp:keywords/>
  <dc:description/>
  <cp:lastModifiedBy>MD</cp:lastModifiedBy>
  <cp:revision>1</cp:revision>
  <dcterms:created xsi:type="dcterms:W3CDTF">2020-03-12T06:32:00Z</dcterms:created>
  <dcterms:modified xsi:type="dcterms:W3CDTF">2020-03-12T06:33:00Z</dcterms:modified>
</cp:coreProperties>
</file>