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81E" w:rsidRPr="000D75F1" w:rsidRDefault="00CB08E8" w:rsidP="00C40A4A">
      <w:pPr>
        <w:spacing w:line="360" w:lineRule="auto"/>
        <w:jc w:val="center"/>
        <w:rPr>
          <w:rFonts w:ascii="Times New Roman" w:hAnsi="Times New Roman" w:cs="Times New Roman"/>
          <w:b/>
          <w:sz w:val="28"/>
          <w:lang w:val="en-US"/>
        </w:rPr>
      </w:pPr>
      <w:bookmarkStart w:id="0" w:name="_GoBack"/>
      <w:r w:rsidRPr="00CB08E8">
        <w:rPr>
          <w:rFonts w:ascii="Times New Roman" w:hAnsi="Times New Roman" w:cs="Times New Roman"/>
          <w:b/>
          <w:sz w:val="28"/>
          <w:lang w:val="en-US"/>
        </w:rPr>
        <w:t>FUNCTIONAL STATE OF VESSEL ENDOTHELIAL CELLS IN HYPERTROPHIC GINGIVITIS IN ADOLESCENTS</w:t>
      </w:r>
    </w:p>
    <w:bookmarkEnd w:id="0"/>
    <w:p w:rsidR="00CB08E8" w:rsidRPr="00C40A4A" w:rsidRDefault="00CB08E8" w:rsidP="00C40A4A">
      <w:pPr>
        <w:spacing w:line="240" w:lineRule="auto"/>
        <w:jc w:val="center"/>
        <w:rPr>
          <w:rFonts w:ascii="Times New Roman" w:hAnsi="Times New Roman" w:cs="Times New Roman"/>
          <w:b/>
          <w:i/>
          <w:sz w:val="28"/>
          <w:lang w:val="en-US"/>
        </w:rPr>
      </w:pPr>
      <w:proofErr w:type="spellStart"/>
      <w:r w:rsidRPr="00C40A4A">
        <w:rPr>
          <w:rFonts w:ascii="Times New Roman" w:hAnsi="Times New Roman" w:cs="Times New Roman"/>
          <w:b/>
          <w:i/>
          <w:sz w:val="28"/>
          <w:lang w:val="en-US"/>
        </w:rPr>
        <w:t>Saidova</w:t>
      </w:r>
      <w:proofErr w:type="spellEnd"/>
      <w:r w:rsidRPr="00C40A4A">
        <w:rPr>
          <w:rFonts w:ascii="Times New Roman" w:hAnsi="Times New Roman" w:cs="Times New Roman"/>
          <w:b/>
          <w:i/>
          <w:sz w:val="28"/>
          <w:lang w:val="en-US"/>
        </w:rPr>
        <w:t xml:space="preserve"> N.A.</w:t>
      </w:r>
    </w:p>
    <w:p w:rsidR="00CB08E8" w:rsidRPr="00C40A4A" w:rsidRDefault="00CB08E8" w:rsidP="00C40A4A">
      <w:pPr>
        <w:spacing w:after="0" w:line="240" w:lineRule="auto"/>
        <w:jc w:val="center"/>
        <w:rPr>
          <w:rFonts w:ascii="Times New Roman" w:hAnsi="Times New Roman" w:cs="Times New Roman"/>
          <w:b/>
          <w:sz w:val="24"/>
          <w:lang w:val="uz-Cyrl-UZ"/>
        </w:rPr>
      </w:pPr>
      <w:r w:rsidRPr="00C40A4A">
        <w:rPr>
          <w:rFonts w:ascii="Times New Roman" w:hAnsi="Times New Roman" w:cs="Times New Roman"/>
          <w:b/>
          <w:sz w:val="24"/>
          <w:lang w:val="en-US"/>
        </w:rPr>
        <w:t>Bukhara State Medical Institute</w:t>
      </w:r>
    </w:p>
    <w:p w:rsidR="00C40A4A" w:rsidRPr="00C40A4A" w:rsidRDefault="00C40A4A" w:rsidP="00C40A4A">
      <w:pPr>
        <w:spacing w:after="0" w:line="240" w:lineRule="auto"/>
        <w:jc w:val="center"/>
        <w:rPr>
          <w:rFonts w:ascii="Times New Roman" w:hAnsi="Times New Roman" w:cs="Times New Roman"/>
          <w:b/>
          <w:sz w:val="24"/>
          <w:lang w:val="uz-Cyrl-UZ"/>
        </w:rPr>
      </w:pPr>
    </w:p>
    <w:p w:rsidR="00CB08E8" w:rsidRDefault="00CB08E8" w:rsidP="00C40A4A">
      <w:pPr>
        <w:spacing w:after="0" w:line="360" w:lineRule="auto"/>
        <w:ind w:firstLine="708"/>
        <w:jc w:val="both"/>
        <w:rPr>
          <w:rFonts w:ascii="Times New Roman" w:hAnsi="Times New Roman" w:cs="Times New Roman"/>
          <w:sz w:val="28"/>
          <w:lang w:val="en-US"/>
        </w:rPr>
      </w:pPr>
      <w:r w:rsidRPr="00C40A4A">
        <w:rPr>
          <w:rFonts w:ascii="Times New Roman" w:hAnsi="Times New Roman" w:cs="Times New Roman"/>
          <w:b/>
          <w:sz w:val="28"/>
          <w:lang w:val="en-US"/>
        </w:rPr>
        <w:t>Introduction</w:t>
      </w:r>
      <w:r w:rsidR="00C40A4A" w:rsidRPr="00C40A4A">
        <w:rPr>
          <w:rFonts w:ascii="Times New Roman" w:hAnsi="Times New Roman" w:cs="Times New Roman"/>
          <w:b/>
          <w:sz w:val="28"/>
          <w:lang w:val="uz-Cyrl-UZ"/>
        </w:rPr>
        <w:t>.</w:t>
      </w:r>
      <w:r w:rsidRPr="00CB08E8">
        <w:rPr>
          <w:rFonts w:ascii="Times New Roman" w:hAnsi="Times New Roman" w:cs="Times New Roman"/>
          <w:sz w:val="28"/>
          <w:lang w:val="en-US"/>
        </w:rPr>
        <w:t xml:space="preserve"> Endothelium - the inner lining of blood vessels - takes an active part in the regulation of vascular tone, producing various biologically active substances (BAS). Biologically active substances that act on the endothelium are produced by platelets, leukocytes, mast cells or are activated in the blood plasma, some of the substances are synthesized in the endothelium itself and act on the </w:t>
      </w:r>
      <w:proofErr w:type="spellStart"/>
      <w:r w:rsidRPr="00CB08E8">
        <w:rPr>
          <w:rFonts w:ascii="Times New Roman" w:hAnsi="Times New Roman" w:cs="Times New Roman"/>
          <w:sz w:val="28"/>
          <w:lang w:val="en-US"/>
        </w:rPr>
        <w:t>endotheliocytes</w:t>
      </w:r>
      <w:proofErr w:type="spellEnd"/>
      <w:r w:rsidRPr="00CB08E8">
        <w:rPr>
          <w:rFonts w:ascii="Times New Roman" w:hAnsi="Times New Roman" w:cs="Times New Roman"/>
          <w:sz w:val="28"/>
          <w:lang w:val="en-US"/>
        </w:rPr>
        <w:t xml:space="preserve"> either after they are brought into the bloodstream or paracrine (5</w:t>
      </w:r>
      <w:proofErr w:type="gramStart"/>
      <w:r w:rsidRPr="00CB08E8">
        <w:rPr>
          <w:rFonts w:ascii="Times New Roman" w:hAnsi="Times New Roman" w:cs="Times New Roman"/>
          <w:sz w:val="28"/>
          <w:lang w:val="en-US"/>
        </w:rPr>
        <w:t>,11,12</w:t>
      </w:r>
      <w:proofErr w:type="gramEnd"/>
      <w:r w:rsidRPr="00CB08E8">
        <w:rPr>
          <w:rFonts w:ascii="Times New Roman" w:hAnsi="Times New Roman" w:cs="Times New Roman"/>
          <w:sz w:val="28"/>
          <w:lang w:val="en-US"/>
        </w:rPr>
        <w:t xml:space="preserve">). The effect on the </w:t>
      </w:r>
      <w:proofErr w:type="spellStart"/>
      <w:r w:rsidRPr="00CB08E8">
        <w:rPr>
          <w:rFonts w:ascii="Times New Roman" w:hAnsi="Times New Roman" w:cs="Times New Roman"/>
          <w:sz w:val="28"/>
          <w:lang w:val="en-US"/>
        </w:rPr>
        <w:t>endotheliocytes</w:t>
      </w:r>
      <w:proofErr w:type="spellEnd"/>
      <w:r w:rsidRPr="00CB08E8">
        <w:rPr>
          <w:rFonts w:ascii="Times New Roman" w:hAnsi="Times New Roman" w:cs="Times New Roman"/>
          <w:sz w:val="28"/>
          <w:lang w:val="en-US"/>
        </w:rPr>
        <w:t xml:space="preserve"> of biologically active substances is associated with the presence of specific receptors on </w:t>
      </w:r>
      <w:proofErr w:type="spellStart"/>
      <w:r w:rsidRPr="00CB08E8">
        <w:rPr>
          <w:rFonts w:ascii="Times New Roman" w:hAnsi="Times New Roman" w:cs="Times New Roman"/>
          <w:sz w:val="28"/>
          <w:lang w:val="en-US"/>
        </w:rPr>
        <w:t>endotheliocytes</w:t>
      </w:r>
      <w:proofErr w:type="spellEnd"/>
      <w:r w:rsidRPr="00CB08E8">
        <w:rPr>
          <w:rFonts w:ascii="Times New Roman" w:hAnsi="Times New Roman" w:cs="Times New Roman"/>
          <w:sz w:val="28"/>
          <w:lang w:val="en-US"/>
        </w:rPr>
        <w:t xml:space="preserve">, the stimulation of which causes vasodilation or </w:t>
      </w:r>
      <w:proofErr w:type="spellStart"/>
      <w:r w:rsidRPr="00CB08E8">
        <w:rPr>
          <w:rFonts w:ascii="Times New Roman" w:hAnsi="Times New Roman" w:cs="Times New Roman"/>
          <w:sz w:val="28"/>
          <w:lang w:val="en-US"/>
        </w:rPr>
        <w:t>vasocostriction</w:t>
      </w:r>
      <w:proofErr w:type="spellEnd"/>
      <w:r w:rsidRPr="00CB08E8">
        <w:rPr>
          <w:rFonts w:ascii="Times New Roman" w:hAnsi="Times New Roman" w:cs="Times New Roman"/>
          <w:sz w:val="28"/>
          <w:lang w:val="en-US"/>
        </w:rPr>
        <w:t>.</w:t>
      </w:r>
    </w:p>
    <w:p w:rsidR="00CB08E8" w:rsidRDefault="00CB08E8" w:rsidP="00C40A4A">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ab/>
      </w:r>
      <w:r w:rsidRPr="00CB08E8">
        <w:rPr>
          <w:rFonts w:ascii="Times New Roman" w:hAnsi="Times New Roman" w:cs="Times New Roman"/>
          <w:sz w:val="28"/>
          <w:lang w:val="en-US"/>
        </w:rPr>
        <w:t xml:space="preserve">With endothelial dysfunction (ED), the functional state of the inner lining of the vessels is disrupted, which leads to the production of an overestimated amount of nitric oxide (NO). Large amounts of NO in the blood can form </w:t>
      </w:r>
      <w:proofErr w:type="spellStart"/>
      <w:r w:rsidRPr="00CB08E8">
        <w:rPr>
          <w:rFonts w:ascii="Times New Roman" w:hAnsi="Times New Roman" w:cs="Times New Roman"/>
          <w:sz w:val="28"/>
          <w:lang w:val="en-US"/>
        </w:rPr>
        <w:t>peroxynitrite</w:t>
      </w:r>
      <w:proofErr w:type="spellEnd"/>
      <w:r w:rsidRPr="00CB08E8">
        <w:rPr>
          <w:rFonts w:ascii="Times New Roman" w:hAnsi="Times New Roman" w:cs="Times New Roman"/>
          <w:sz w:val="28"/>
          <w:lang w:val="en-US"/>
        </w:rPr>
        <w:t>, which activates the process of free radical oxidation of proteins and lipids. Therefore, one of the causes of impaired regional blood circulation and microcirculation is endothelial dysfunction, which can lead to vasospasm, increased thrombosis and increased white blood cell adhesion to endothelium. Nitric oxide takes part in the regulation of almost all the functions of the endothelium (regulation of vascular tone, vascular thrombotic resistance), and in addition, it is the factor most sensitive to damage (9.16).</w:t>
      </w:r>
    </w:p>
    <w:p w:rsidR="00CB08E8" w:rsidRDefault="00CB08E8" w:rsidP="00C40A4A">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ab/>
      </w:r>
      <w:r w:rsidRPr="00CB08E8">
        <w:rPr>
          <w:rFonts w:ascii="Times New Roman" w:hAnsi="Times New Roman" w:cs="Times New Roman"/>
          <w:sz w:val="28"/>
          <w:lang w:val="en-US"/>
        </w:rPr>
        <w:t>Endothelial dysfunction has another, no less important aspect - hemostatic disorders. While the endothelium is intact, not damaged, it synthesizes mainly anticoagulation factors, which are also vasodilators. In addition, endothelium adsorbs numerous anticoagulants from blood plasma. The combination of anticoagulants and vasodilators on endothelium under physiological conditions is the basis for adequate blood flow, especially in microcirculation vessels.</w:t>
      </w:r>
    </w:p>
    <w:p w:rsidR="00CB08E8" w:rsidRDefault="00CB08E8" w:rsidP="00C40A4A">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lastRenderedPageBreak/>
        <w:tab/>
      </w:r>
      <w:r w:rsidRPr="00CB08E8">
        <w:rPr>
          <w:rFonts w:ascii="Times New Roman" w:hAnsi="Times New Roman" w:cs="Times New Roman"/>
          <w:sz w:val="28"/>
          <w:lang w:val="en-US"/>
        </w:rPr>
        <w:t xml:space="preserve">With prolonged damage to the endothelium, according to many researchers, it begins to play a key role in the pathogenesis of a number of systemic pathologies, in particular in pathology of the dentition. This is explained by the switching of endothelial activity to the synthesis of oxidants, vasoconstrictors, aggregates, and </w:t>
      </w:r>
      <w:proofErr w:type="spellStart"/>
      <w:r w:rsidRPr="00CB08E8">
        <w:rPr>
          <w:rFonts w:ascii="Times New Roman" w:hAnsi="Times New Roman" w:cs="Times New Roman"/>
          <w:sz w:val="28"/>
          <w:lang w:val="en-US"/>
        </w:rPr>
        <w:t>thrombogenic</w:t>
      </w:r>
      <w:proofErr w:type="spellEnd"/>
      <w:r w:rsidRPr="00CB08E8">
        <w:rPr>
          <w:rFonts w:ascii="Times New Roman" w:hAnsi="Times New Roman" w:cs="Times New Roman"/>
          <w:sz w:val="28"/>
          <w:lang w:val="en-US"/>
        </w:rPr>
        <w:t xml:space="preserve"> factors (8</w:t>
      </w:r>
      <w:proofErr w:type="gramStart"/>
      <w:r w:rsidRPr="00CB08E8">
        <w:rPr>
          <w:rFonts w:ascii="Times New Roman" w:hAnsi="Times New Roman" w:cs="Times New Roman"/>
          <w:sz w:val="28"/>
          <w:lang w:val="en-US"/>
        </w:rPr>
        <w:t>,12,13</w:t>
      </w:r>
      <w:proofErr w:type="gramEnd"/>
      <w:r w:rsidRPr="00CB08E8">
        <w:rPr>
          <w:rFonts w:ascii="Times New Roman" w:hAnsi="Times New Roman" w:cs="Times New Roman"/>
          <w:sz w:val="28"/>
          <w:lang w:val="en-US"/>
        </w:rPr>
        <w:t>). And platelets are the main cells that ensure the normal course of hemostasis, the main function of platelets is their participation in blood coagulation processes. Thus, under physiological conditions, the holistic endothelium is the main anticoagulant factor.</w:t>
      </w:r>
    </w:p>
    <w:p w:rsidR="00CB08E8" w:rsidRDefault="00CB08E8" w:rsidP="00C40A4A">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ab/>
      </w:r>
      <w:r w:rsidRPr="00CB08E8">
        <w:rPr>
          <w:rFonts w:ascii="Times New Roman" w:hAnsi="Times New Roman" w:cs="Times New Roman"/>
          <w:sz w:val="28"/>
          <w:lang w:val="en-US"/>
        </w:rPr>
        <w:t xml:space="preserve">Based on the foregoing, we studied the anticoagulant and </w:t>
      </w:r>
      <w:proofErr w:type="spellStart"/>
      <w:r w:rsidRPr="00CB08E8">
        <w:rPr>
          <w:rFonts w:ascii="Times New Roman" w:hAnsi="Times New Roman" w:cs="Times New Roman"/>
          <w:sz w:val="28"/>
          <w:lang w:val="en-US"/>
        </w:rPr>
        <w:t>fibrinolytic</w:t>
      </w:r>
      <w:proofErr w:type="spellEnd"/>
      <w:r w:rsidRPr="00CB08E8">
        <w:rPr>
          <w:rFonts w:ascii="Times New Roman" w:hAnsi="Times New Roman" w:cs="Times New Roman"/>
          <w:sz w:val="28"/>
          <w:lang w:val="en-US"/>
        </w:rPr>
        <w:t xml:space="preserve"> properties of the vascular wall endothelium, as well as the determination of endothelial dysfunction markers - endothelin-1 in adolescents with hypertrophic gingivitis (H</w:t>
      </w:r>
      <w:r w:rsidR="00AD6B48" w:rsidRPr="00CB08E8">
        <w:rPr>
          <w:rFonts w:ascii="Times New Roman" w:hAnsi="Times New Roman" w:cs="Times New Roman"/>
          <w:sz w:val="28"/>
          <w:lang w:val="en-US"/>
        </w:rPr>
        <w:t>G</w:t>
      </w:r>
      <w:r w:rsidRPr="00CB08E8">
        <w:rPr>
          <w:rFonts w:ascii="Times New Roman" w:hAnsi="Times New Roman" w:cs="Times New Roman"/>
          <w:sz w:val="28"/>
          <w:lang w:val="en-US"/>
        </w:rPr>
        <w:t>).</w:t>
      </w:r>
    </w:p>
    <w:p w:rsidR="00CB08E8" w:rsidRPr="00C40A4A" w:rsidRDefault="00CB08E8" w:rsidP="00C40A4A">
      <w:pPr>
        <w:spacing w:after="0" w:line="360" w:lineRule="auto"/>
        <w:jc w:val="both"/>
        <w:rPr>
          <w:rFonts w:ascii="Times New Roman" w:hAnsi="Times New Roman" w:cs="Times New Roman"/>
          <w:b/>
          <w:sz w:val="28"/>
          <w:lang w:val="uz-Cyrl-UZ"/>
        </w:rPr>
      </w:pPr>
      <w:r>
        <w:rPr>
          <w:rFonts w:ascii="Times New Roman" w:hAnsi="Times New Roman" w:cs="Times New Roman"/>
          <w:sz w:val="28"/>
          <w:lang w:val="en-US"/>
        </w:rPr>
        <w:tab/>
      </w:r>
      <w:r w:rsidRPr="00CB08E8">
        <w:rPr>
          <w:rFonts w:ascii="Times New Roman" w:hAnsi="Times New Roman" w:cs="Times New Roman"/>
          <w:b/>
          <w:sz w:val="28"/>
          <w:lang w:val="en-US"/>
        </w:rPr>
        <w:t>Material and research methods</w:t>
      </w:r>
      <w:r w:rsidR="00C40A4A">
        <w:rPr>
          <w:rFonts w:ascii="Times New Roman" w:hAnsi="Times New Roman" w:cs="Times New Roman"/>
          <w:b/>
          <w:sz w:val="28"/>
          <w:lang w:val="uz-Cyrl-UZ"/>
        </w:rPr>
        <w:t>.</w:t>
      </w:r>
    </w:p>
    <w:p w:rsidR="00CB08E8" w:rsidRDefault="00CB08E8" w:rsidP="00C40A4A">
      <w:pPr>
        <w:spacing w:after="0" w:line="360" w:lineRule="auto"/>
        <w:ind w:firstLine="708"/>
        <w:jc w:val="both"/>
        <w:rPr>
          <w:rFonts w:ascii="Times New Roman" w:hAnsi="Times New Roman" w:cs="Times New Roman"/>
          <w:sz w:val="28"/>
          <w:lang w:val="en-US"/>
        </w:rPr>
      </w:pPr>
      <w:r w:rsidRPr="00CB08E8">
        <w:rPr>
          <w:rFonts w:ascii="Times New Roman" w:hAnsi="Times New Roman" w:cs="Times New Roman"/>
          <w:sz w:val="28"/>
          <w:lang w:val="en-US"/>
        </w:rPr>
        <w:t>Due to the fact that the true period of puberty, according to age morphology, physiology and biochemistry, is 13–16 years for boys and 12–15 years for girls, during the study we selected groups of adolescents from 13 to 15 years old. A clinical study was conducted in 65 children, which reflected almost the entire population of the studied age. Next, a comparative clinical and functional study was carried out, with the</w:t>
      </w:r>
      <w:r w:rsidR="00AD6B48">
        <w:rPr>
          <w:rFonts w:ascii="Times New Roman" w:hAnsi="Times New Roman" w:cs="Times New Roman"/>
          <w:sz w:val="28"/>
          <w:lang w:val="en-US"/>
        </w:rPr>
        <w:t xml:space="preserve"> identification of groups with H</w:t>
      </w:r>
      <w:r w:rsidRPr="00CB08E8">
        <w:rPr>
          <w:rFonts w:ascii="Times New Roman" w:hAnsi="Times New Roman" w:cs="Times New Roman"/>
          <w:sz w:val="28"/>
          <w:lang w:val="en-US"/>
        </w:rPr>
        <w:t>G and an intact periodontal period, the definition of objective examination criteria, the status of hypertrophy.</w:t>
      </w:r>
    </w:p>
    <w:p w:rsidR="00AD6B48" w:rsidRDefault="00AD6B48" w:rsidP="00C40A4A">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ab/>
      </w:r>
      <w:r w:rsidRPr="00AD6B48">
        <w:rPr>
          <w:rFonts w:ascii="Times New Roman" w:hAnsi="Times New Roman" w:cs="Times New Roman"/>
          <w:sz w:val="28"/>
          <w:lang w:val="en-US"/>
        </w:rPr>
        <w:t xml:space="preserve">The </w:t>
      </w:r>
      <w:proofErr w:type="spellStart"/>
      <w:r w:rsidRPr="00AD6B48">
        <w:rPr>
          <w:rFonts w:ascii="Times New Roman" w:hAnsi="Times New Roman" w:cs="Times New Roman"/>
          <w:sz w:val="28"/>
          <w:lang w:val="en-US"/>
        </w:rPr>
        <w:t>antithrombogenic</w:t>
      </w:r>
      <w:proofErr w:type="spellEnd"/>
      <w:r w:rsidRPr="00AD6B48">
        <w:rPr>
          <w:rFonts w:ascii="Times New Roman" w:hAnsi="Times New Roman" w:cs="Times New Roman"/>
          <w:sz w:val="28"/>
          <w:lang w:val="en-US"/>
        </w:rPr>
        <w:t xml:space="preserve"> activity of the vascular wall endothelium was determined by a cuff test [1</w:t>
      </w:r>
      <w:proofErr w:type="gramStart"/>
      <w:r w:rsidRPr="00AD6B48">
        <w:rPr>
          <w:rFonts w:ascii="Times New Roman" w:hAnsi="Times New Roman" w:cs="Times New Roman"/>
          <w:sz w:val="28"/>
          <w:lang w:val="en-US"/>
        </w:rPr>
        <w:t>,3</w:t>
      </w:r>
      <w:proofErr w:type="gramEnd"/>
      <w:r w:rsidRPr="00AD6B48">
        <w:rPr>
          <w:rFonts w:ascii="Times New Roman" w:hAnsi="Times New Roman" w:cs="Times New Roman"/>
          <w:sz w:val="28"/>
          <w:lang w:val="en-US"/>
        </w:rPr>
        <w:t xml:space="preserve">]. </w:t>
      </w:r>
      <w:proofErr w:type="spellStart"/>
      <w:r w:rsidRPr="00AD6B48">
        <w:rPr>
          <w:rFonts w:ascii="Times New Roman" w:hAnsi="Times New Roman" w:cs="Times New Roman"/>
          <w:sz w:val="28"/>
          <w:lang w:val="en-US"/>
        </w:rPr>
        <w:t>Antithrombin</w:t>
      </w:r>
      <w:proofErr w:type="spellEnd"/>
      <w:r w:rsidRPr="00AD6B48">
        <w:rPr>
          <w:rFonts w:ascii="Times New Roman" w:hAnsi="Times New Roman" w:cs="Times New Roman"/>
          <w:sz w:val="28"/>
          <w:lang w:val="en-US"/>
        </w:rPr>
        <w:t xml:space="preserve"> III activity was determined using a Solar-CGL2120 </w:t>
      </w:r>
      <w:proofErr w:type="spellStart"/>
      <w:r w:rsidRPr="00AD6B48">
        <w:rPr>
          <w:rFonts w:ascii="Times New Roman" w:hAnsi="Times New Roman" w:cs="Times New Roman"/>
          <w:sz w:val="28"/>
          <w:lang w:val="en-US"/>
        </w:rPr>
        <w:t>coagulometer</w:t>
      </w:r>
      <w:proofErr w:type="spellEnd"/>
      <w:r w:rsidRPr="00AD6B48">
        <w:rPr>
          <w:rFonts w:ascii="Times New Roman" w:hAnsi="Times New Roman" w:cs="Times New Roman"/>
          <w:sz w:val="28"/>
          <w:lang w:val="en-US"/>
        </w:rPr>
        <w:t xml:space="preserve"> (Belarus), using reagents from </w:t>
      </w:r>
      <w:r>
        <w:rPr>
          <w:rFonts w:ascii="Times New Roman" w:hAnsi="Times New Roman" w:cs="Times New Roman"/>
          <w:sz w:val="28"/>
          <w:lang w:val="en-US"/>
        </w:rPr>
        <w:t>“</w:t>
      </w:r>
      <w:proofErr w:type="spellStart"/>
      <w:r w:rsidRPr="00AD6B48">
        <w:rPr>
          <w:rFonts w:ascii="Times New Roman" w:hAnsi="Times New Roman" w:cs="Times New Roman"/>
          <w:sz w:val="28"/>
          <w:lang w:val="en-US"/>
        </w:rPr>
        <w:t>Tekhnologiya</w:t>
      </w:r>
      <w:proofErr w:type="spellEnd"/>
      <w:r w:rsidRPr="00AD6B48">
        <w:rPr>
          <w:rFonts w:ascii="Times New Roman" w:hAnsi="Times New Roman" w:cs="Times New Roman"/>
          <w:sz w:val="28"/>
          <w:lang w:val="en-US"/>
        </w:rPr>
        <w:t xml:space="preserve"> </w:t>
      </w:r>
      <w:proofErr w:type="spellStart"/>
      <w:r w:rsidRPr="00AD6B48">
        <w:rPr>
          <w:rFonts w:ascii="Times New Roman" w:hAnsi="Times New Roman" w:cs="Times New Roman"/>
          <w:sz w:val="28"/>
          <w:lang w:val="en-US"/>
        </w:rPr>
        <w:t>Standart</w:t>
      </w:r>
      <w:proofErr w:type="spellEnd"/>
      <w:r>
        <w:rPr>
          <w:rFonts w:ascii="Times New Roman" w:hAnsi="Times New Roman" w:cs="Times New Roman"/>
          <w:sz w:val="28"/>
          <w:lang w:val="en-US"/>
        </w:rPr>
        <w:t>”</w:t>
      </w:r>
      <w:r w:rsidRPr="00AD6B48">
        <w:rPr>
          <w:rFonts w:ascii="Times New Roman" w:hAnsi="Times New Roman" w:cs="Times New Roman"/>
          <w:sz w:val="28"/>
          <w:lang w:val="en-US"/>
        </w:rPr>
        <w:t xml:space="preserve"> (Barnaul, Russia). Based on the obtained data, the indices of antiplatelet, anticoagulant and </w:t>
      </w:r>
      <w:proofErr w:type="spellStart"/>
      <w:r w:rsidRPr="00AD6B48">
        <w:rPr>
          <w:rFonts w:ascii="Times New Roman" w:hAnsi="Times New Roman" w:cs="Times New Roman"/>
          <w:sz w:val="28"/>
          <w:lang w:val="en-US"/>
        </w:rPr>
        <w:t>fibrinolytic</w:t>
      </w:r>
      <w:proofErr w:type="spellEnd"/>
      <w:r w:rsidRPr="00AD6B48">
        <w:rPr>
          <w:rFonts w:ascii="Times New Roman" w:hAnsi="Times New Roman" w:cs="Times New Roman"/>
          <w:sz w:val="28"/>
          <w:lang w:val="en-US"/>
        </w:rPr>
        <w:t xml:space="preserve"> activity of the vascular wall endothelium were calculated [1</w:t>
      </w:r>
      <w:proofErr w:type="gramStart"/>
      <w:r w:rsidRPr="00AD6B48">
        <w:rPr>
          <w:rFonts w:ascii="Times New Roman" w:hAnsi="Times New Roman" w:cs="Times New Roman"/>
          <w:sz w:val="28"/>
          <w:lang w:val="en-US"/>
        </w:rPr>
        <w:t>,3</w:t>
      </w:r>
      <w:proofErr w:type="gramEnd"/>
      <w:r w:rsidRPr="00AD6B48">
        <w:rPr>
          <w:rFonts w:ascii="Times New Roman" w:hAnsi="Times New Roman" w:cs="Times New Roman"/>
          <w:sz w:val="28"/>
          <w:lang w:val="en-US"/>
        </w:rPr>
        <w:t>].</w:t>
      </w:r>
    </w:p>
    <w:p w:rsidR="00AD6B48" w:rsidRPr="00AD6B48" w:rsidRDefault="00AD6B48" w:rsidP="00C40A4A">
      <w:pPr>
        <w:spacing w:after="0" w:line="360" w:lineRule="auto"/>
        <w:jc w:val="both"/>
        <w:rPr>
          <w:rFonts w:ascii="Times New Roman" w:hAnsi="Times New Roman" w:cs="Times New Roman"/>
          <w:sz w:val="28"/>
          <w:lang w:val="en-US"/>
        </w:rPr>
      </w:pPr>
      <w:r>
        <w:rPr>
          <w:rFonts w:ascii="Times New Roman" w:hAnsi="Times New Roman" w:cs="Times New Roman"/>
          <w:sz w:val="28"/>
          <w:lang w:val="en-US"/>
        </w:rPr>
        <w:tab/>
      </w:r>
      <w:r w:rsidRPr="00AD6B48">
        <w:rPr>
          <w:rFonts w:ascii="Times New Roman" w:hAnsi="Times New Roman" w:cs="Times New Roman"/>
          <w:sz w:val="28"/>
          <w:lang w:val="en-US"/>
        </w:rPr>
        <w:t>The content of endothelin-1 (endothelin-1, Et-1) was carried out on an immunoassay analyzer "MindrayMR-96 A".</w:t>
      </w:r>
    </w:p>
    <w:p w:rsidR="00AD6B48" w:rsidRDefault="00AD6B48" w:rsidP="00C40A4A">
      <w:pPr>
        <w:spacing w:after="0" w:line="360" w:lineRule="auto"/>
        <w:ind w:firstLine="708"/>
        <w:jc w:val="both"/>
        <w:rPr>
          <w:rFonts w:ascii="Times New Roman" w:hAnsi="Times New Roman" w:cs="Times New Roman"/>
          <w:sz w:val="28"/>
          <w:lang w:val="en-US"/>
        </w:rPr>
      </w:pPr>
      <w:r w:rsidRPr="00AD6B48">
        <w:rPr>
          <w:rFonts w:ascii="Times New Roman" w:hAnsi="Times New Roman" w:cs="Times New Roman"/>
          <w:sz w:val="28"/>
          <w:lang w:val="en-US"/>
        </w:rPr>
        <w:lastRenderedPageBreak/>
        <w:t xml:space="preserve">Statistical processing of the results was carried out using computer programs </w:t>
      </w:r>
      <w:proofErr w:type="spellStart"/>
      <w:r w:rsidRPr="00AD6B48">
        <w:rPr>
          <w:rFonts w:ascii="Times New Roman" w:hAnsi="Times New Roman" w:cs="Times New Roman"/>
          <w:sz w:val="28"/>
          <w:lang w:val="en-US"/>
        </w:rPr>
        <w:t>Statistica</w:t>
      </w:r>
      <w:proofErr w:type="spellEnd"/>
      <w:r w:rsidRPr="00AD6B48">
        <w:rPr>
          <w:rFonts w:ascii="Times New Roman" w:hAnsi="Times New Roman" w:cs="Times New Roman"/>
          <w:sz w:val="28"/>
          <w:lang w:val="en-US"/>
        </w:rPr>
        <w:t xml:space="preserve"> 6.0. Statistical analysis of quantitative traits was performed using Student's criterion. P values &lt;0.05 were considered highly significant and reliable.</w:t>
      </w:r>
    </w:p>
    <w:p w:rsidR="00AD6B48" w:rsidRPr="00AD6B48" w:rsidRDefault="00AD6B48" w:rsidP="00C40A4A">
      <w:pPr>
        <w:spacing w:after="0" w:line="360" w:lineRule="auto"/>
        <w:jc w:val="both"/>
        <w:rPr>
          <w:rFonts w:ascii="Times New Roman" w:hAnsi="Times New Roman" w:cs="Times New Roman"/>
          <w:b/>
          <w:sz w:val="28"/>
          <w:lang w:val="en-US"/>
        </w:rPr>
      </w:pPr>
      <w:r>
        <w:rPr>
          <w:rFonts w:ascii="Times New Roman" w:hAnsi="Times New Roman" w:cs="Times New Roman"/>
          <w:sz w:val="28"/>
          <w:lang w:val="en-US"/>
        </w:rPr>
        <w:tab/>
      </w:r>
      <w:r w:rsidRPr="00AD6B48">
        <w:rPr>
          <w:rFonts w:ascii="Times New Roman" w:hAnsi="Times New Roman" w:cs="Times New Roman"/>
          <w:b/>
          <w:sz w:val="28"/>
          <w:lang w:val="en-US"/>
        </w:rPr>
        <w:t>The results obtained and their discussion</w:t>
      </w:r>
    </w:p>
    <w:p w:rsidR="00AD6B48" w:rsidRDefault="00AD6B48" w:rsidP="00C40A4A">
      <w:pPr>
        <w:spacing w:after="0" w:line="360" w:lineRule="auto"/>
        <w:jc w:val="both"/>
        <w:rPr>
          <w:rFonts w:ascii="Times New Roman" w:hAnsi="Times New Roman" w:cs="Times New Roman"/>
          <w:sz w:val="28"/>
          <w:lang w:val="en-US"/>
        </w:rPr>
      </w:pPr>
      <w:r w:rsidRPr="00AD6B48">
        <w:rPr>
          <w:rFonts w:ascii="Times New Roman" w:hAnsi="Times New Roman" w:cs="Times New Roman"/>
          <w:sz w:val="28"/>
          <w:lang w:val="en-US"/>
        </w:rPr>
        <w:t xml:space="preserve">The data obtained indicate that in the examined patients with </w:t>
      </w:r>
      <w:r>
        <w:rPr>
          <w:rFonts w:ascii="Times New Roman" w:hAnsi="Times New Roman" w:cs="Times New Roman"/>
          <w:sz w:val="28"/>
          <w:lang w:val="en-US"/>
        </w:rPr>
        <w:t>H</w:t>
      </w:r>
      <w:r w:rsidRPr="00AD6B48">
        <w:rPr>
          <w:rFonts w:ascii="Times New Roman" w:hAnsi="Times New Roman" w:cs="Times New Roman"/>
          <w:sz w:val="28"/>
          <w:lang w:val="en-US"/>
        </w:rPr>
        <w:t xml:space="preserve">G, the anticoagulant activity of the vascular wall endothelium is inhibited. Moreover, in patients with </w:t>
      </w:r>
      <w:r>
        <w:rPr>
          <w:rFonts w:ascii="Times New Roman" w:hAnsi="Times New Roman" w:cs="Times New Roman"/>
          <w:sz w:val="28"/>
          <w:lang w:val="en-US"/>
        </w:rPr>
        <w:t>H</w:t>
      </w:r>
      <w:r w:rsidRPr="00AD6B48">
        <w:rPr>
          <w:rFonts w:ascii="Times New Roman" w:hAnsi="Times New Roman" w:cs="Times New Roman"/>
          <w:sz w:val="28"/>
          <w:lang w:val="en-US"/>
        </w:rPr>
        <w:t xml:space="preserve">G, there is a statistically significant decrease in the activity of </w:t>
      </w:r>
      <w:proofErr w:type="spellStart"/>
      <w:r w:rsidRPr="00AD6B48">
        <w:rPr>
          <w:rFonts w:ascii="Times New Roman" w:hAnsi="Times New Roman" w:cs="Times New Roman"/>
          <w:sz w:val="28"/>
          <w:lang w:val="en-US"/>
        </w:rPr>
        <w:t>antithrombin</w:t>
      </w:r>
      <w:proofErr w:type="spellEnd"/>
      <w:r w:rsidRPr="00AD6B48">
        <w:rPr>
          <w:rFonts w:ascii="Times New Roman" w:hAnsi="Times New Roman" w:cs="Times New Roman"/>
          <w:sz w:val="28"/>
          <w:lang w:val="en-US"/>
        </w:rPr>
        <w:t xml:space="preserve"> III in the blood before and after the occlusion test, as well as a decrease in the index of anticoagulant activity of the endothelium of the vascular wall, compared with clinically healthy donor volunteers. Thus, the activity of </w:t>
      </w:r>
      <w:proofErr w:type="spellStart"/>
      <w:r w:rsidRPr="00AD6B48">
        <w:rPr>
          <w:rFonts w:ascii="Times New Roman" w:hAnsi="Times New Roman" w:cs="Times New Roman"/>
          <w:sz w:val="28"/>
          <w:lang w:val="en-US"/>
        </w:rPr>
        <w:t>antithrombin</w:t>
      </w:r>
      <w:proofErr w:type="spellEnd"/>
      <w:r w:rsidRPr="00AD6B48">
        <w:rPr>
          <w:rFonts w:ascii="Times New Roman" w:hAnsi="Times New Roman" w:cs="Times New Roman"/>
          <w:sz w:val="28"/>
          <w:lang w:val="en-US"/>
        </w:rPr>
        <w:t xml:space="preserve"> III in the blood before and after a cuff test is statistically significantly reduced (Figure 1).</w:t>
      </w:r>
    </w:p>
    <w:p w:rsidR="00AD6B48" w:rsidRDefault="00AD6B48" w:rsidP="00C40A4A">
      <w:pPr>
        <w:spacing w:after="0" w:line="360" w:lineRule="auto"/>
        <w:jc w:val="both"/>
        <w:rPr>
          <w:rFonts w:ascii="Times New Roman" w:hAnsi="Times New Roman" w:cs="Times New Roman"/>
          <w:sz w:val="28"/>
          <w:lang w:val="en-US"/>
        </w:rPr>
      </w:pPr>
    </w:p>
    <w:p w:rsidR="00AD6B48" w:rsidRDefault="00AD6B48" w:rsidP="00C40A4A">
      <w:pPr>
        <w:spacing w:after="0" w:line="360" w:lineRule="auto"/>
        <w:jc w:val="center"/>
        <w:rPr>
          <w:rFonts w:ascii="Times New Roman" w:hAnsi="Times New Roman" w:cs="Times New Roman"/>
          <w:sz w:val="28"/>
          <w:lang w:val="en-US"/>
        </w:rPr>
      </w:pPr>
      <w:r w:rsidRPr="00AD6B48">
        <w:rPr>
          <w:rFonts w:ascii="Times New Roman" w:hAnsi="Times New Roman" w:cs="Times New Roman"/>
          <w:noProof/>
          <w:sz w:val="28"/>
          <w:lang w:val="en-IN" w:eastAsia="en-IN"/>
        </w:rPr>
        <w:drawing>
          <wp:inline distT="0" distB="0" distL="0" distR="0">
            <wp:extent cx="4740250" cy="2465222"/>
            <wp:effectExtent l="0" t="0" r="22860" b="1143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D6B48" w:rsidRPr="00C40A4A" w:rsidRDefault="00AD6B48" w:rsidP="00C40A4A">
      <w:pPr>
        <w:spacing w:after="0" w:line="360" w:lineRule="auto"/>
        <w:jc w:val="center"/>
        <w:rPr>
          <w:rFonts w:ascii="Times New Roman" w:hAnsi="Times New Roman" w:cs="Times New Roman"/>
          <w:b/>
          <w:sz w:val="24"/>
          <w:lang w:val="en-US"/>
        </w:rPr>
      </w:pPr>
      <w:r w:rsidRPr="00C40A4A">
        <w:rPr>
          <w:rFonts w:ascii="Times New Roman" w:hAnsi="Times New Roman" w:cs="Times New Roman"/>
          <w:b/>
          <w:sz w:val="24"/>
          <w:lang w:val="en-US"/>
        </w:rPr>
        <w:t>Fig. 1. Indicators of anticoagulant activity of vascular endothelium (AT-III) in adolescents with hypertrophic gingivitis</w:t>
      </w:r>
    </w:p>
    <w:p w:rsidR="00AD6B48" w:rsidRDefault="00AD6B48" w:rsidP="00C40A4A">
      <w:pPr>
        <w:spacing w:after="0" w:line="360" w:lineRule="auto"/>
        <w:jc w:val="center"/>
        <w:rPr>
          <w:rFonts w:ascii="Times New Roman" w:hAnsi="Times New Roman" w:cs="Times New Roman"/>
          <w:b/>
          <w:sz w:val="28"/>
          <w:lang w:val="en-US"/>
        </w:rPr>
      </w:pPr>
    </w:p>
    <w:p w:rsidR="00AD6B48" w:rsidRDefault="00AD6B48" w:rsidP="00C40A4A">
      <w:pPr>
        <w:spacing w:after="0" w:line="360" w:lineRule="auto"/>
        <w:ind w:firstLine="708"/>
        <w:jc w:val="both"/>
        <w:rPr>
          <w:rFonts w:ascii="Times New Roman" w:hAnsi="Times New Roman" w:cs="Times New Roman"/>
          <w:sz w:val="28"/>
          <w:lang w:val="en-US"/>
        </w:rPr>
      </w:pPr>
      <w:r w:rsidRPr="00AD6B48">
        <w:rPr>
          <w:rFonts w:ascii="Times New Roman" w:hAnsi="Times New Roman" w:cs="Times New Roman"/>
          <w:sz w:val="28"/>
          <w:lang w:val="en-US"/>
        </w:rPr>
        <w:t xml:space="preserve">This indicates that in patients with </w:t>
      </w:r>
      <w:r w:rsidR="00B837C3">
        <w:rPr>
          <w:rFonts w:ascii="Times New Roman" w:hAnsi="Times New Roman" w:cs="Times New Roman"/>
          <w:sz w:val="28"/>
          <w:lang w:val="en-US"/>
        </w:rPr>
        <w:t>H</w:t>
      </w:r>
      <w:r w:rsidRPr="00AD6B48">
        <w:rPr>
          <w:rFonts w:ascii="Times New Roman" w:hAnsi="Times New Roman" w:cs="Times New Roman"/>
          <w:sz w:val="28"/>
          <w:lang w:val="en-US"/>
        </w:rPr>
        <w:t xml:space="preserve">G the release of </w:t>
      </w:r>
      <w:proofErr w:type="spellStart"/>
      <w:r w:rsidRPr="00AD6B48">
        <w:rPr>
          <w:rFonts w:ascii="Times New Roman" w:hAnsi="Times New Roman" w:cs="Times New Roman"/>
          <w:sz w:val="28"/>
          <w:lang w:val="en-US"/>
        </w:rPr>
        <w:t>antithrombin</w:t>
      </w:r>
      <w:proofErr w:type="spellEnd"/>
      <w:r w:rsidRPr="00AD6B48">
        <w:rPr>
          <w:rFonts w:ascii="Times New Roman" w:hAnsi="Times New Roman" w:cs="Times New Roman"/>
          <w:sz w:val="28"/>
          <w:lang w:val="en-US"/>
        </w:rPr>
        <w:t xml:space="preserve"> III by vascular endothelium is impaired. Therefore, in the examined patients, the anticoagulant activity of the endothelium of the vascular wall is impaired, which is manifested by a decrease in the endothelial secretion of </w:t>
      </w:r>
      <w:proofErr w:type="spellStart"/>
      <w:r w:rsidRPr="00AD6B48">
        <w:rPr>
          <w:rFonts w:ascii="Times New Roman" w:hAnsi="Times New Roman" w:cs="Times New Roman"/>
          <w:sz w:val="28"/>
          <w:lang w:val="en-US"/>
        </w:rPr>
        <w:t>antithrombin</w:t>
      </w:r>
      <w:proofErr w:type="spellEnd"/>
      <w:r w:rsidRPr="00AD6B48">
        <w:rPr>
          <w:rFonts w:ascii="Times New Roman" w:hAnsi="Times New Roman" w:cs="Times New Roman"/>
          <w:sz w:val="28"/>
          <w:lang w:val="en-US"/>
        </w:rPr>
        <w:t xml:space="preserve"> III.</w:t>
      </w:r>
    </w:p>
    <w:p w:rsidR="00AD6B48" w:rsidRDefault="00AD6B48" w:rsidP="00C40A4A">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lang w:val="en-US"/>
        </w:rPr>
        <w:tab/>
      </w:r>
      <w:r w:rsidRPr="00AD6B48">
        <w:rPr>
          <w:rFonts w:ascii="Times New Roman" w:hAnsi="Times New Roman" w:cs="Times New Roman"/>
          <w:sz w:val="28"/>
          <w:lang w:val="en-US"/>
        </w:rPr>
        <w:t xml:space="preserve">When assessing the </w:t>
      </w:r>
      <w:proofErr w:type="spellStart"/>
      <w:r w:rsidRPr="00AD6B48">
        <w:rPr>
          <w:rFonts w:ascii="Times New Roman" w:hAnsi="Times New Roman" w:cs="Times New Roman"/>
          <w:sz w:val="28"/>
          <w:lang w:val="en-US"/>
        </w:rPr>
        <w:t>fibrinolytic</w:t>
      </w:r>
      <w:proofErr w:type="spellEnd"/>
      <w:r w:rsidRPr="00AD6B48">
        <w:rPr>
          <w:rFonts w:ascii="Times New Roman" w:hAnsi="Times New Roman" w:cs="Times New Roman"/>
          <w:sz w:val="28"/>
          <w:lang w:val="en-US"/>
        </w:rPr>
        <w:t xml:space="preserve"> activity of the vascular wall endothelium, it was found that in patients, there is a statistically significant reduction in time, compared with clinically healthy donor volunteers, of Hageman-</w:t>
      </w:r>
      <w:r w:rsidRPr="00AD6B48">
        <w:rPr>
          <w:rFonts w:ascii="Times New Roman" w:hAnsi="Times New Roman" w:cs="Times New Roman"/>
          <w:sz w:val="28"/>
          <w:lang w:val="en-US"/>
        </w:rPr>
        <w:lastRenderedPageBreak/>
        <w:t>dependent fibrinolysis before and, especially, after a cuff test, which reflects a decrease in the release of tissue plasminogen activator and / or increased production of plasminogen activator inhibitor.</w:t>
      </w:r>
    </w:p>
    <w:p w:rsidR="00AD6B48" w:rsidRDefault="00AD6B48" w:rsidP="00C40A4A">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lang w:val="en-US"/>
        </w:rPr>
        <w:tab/>
      </w:r>
      <w:r w:rsidR="00B837C3" w:rsidRPr="00B837C3">
        <w:rPr>
          <w:rFonts w:ascii="Times New Roman" w:hAnsi="Times New Roman" w:cs="Times New Roman"/>
          <w:sz w:val="28"/>
          <w:lang w:val="en-US"/>
        </w:rPr>
        <w:t xml:space="preserve">Differences in the index of </w:t>
      </w:r>
      <w:proofErr w:type="spellStart"/>
      <w:r w:rsidR="00B837C3" w:rsidRPr="00B837C3">
        <w:rPr>
          <w:rFonts w:ascii="Times New Roman" w:hAnsi="Times New Roman" w:cs="Times New Roman"/>
          <w:sz w:val="28"/>
          <w:lang w:val="en-US"/>
        </w:rPr>
        <w:t>fibrinolytic</w:t>
      </w:r>
      <w:proofErr w:type="spellEnd"/>
      <w:r w:rsidR="00B837C3" w:rsidRPr="00B837C3">
        <w:rPr>
          <w:rFonts w:ascii="Times New Roman" w:hAnsi="Times New Roman" w:cs="Times New Roman"/>
          <w:sz w:val="28"/>
          <w:lang w:val="en-US"/>
        </w:rPr>
        <w:t xml:space="preserve"> activity of the vascular wall endothelium in the examined individuals are not expressed equally and the time of Hageman-dependent fibrinolysis before and after the cuff test is statistically significantly greater in individuals with pathology, which indicates a more pronounced inhibition of </w:t>
      </w:r>
      <w:proofErr w:type="spellStart"/>
      <w:r w:rsidR="00B837C3" w:rsidRPr="00B837C3">
        <w:rPr>
          <w:rFonts w:ascii="Times New Roman" w:hAnsi="Times New Roman" w:cs="Times New Roman"/>
          <w:sz w:val="28"/>
          <w:lang w:val="en-US"/>
        </w:rPr>
        <w:t>fibrinolytic</w:t>
      </w:r>
      <w:proofErr w:type="spellEnd"/>
      <w:r w:rsidR="00B837C3" w:rsidRPr="00B837C3">
        <w:rPr>
          <w:rFonts w:ascii="Times New Roman" w:hAnsi="Times New Roman" w:cs="Times New Roman"/>
          <w:sz w:val="28"/>
          <w:lang w:val="en-US"/>
        </w:rPr>
        <w:t xml:space="preserve"> activity and a more significant imbalance in the release of tissue plasminogen activator is associated and its inhibitor </w:t>
      </w:r>
      <w:proofErr w:type="spellStart"/>
      <w:r w:rsidR="00B837C3" w:rsidRPr="00B837C3">
        <w:rPr>
          <w:rFonts w:ascii="Times New Roman" w:hAnsi="Times New Roman" w:cs="Times New Roman"/>
          <w:sz w:val="28"/>
          <w:lang w:val="en-US"/>
        </w:rPr>
        <w:t>endotheliocytes</w:t>
      </w:r>
      <w:proofErr w:type="spellEnd"/>
      <w:r w:rsidR="00B837C3" w:rsidRPr="00B837C3">
        <w:rPr>
          <w:rFonts w:ascii="Times New Roman" w:hAnsi="Times New Roman" w:cs="Times New Roman"/>
          <w:sz w:val="28"/>
          <w:lang w:val="en-US"/>
        </w:rPr>
        <w:t xml:space="preserve"> (Fig. 2).</w:t>
      </w:r>
    </w:p>
    <w:p w:rsidR="00B837C3" w:rsidRDefault="00B837C3" w:rsidP="00C40A4A">
      <w:pPr>
        <w:spacing w:after="0" w:line="360" w:lineRule="auto"/>
        <w:ind w:firstLine="708"/>
        <w:jc w:val="both"/>
        <w:rPr>
          <w:rFonts w:ascii="Times New Roman" w:hAnsi="Times New Roman" w:cs="Times New Roman"/>
          <w:sz w:val="28"/>
          <w:lang w:val="en-US"/>
        </w:rPr>
      </w:pPr>
    </w:p>
    <w:p w:rsidR="00B837C3" w:rsidRDefault="00B837C3" w:rsidP="00C40A4A">
      <w:pPr>
        <w:spacing w:after="0" w:line="360" w:lineRule="auto"/>
        <w:ind w:firstLine="708"/>
        <w:jc w:val="center"/>
        <w:rPr>
          <w:rFonts w:ascii="Times New Roman" w:hAnsi="Times New Roman" w:cs="Times New Roman"/>
          <w:sz w:val="28"/>
          <w:lang w:val="en-US"/>
        </w:rPr>
      </w:pPr>
      <w:r w:rsidRPr="00B837C3">
        <w:rPr>
          <w:rFonts w:ascii="Times New Roman" w:hAnsi="Times New Roman" w:cs="Times New Roman"/>
          <w:noProof/>
          <w:sz w:val="28"/>
          <w:lang w:val="en-IN" w:eastAsia="en-IN"/>
        </w:rPr>
        <w:drawing>
          <wp:inline distT="0" distB="0" distL="0" distR="0">
            <wp:extent cx="4718304" cy="2435962"/>
            <wp:effectExtent l="19050" t="0" r="25146" b="2438"/>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837C3" w:rsidRPr="00C40A4A" w:rsidRDefault="00B837C3" w:rsidP="00C40A4A">
      <w:pPr>
        <w:spacing w:after="0" w:line="360" w:lineRule="auto"/>
        <w:ind w:firstLine="708"/>
        <w:jc w:val="center"/>
        <w:rPr>
          <w:rFonts w:ascii="Times New Roman" w:hAnsi="Times New Roman" w:cs="Times New Roman"/>
          <w:b/>
          <w:lang w:val="en-US"/>
        </w:rPr>
      </w:pPr>
      <w:r w:rsidRPr="00C40A4A">
        <w:rPr>
          <w:rFonts w:ascii="Times New Roman" w:hAnsi="Times New Roman" w:cs="Times New Roman"/>
          <w:b/>
          <w:lang w:val="en-US"/>
        </w:rPr>
        <w:t xml:space="preserve">Fig. 2. Indicators of </w:t>
      </w:r>
      <w:proofErr w:type="spellStart"/>
      <w:r w:rsidRPr="00C40A4A">
        <w:rPr>
          <w:rFonts w:ascii="Times New Roman" w:hAnsi="Times New Roman" w:cs="Times New Roman"/>
          <w:b/>
          <w:lang w:val="en-US"/>
        </w:rPr>
        <w:t>fibrinolytic</w:t>
      </w:r>
      <w:proofErr w:type="spellEnd"/>
      <w:r w:rsidRPr="00C40A4A">
        <w:rPr>
          <w:rFonts w:ascii="Times New Roman" w:hAnsi="Times New Roman" w:cs="Times New Roman"/>
          <w:b/>
          <w:lang w:val="en-US"/>
        </w:rPr>
        <w:t xml:space="preserve"> activity of vascular endothelium (XIII-dependent fibrinolysis before and after a cuff test) in the examined patients</w:t>
      </w:r>
    </w:p>
    <w:p w:rsidR="00B837C3" w:rsidRDefault="00B837C3" w:rsidP="00C40A4A">
      <w:pPr>
        <w:spacing w:after="0" w:line="360" w:lineRule="auto"/>
        <w:ind w:firstLine="708"/>
        <w:rPr>
          <w:rFonts w:ascii="Times New Roman" w:hAnsi="Times New Roman" w:cs="Times New Roman"/>
          <w:b/>
          <w:sz w:val="24"/>
          <w:lang w:val="en-US"/>
        </w:rPr>
      </w:pPr>
    </w:p>
    <w:p w:rsidR="00B837C3" w:rsidRPr="00B837C3" w:rsidRDefault="00B837C3" w:rsidP="00C40A4A">
      <w:pPr>
        <w:spacing w:after="0" w:line="360" w:lineRule="auto"/>
        <w:ind w:firstLine="708"/>
        <w:jc w:val="both"/>
        <w:rPr>
          <w:rFonts w:ascii="Times New Roman" w:hAnsi="Times New Roman" w:cs="Times New Roman"/>
          <w:sz w:val="28"/>
          <w:lang w:val="en-US"/>
        </w:rPr>
      </w:pPr>
      <w:r w:rsidRPr="00B837C3">
        <w:rPr>
          <w:rFonts w:ascii="Times New Roman" w:hAnsi="Times New Roman" w:cs="Times New Roman"/>
          <w:sz w:val="28"/>
          <w:lang w:val="en-US"/>
        </w:rPr>
        <w:t xml:space="preserve">Therefore, in the examined adolescents, the </w:t>
      </w:r>
      <w:proofErr w:type="spellStart"/>
      <w:r w:rsidRPr="00B837C3">
        <w:rPr>
          <w:rFonts w:ascii="Times New Roman" w:hAnsi="Times New Roman" w:cs="Times New Roman"/>
          <w:sz w:val="28"/>
          <w:lang w:val="en-US"/>
        </w:rPr>
        <w:t>fibrinolytic</w:t>
      </w:r>
      <w:proofErr w:type="spellEnd"/>
      <w:r w:rsidRPr="00B837C3">
        <w:rPr>
          <w:rFonts w:ascii="Times New Roman" w:hAnsi="Times New Roman" w:cs="Times New Roman"/>
          <w:sz w:val="28"/>
          <w:lang w:val="en-US"/>
        </w:rPr>
        <w:t xml:space="preserve"> activity of the vascular endothelium is higher than that of healthy individuals.</w:t>
      </w:r>
    </w:p>
    <w:p w:rsidR="00B837C3" w:rsidRDefault="00B837C3" w:rsidP="00C40A4A">
      <w:pPr>
        <w:spacing w:after="0" w:line="360" w:lineRule="auto"/>
        <w:ind w:firstLine="708"/>
        <w:jc w:val="both"/>
        <w:rPr>
          <w:rFonts w:ascii="Times New Roman" w:hAnsi="Times New Roman" w:cs="Times New Roman"/>
          <w:sz w:val="28"/>
          <w:lang w:val="en-US"/>
        </w:rPr>
      </w:pPr>
      <w:r w:rsidRPr="00B837C3">
        <w:rPr>
          <w:rFonts w:ascii="Times New Roman" w:hAnsi="Times New Roman" w:cs="Times New Roman"/>
          <w:sz w:val="28"/>
          <w:lang w:val="en-US"/>
        </w:rPr>
        <w:t xml:space="preserve">Thus, as a result of the studies, it was found that in patients with </w:t>
      </w:r>
      <w:r>
        <w:rPr>
          <w:rFonts w:ascii="Times New Roman" w:hAnsi="Times New Roman" w:cs="Times New Roman"/>
          <w:sz w:val="28"/>
          <w:lang w:val="en-US"/>
        </w:rPr>
        <w:t>H</w:t>
      </w:r>
      <w:r w:rsidRPr="00B837C3">
        <w:rPr>
          <w:rFonts w:ascii="Times New Roman" w:hAnsi="Times New Roman" w:cs="Times New Roman"/>
          <w:sz w:val="28"/>
          <w:lang w:val="en-US"/>
        </w:rPr>
        <w:t xml:space="preserve">G changes in the </w:t>
      </w:r>
      <w:proofErr w:type="spellStart"/>
      <w:r w:rsidRPr="00B837C3">
        <w:rPr>
          <w:rFonts w:ascii="Times New Roman" w:hAnsi="Times New Roman" w:cs="Times New Roman"/>
          <w:sz w:val="28"/>
          <w:lang w:val="en-US"/>
        </w:rPr>
        <w:t>fibrinolytic</w:t>
      </w:r>
      <w:proofErr w:type="spellEnd"/>
      <w:r w:rsidRPr="00B837C3">
        <w:rPr>
          <w:rFonts w:ascii="Times New Roman" w:hAnsi="Times New Roman" w:cs="Times New Roman"/>
          <w:sz w:val="28"/>
          <w:lang w:val="en-US"/>
        </w:rPr>
        <w:t xml:space="preserve"> activity of the vascular wall endothelium occur, which are manifested by a decrease in the induced release of tissue plasminogen activator and / or an increase in the release of its inhibitor. The data obtained allow us to conclude that in patients with HG there are significant violations of the </w:t>
      </w:r>
      <w:proofErr w:type="spellStart"/>
      <w:r w:rsidRPr="00B837C3">
        <w:rPr>
          <w:rFonts w:ascii="Times New Roman" w:hAnsi="Times New Roman" w:cs="Times New Roman"/>
          <w:sz w:val="28"/>
          <w:lang w:val="en-US"/>
        </w:rPr>
        <w:t>thromboresistance</w:t>
      </w:r>
      <w:proofErr w:type="spellEnd"/>
      <w:r w:rsidRPr="00B837C3">
        <w:rPr>
          <w:rFonts w:ascii="Times New Roman" w:hAnsi="Times New Roman" w:cs="Times New Roman"/>
          <w:sz w:val="28"/>
          <w:lang w:val="en-US"/>
        </w:rPr>
        <w:t xml:space="preserve"> of the vascular wall, which are manifested by a change in the </w:t>
      </w:r>
      <w:r w:rsidRPr="00B837C3">
        <w:rPr>
          <w:rFonts w:ascii="Times New Roman" w:hAnsi="Times New Roman" w:cs="Times New Roman"/>
          <w:sz w:val="28"/>
          <w:lang w:val="en-US"/>
        </w:rPr>
        <w:lastRenderedPageBreak/>
        <w:t xml:space="preserve">anticoagulant and </w:t>
      </w:r>
      <w:proofErr w:type="spellStart"/>
      <w:r w:rsidRPr="00B837C3">
        <w:rPr>
          <w:rFonts w:ascii="Times New Roman" w:hAnsi="Times New Roman" w:cs="Times New Roman"/>
          <w:sz w:val="28"/>
          <w:lang w:val="en-US"/>
        </w:rPr>
        <w:t>fibrinolytic</w:t>
      </w:r>
      <w:proofErr w:type="spellEnd"/>
      <w:r w:rsidRPr="00B837C3">
        <w:rPr>
          <w:rFonts w:ascii="Times New Roman" w:hAnsi="Times New Roman" w:cs="Times New Roman"/>
          <w:sz w:val="28"/>
          <w:lang w:val="en-US"/>
        </w:rPr>
        <w:t xml:space="preserve"> properties of the endothelium. In this case, disorders of both anticoagulant and </w:t>
      </w:r>
      <w:proofErr w:type="spellStart"/>
      <w:r w:rsidRPr="00B837C3">
        <w:rPr>
          <w:rFonts w:ascii="Times New Roman" w:hAnsi="Times New Roman" w:cs="Times New Roman"/>
          <w:sz w:val="28"/>
          <w:lang w:val="en-US"/>
        </w:rPr>
        <w:t>fibrinolytic</w:t>
      </w:r>
      <w:proofErr w:type="spellEnd"/>
      <w:r w:rsidRPr="00B837C3">
        <w:rPr>
          <w:rFonts w:ascii="Times New Roman" w:hAnsi="Times New Roman" w:cs="Times New Roman"/>
          <w:sz w:val="28"/>
          <w:lang w:val="en-US"/>
        </w:rPr>
        <w:t xml:space="preserve"> activity of vascular endothelium prevail compared to healthy individuals (Fig. 2).</w:t>
      </w:r>
    </w:p>
    <w:p w:rsidR="00B837C3" w:rsidRDefault="00B837C3" w:rsidP="00C40A4A">
      <w:pPr>
        <w:spacing w:after="0" w:line="360" w:lineRule="auto"/>
        <w:ind w:firstLine="708"/>
        <w:jc w:val="both"/>
        <w:rPr>
          <w:rFonts w:ascii="Times New Roman" w:hAnsi="Times New Roman" w:cs="Times New Roman"/>
          <w:sz w:val="28"/>
          <w:lang w:val="en-US"/>
        </w:rPr>
      </w:pPr>
    </w:p>
    <w:p w:rsidR="00B837C3" w:rsidRDefault="00B837C3" w:rsidP="00C40A4A">
      <w:pPr>
        <w:spacing w:after="0" w:line="360" w:lineRule="auto"/>
        <w:ind w:firstLine="708"/>
        <w:jc w:val="center"/>
        <w:rPr>
          <w:rFonts w:ascii="Times New Roman" w:hAnsi="Times New Roman" w:cs="Times New Roman"/>
          <w:sz w:val="28"/>
          <w:lang w:val="en-US"/>
        </w:rPr>
      </w:pPr>
      <w:r w:rsidRPr="00B837C3">
        <w:rPr>
          <w:rFonts w:ascii="Times New Roman" w:hAnsi="Times New Roman" w:cs="Times New Roman"/>
          <w:noProof/>
          <w:sz w:val="28"/>
          <w:lang w:val="en-IN" w:eastAsia="en-IN"/>
        </w:rPr>
        <w:drawing>
          <wp:inline distT="0" distB="0" distL="0" distR="0">
            <wp:extent cx="4740250" cy="2465222"/>
            <wp:effectExtent l="19050" t="0" r="22250" b="0"/>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B63E4" w:rsidRPr="00C40A4A" w:rsidRDefault="005B63E4" w:rsidP="00C40A4A">
      <w:pPr>
        <w:spacing w:after="0" w:line="360" w:lineRule="auto"/>
        <w:ind w:firstLine="708"/>
        <w:jc w:val="center"/>
        <w:rPr>
          <w:rFonts w:ascii="Times New Roman" w:hAnsi="Times New Roman" w:cs="Times New Roman"/>
          <w:b/>
          <w:sz w:val="24"/>
          <w:lang w:val="en-US"/>
        </w:rPr>
      </w:pPr>
      <w:r w:rsidRPr="00C40A4A">
        <w:rPr>
          <w:rFonts w:ascii="Times New Roman" w:hAnsi="Times New Roman" w:cs="Times New Roman"/>
          <w:b/>
          <w:sz w:val="24"/>
          <w:lang w:val="en-US"/>
        </w:rPr>
        <w:t>Fig. 3. Indices of endothelin-1 (</w:t>
      </w:r>
      <w:proofErr w:type="spellStart"/>
      <w:r w:rsidRPr="00C40A4A">
        <w:rPr>
          <w:rFonts w:ascii="Times New Roman" w:hAnsi="Times New Roman" w:cs="Times New Roman"/>
          <w:b/>
          <w:sz w:val="24"/>
          <w:lang w:val="en-US"/>
        </w:rPr>
        <w:t>mmol</w:t>
      </w:r>
      <w:proofErr w:type="spellEnd"/>
      <w:r w:rsidRPr="00C40A4A">
        <w:rPr>
          <w:rFonts w:ascii="Times New Roman" w:hAnsi="Times New Roman" w:cs="Times New Roman"/>
          <w:b/>
          <w:sz w:val="24"/>
          <w:lang w:val="en-US"/>
        </w:rPr>
        <w:t xml:space="preserve"> / ml) in children with HG</w:t>
      </w:r>
    </w:p>
    <w:p w:rsidR="005B63E4" w:rsidRDefault="005B63E4" w:rsidP="00C40A4A">
      <w:pPr>
        <w:spacing w:after="0" w:line="360" w:lineRule="auto"/>
        <w:ind w:firstLine="708"/>
        <w:jc w:val="both"/>
        <w:rPr>
          <w:rFonts w:ascii="Times New Roman" w:hAnsi="Times New Roman" w:cs="Times New Roman"/>
          <w:sz w:val="28"/>
          <w:lang w:val="en-US"/>
        </w:rPr>
      </w:pPr>
    </w:p>
    <w:p w:rsidR="005B63E4" w:rsidRDefault="005B63E4" w:rsidP="00C40A4A">
      <w:pPr>
        <w:spacing w:after="0" w:line="360" w:lineRule="auto"/>
        <w:ind w:firstLine="708"/>
        <w:jc w:val="both"/>
        <w:rPr>
          <w:rFonts w:ascii="Times New Roman" w:hAnsi="Times New Roman" w:cs="Times New Roman"/>
          <w:sz w:val="28"/>
          <w:lang w:val="en-US"/>
        </w:rPr>
      </w:pPr>
      <w:r w:rsidRPr="005B63E4">
        <w:rPr>
          <w:rFonts w:ascii="Times New Roman" w:hAnsi="Times New Roman" w:cs="Times New Roman"/>
          <w:sz w:val="28"/>
          <w:lang w:val="en-US"/>
        </w:rPr>
        <w:t xml:space="preserve">To assess endothelial dysfunction, a study was made of the concentration in the blood serum of </w:t>
      </w:r>
      <w:proofErr w:type="spellStart"/>
      <w:r w:rsidRPr="005B63E4">
        <w:rPr>
          <w:rFonts w:ascii="Times New Roman" w:hAnsi="Times New Roman" w:cs="Times New Roman"/>
          <w:sz w:val="28"/>
          <w:lang w:val="en-US"/>
        </w:rPr>
        <w:t>endothelin</w:t>
      </w:r>
      <w:proofErr w:type="spellEnd"/>
      <w:r w:rsidRPr="005B63E4">
        <w:rPr>
          <w:rFonts w:ascii="Times New Roman" w:hAnsi="Times New Roman" w:cs="Times New Roman"/>
          <w:sz w:val="28"/>
          <w:lang w:val="en-US"/>
        </w:rPr>
        <w:t xml:space="preserve"> I in the examined patients. As a result of the studies, it was found that with this pathology, a statistically significant change occurs compared with clinically healthy volunteer donors (Fig. 3). Moreover, in the examined patients, the concentration of </w:t>
      </w:r>
      <w:proofErr w:type="spellStart"/>
      <w:r w:rsidRPr="005B63E4">
        <w:rPr>
          <w:rFonts w:ascii="Times New Roman" w:hAnsi="Times New Roman" w:cs="Times New Roman"/>
          <w:sz w:val="28"/>
          <w:lang w:val="en-US"/>
        </w:rPr>
        <w:t>endothelin</w:t>
      </w:r>
      <w:proofErr w:type="spellEnd"/>
      <w:r w:rsidRPr="005B63E4">
        <w:rPr>
          <w:rFonts w:ascii="Times New Roman" w:hAnsi="Times New Roman" w:cs="Times New Roman"/>
          <w:sz w:val="28"/>
          <w:lang w:val="en-US"/>
        </w:rPr>
        <w:t xml:space="preserve"> I in the blood serum is statistically significantly higher in comparison with healthy individuals. Thus, it was found that in adolescents with </w:t>
      </w:r>
      <w:r w:rsidR="00EC4D09">
        <w:rPr>
          <w:rFonts w:ascii="Times New Roman" w:hAnsi="Times New Roman" w:cs="Times New Roman"/>
          <w:sz w:val="28"/>
          <w:lang w:val="en-US"/>
        </w:rPr>
        <w:t>H</w:t>
      </w:r>
      <w:r w:rsidRPr="005B63E4">
        <w:rPr>
          <w:rFonts w:ascii="Times New Roman" w:hAnsi="Times New Roman" w:cs="Times New Roman"/>
          <w:sz w:val="28"/>
          <w:lang w:val="en-US"/>
        </w:rPr>
        <w:t xml:space="preserve">G, in contrast to healthy individuals, there is an increase in the content of </w:t>
      </w:r>
      <w:proofErr w:type="spellStart"/>
      <w:r w:rsidRPr="005B63E4">
        <w:rPr>
          <w:rFonts w:ascii="Times New Roman" w:hAnsi="Times New Roman" w:cs="Times New Roman"/>
          <w:sz w:val="28"/>
          <w:lang w:val="en-US"/>
        </w:rPr>
        <w:t>endothelin</w:t>
      </w:r>
      <w:proofErr w:type="spellEnd"/>
      <w:r w:rsidRPr="005B63E4">
        <w:rPr>
          <w:rFonts w:ascii="Times New Roman" w:hAnsi="Times New Roman" w:cs="Times New Roman"/>
          <w:sz w:val="28"/>
          <w:lang w:val="en-US"/>
        </w:rPr>
        <w:t xml:space="preserve">-I in the blood serum. The data obtained allow us to conclude that in patients there are significant violations of the </w:t>
      </w:r>
      <w:proofErr w:type="spellStart"/>
      <w:r w:rsidRPr="005B63E4">
        <w:rPr>
          <w:rFonts w:ascii="Times New Roman" w:hAnsi="Times New Roman" w:cs="Times New Roman"/>
          <w:sz w:val="28"/>
          <w:lang w:val="en-US"/>
        </w:rPr>
        <w:t>thromboresistance</w:t>
      </w:r>
      <w:proofErr w:type="spellEnd"/>
      <w:r w:rsidRPr="005B63E4">
        <w:rPr>
          <w:rFonts w:ascii="Times New Roman" w:hAnsi="Times New Roman" w:cs="Times New Roman"/>
          <w:sz w:val="28"/>
          <w:lang w:val="en-US"/>
        </w:rPr>
        <w:t xml:space="preserve"> of the vascular wall, which are manifested by a change in the anticoagulant and </w:t>
      </w:r>
      <w:proofErr w:type="spellStart"/>
      <w:r w:rsidRPr="005B63E4">
        <w:rPr>
          <w:rFonts w:ascii="Times New Roman" w:hAnsi="Times New Roman" w:cs="Times New Roman"/>
          <w:sz w:val="28"/>
          <w:lang w:val="en-US"/>
        </w:rPr>
        <w:t>fibrinolytic</w:t>
      </w:r>
      <w:proofErr w:type="spellEnd"/>
      <w:r w:rsidRPr="005B63E4">
        <w:rPr>
          <w:rFonts w:ascii="Times New Roman" w:hAnsi="Times New Roman" w:cs="Times New Roman"/>
          <w:sz w:val="28"/>
          <w:lang w:val="en-US"/>
        </w:rPr>
        <w:t xml:space="preserve"> properties of the endothelium, which leads to increased synthesis of endothelin-1.</w:t>
      </w:r>
    </w:p>
    <w:p w:rsidR="00EC4D09" w:rsidRDefault="00EC4D09" w:rsidP="00C40A4A">
      <w:pPr>
        <w:spacing w:after="0" w:line="360" w:lineRule="auto"/>
        <w:ind w:firstLine="708"/>
        <w:jc w:val="both"/>
        <w:rPr>
          <w:rFonts w:ascii="Times New Roman" w:hAnsi="Times New Roman" w:cs="Times New Roman"/>
          <w:sz w:val="28"/>
          <w:lang w:val="uz-Cyrl-UZ"/>
        </w:rPr>
      </w:pPr>
    </w:p>
    <w:p w:rsidR="00C40A4A" w:rsidRDefault="00C40A4A" w:rsidP="00C40A4A">
      <w:pPr>
        <w:spacing w:after="0" w:line="360" w:lineRule="auto"/>
        <w:ind w:firstLine="708"/>
        <w:jc w:val="both"/>
        <w:rPr>
          <w:rFonts w:ascii="Times New Roman" w:hAnsi="Times New Roman" w:cs="Times New Roman"/>
          <w:sz w:val="28"/>
          <w:lang w:val="uz-Cyrl-UZ"/>
        </w:rPr>
      </w:pPr>
    </w:p>
    <w:p w:rsidR="00C40A4A" w:rsidRDefault="00C40A4A" w:rsidP="00C40A4A">
      <w:pPr>
        <w:spacing w:after="0" w:line="360" w:lineRule="auto"/>
        <w:ind w:firstLine="708"/>
        <w:jc w:val="both"/>
        <w:rPr>
          <w:rFonts w:ascii="Times New Roman" w:hAnsi="Times New Roman" w:cs="Times New Roman"/>
          <w:sz w:val="28"/>
          <w:lang w:val="uz-Cyrl-UZ"/>
        </w:rPr>
      </w:pPr>
    </w:p>
    <w:p w:rsidR="00C40A4A" w:rsidRPr="00C40A4A" w:rsidRDefault="00C40A4A" w:rsidP="00C40A4A">
      <w:pPr>
        <w:spacing w:after="0" w:line="360" w:lineRule="auto"/>
        <w:ind w:firstLine="708"/>
        <w:jc w:val="both"/>
        <w:rPr>
          <w:rFonts w:ascii="Times New Roman" w:hAnsi="Times New Roman" w:cs="Times New Roman"/>
          <w:sz w:val="28"/>
          <w:lang w:val="uz-Cyrl-UZ"/>
        </w:rPr>
      </w:pPr>
    </w:p>
    <w:p w:rsidR="00EC4D09" w:rsidRPr="00C40A4A" w:rsidRDefault="00EC4D09" w:rsidP="00C40A4A">
      <w:pPr>
        <w:spacing w:after="0" w:line="360" w:lineRule="auto"/>
        <w:ind w:firstLine="708"/>
        <w:jc w:val="center"/>
        <w:rPr>
          <w:rFonts w:ascii="Times New Roman" w:hAnsi="Times New Roman" w:cs="Times New Roman"/>
          <w:b/>
          <w:sz w:val="28"/>
          <w:lang w:val="en-US"/>
        </w:rPr>
      </w:pPr>
      <w:r w:rsidRPr="00C40A4A">
        <w:rPr>
          <w:rFonts w:ascii="Times New Roman" w:hAnsi="Times New Roman" w:cs="Times New Roman"/>
          <w:b/>
          <w:sz w:val="28"/>
          <w:lang w:val="en-US"/>
        </w:rPr>
        <w:lastRenderedPageBreak/>
        <w:t>List of references</w:t>
      </w:r>
    </w:p>
    <w:p w:rsidR="00EC4D09" w:rsidRPr="00EC4D09" w:rsidRDefault="00EC4D09" w:rsidP="00C40A4A">
      <w:pPr>
        <w:spacing w:after="0" w:line="360" w:lineRule="auto"/>
        <w:ind w:firstLine="708"/>
        <w:jc w:val="both"/>
        <w:rPr>
          <w:rFonts w:ascii="Times New Roman" w:hAnsi="Times New Roman" w:cs="Times New Roman"/>
          <w:sz w:val="28"/>
          <w:lang w:val="en-US"/>
        </w:rPr>
      </w:pPr>
      <w:r w:rsidRPr="00EC4D09">
        <w:rPr>
          <w:rFonts w:ascii="Times New Roman" w:hAnsi="Times New Roman" w:cs="Times New Roman"/>
          <w:sz w:val="28"/>
          <w:lang w:val="en-US"/>
        </w:rPr>
        <w:t xml:space="preserve">1. </w:t>
      </w:r>
      <w:proofErr w:type="spellStart"/>
      <w:r w:rsidRPr="00EC4D09">
        <w:rPr>
          <w:rFonts w:ascii="Times New Roman" w:hAnsi="Times New Roman" w:cs="Times New Roman"/>
          <w:sz w:val="28"/>
          <w:lang w:val="en-US"/>
        </w:rPr>
        <w:t>Baluda</w:t>
      </w:r>
      <w:proofErr w:type="spellEnd"/>
      <w:r w:rsidRPr="00EC4D09">
        <w:rPr>
          <w:rFonts w:ascii="Times New Roman" w:hAnsi="Times New Roman" w:cs="Times New Roman"/>
          <w:sz w:val="28"/>
          <w:lang w:val="en-US"/>
        </w:rPr>
        <w:t xml:space="preserve"> V.P., </w:t>
      </w:r>
      <w:proofErr w:type="spellStart"/>
      <w:r w:rsidRPr="00EC4D09">
        <w:rPr>
          <w:rFonts w:ascii="Times New Roman" w:hAnsi="Times New Roman" w:cs="Times New Roman"/>
          <w:sz w:val="28"/>
          <w:lang w:val="en-US"/>
        </w:rPr>
        <w:t>Dejanov</w:t>
      </w:r>
      <w:proofErr w:type="spellEnd"/>
      <w:r w:rsidRPr="00EC4D09">
        <w:rPr>
          <w:rFonts w:ascii="Times New Roman" w:hAnsi="Times New Roman" w:cs="Times New Roman"/>
          <w:sz w:val="28"/>
          <w:lang w:val="en-US"/>
        </w:rPr>
        <w:t xml:space="preserve"> I.I., </w:t>
      </w:r>
      <w:proofErr w:type="spellStart"/>
      <w:r w:rsidRPr="00EC4D09">
        <w:rPr>
          <w:rFonts w:ascii="Times New Roman" w:hAnsi="Times New Roman" w:cs="Times New Roman"/>
          <w:sz w:val="28"/>
          <w:lang w:val="en-US"/>
        </w:rPr>
        <w:t>Kirichuk</w:t>
      </w:r>
      <w:proofErr w:type="spellEnd"/>
      <w:r w:rsidRPr="00EC4D09">
        <w:rPr>
          <w:rFonts w:ascii="Times New Roman" w:hAnsi="Times New Roman" w:cs="Times New Roman"/>
          <w:sz w:val="28"/>
          <w:lang w:val="en-US"/>
        </w:rPr>
        <w:t xml:space="preserve"> V.F. and other Prevention of thrombosis. - Saratov: </w:t>
      </w:r>
      <w:r w:rsidR="00C40A4A" w:rsidRPr="00C40A4A">
        <w:rPr>
          <w:rFonts w:ascii="Times New Roman" w:hAnsi="Times New Roman" w:cs="Times New Roman"/>
          <w:sz w:val="28"/>
          <w:lang w:val="en-US"/>
        </w:rPr>
        <w:t xml:space="preserve">Publishing house Saratov state. </w:t>
      </w:r>
      <w:proofErr w:type="gramStart"/>
      <w:r w:rsidR="00C40A4A" w:rsidRPr="00C40A4A">
        <w:rPr>
          <w:rFonts w:ascii="Times New Roman" w:hAnsi="Times New Roman" w:cs="Times New Roman"/>
          <w:sz w:val="28"/>
          <w:lang w:val="en-US"/>
        </w:rPr>
        <w:t>medical</w:t>
      </w:r>
      <w:proofErr w:type="gramEnd"/>
      <w:r w:rsidR="00C40A4A" w:rsidRPr="00C40A4A">
        <w:rPr>
          <w:rFonts w:ascii="Times New Roman" w:hAnsi="Times New Roman" w:cs="Times New Roman"/>
          <w:sz w:val="28"/>
          <w:lang w:val="en-US"/>
        </w:rPr>
        <w:t xml:space="preserve"> university; </w:t>
      </w:r>
      <w:r w:rsidRPr="00EC4D09">
        <w:rPr>
          <w:rFonts w:ascii="Times New Roman" w:hAnsi="Times New Roman" w:cs="Times New Roman"/>
          <w:sz w:val="28"/>
          <w:lang w:val="en-US"/>
        </w:rPr>
        <w:t>1992; 176 p.</w:t>
      </w:r>
    </w:p>
    <w:p w:rsidR="00EC4D09" w:rsidRDefault="00EC4D09" w:rsidP="00C40A4A">
      <w:pPr>
        <w:spacing w:after="0" w:line="360" w:lineRule="auto"/>
        <w:ind w:firstLine="708"/>
        <w:jc w:val="both"/>
        <w:rPr>
          <w:rFonts w:ascii="Times New Roman" w:hAnsi="Times New Roman" w:cs="Times New Roman"/>
          <w:sz w:val="28"/>
          <w:lang w:val="uz-Cyrl-UZ"/>
        </w:rPr>
      </w:pPr>
      <w:r w:rsidRPr="00EC4D09">
        <w:rPr>
          <w:rFonts w:ascii="Times New Roman" w:hAnsi="Times New Roman" w:cs="Times New Roman"/>
          <w:sz w:val="28"/>
          <w:lang w:val="en-US"/>
        </w:rPr>
        <w:t xml:space="preserve">2. </w:t>
      </w:r>
      <w:proofErr w:type="spellStart"/>
      <w:r w:rsidRPr="00EC4D09">
        <w:rPr>
          <w:rFonts w:ascii="Times New Roman" w:hAnsi="Times New Roman" w:cs="Times New Roman"/>
          <w:sz w:val="28"/>
          <w:lang w:val="en-US"/>
        </w:rPr>
        <w:t>Baluda</w:t>
      </w:r>
      <w:proofErr w:type="spellEnd"/>
      <w:r w:rsidRPr="00EC4D09">
        <w:rPr>
          <w:rFonts w:ascii="Times New Roman" w:hAnsi="Times New Roman" w:cs="Times New Roman"/>
          <w:sz w:val="28"/>
          <w:lang w:val="en-US"/>
        </w:rPr>
        <w:t xml:space="preserve"> V.P., </w:t>
      </w:r>
      <w:proofErr w:type="spellStart"/>
      <w:r w:rsidRPr="00EC4D09">
        <w:rPr>
          <w:rFonts w:ascii="Times New Roman" w:hAnsi="Times New Roman" w:cs="Times New Roman"/>
          <w:sz w:val="28"/>
          <w:lang w:val="en-US"/>
        </w:rPr>
        <w:t>Lukoyanova</w:t>
      </w:r>
      <w:proofErr w:type="spellEnd"/>
      <w:r w:rsidRPr="00EC4D09">
        <w:rPr>
          <w:rFonts w:ascii="Times New Roman" w:hAnsi="Times New Roman" w:cs="Times New Roman"/>
          <w:sz w:val="28"/>
          <w:lang w:val="en-US"/>
        </w:rPr>
        <w:t xml:space="preserve"> T.I., </w:t>
      </w:r>
      <w:proofErr w:type="spellStart"/>
      <w:r w:rsidRPr="00EC4D09">
        <w:rPr>
          <w:rFonts w:ascii="Times New Roman" w:hAnsi="Times New Roman" w:cs="Times New Roman"/>
          <w:sz w:val="28"/>
          <w:lang w:val="en-US"/>
        </w:rPr>
        <w:t>Mozhina</w:t>
      </w:r>
      <w:proofErr w:type="spellEnd"/>
      <w:r w:rsidRPr="00EC4D09">
        <w:rPr>
          <w:rFonts w:ascii="Times New Roman" w:hAnsi="Times New Roman" w:cs="Times New Roman"/>
          <w:sz w:val="28"/>
          <w:lang w:val="en-US"/>
        </w:rPr>
        <w:t xml:space="preserve"> A.A. The role of the vascular wall in the processes of intravascular thrombosis // </w:t>
      </w:r>
      <w:proofErr w:type="spellStart"/>
      <w:r w:rsidRPr="00EC4D09">
        <w:rPr>
          <w:rFonts w:ascii="Times New Roman" w:hAnsi="Times New Roman" w:cs="Times New Roman"/>
          <w:sz w:val="28"/>
          <w:lang w:val="en-US"/>
        </w:rPr>
        <w:t>Patol</w:t>
      </w:r>
      <w:proofErr w:type="spellEnd"/>
      <w:r w:rsidRPr="00EC4D09">
        <w:rPr>
          <w:rFonts w:ascii="Times New Roman" w:hAnsi="Times New Roman" w:cs="Times New Roman"/>
          <w:sz w:val="28"/>
          <w:lang w:val="en-US"/>
        </w:rPr>
        <w:t xml:space="preserve">. </w:t>
      </w:r>
      <w:proofErr w:type="spellStart"/>
      <w:proofErr w:type="gramStart"/>
      <w:r w:rsidRPr="00EC4D09">
        <w:rPr>
          <w:rFonts w:ascii="Times New Roman" w:hAnsi="Times New Roman" w:cs="Times New Roman"/>
          <w:sz w:val="28"/>
          <w:lang w:val="en-US"/>
        </w:rPr>
        <w:t>fiziol</w:t>
      </w:r>
      <w:proofErr w:type="spellEnd"/>
      <w:proofErr w:type="gramEnd"/>
      <w:r w:rsidRPr="00EC4D09">
        <w:rPr>
          <w:rFonts w:ascii="Times New Roman" w:hAnsi="Times New Roman" w:cs="Times New Roman"/>
          <w:sz w:val="28"/>
          <w:lang w:val="en-US"/>
        </w:rPr>
        <w:t xml:space="preserve">. </w:t>
      </w:r>
      <w:proofErr w:type="gramStart"/>
      <w:r w:rsidRPr="00EC4D09">
        <w:rPr>
          <w:rFonts w:ascii="Times New Roman" w:hAnsi="Times New Roman" w:cs="Times New Roman"/>
          <w:sz w:val="28"/>
          <w:lang w:val="en-US"/>
        </w:rPr>
        <w:t>and</w:t>
      </w:r>
      <w:proofErr w:type="gramEnd"/>
      <w:r w:rsidRPr="00EC4D09">
        <w:rPr>
          <w:rFonts w:ascii="Times New Roman" w:hAnsi="Times New Roman" w:cs="Times New Roman"/>
          <w:sz w:val="28"/>
          <w:lang w:val="en-US"/>
        </w:rPr>
        <w:t xml:space="preserve"> expert. </w:t>
      </w:r>
      <w:proofErr w:type="gramStart"/>
      <w:r w:rsidRPr="00EC4D09">
        <w:rPr>
          <w:rFonts w:ascii="Times New Roman" w:hAnsi="Times New Roman" w:cs="Times New Roman"/>
          <w:sz w:val="28"/>
          <w:lang w:val="en-US"/>
        </w:rPr>
        <w:t>therapy</w:t>
      </w:r>
      <w:proofErr w:type="gramEnd"/>
      <w:r w:rsidRPr="00EC4D09">
        <w:rPr>
          <w:rFonts w:ascii="Times New Roman" w:hAnsi="Times New Roman" w:cs="Times New Roman"/>
          <w:sz w:val="28"/>
          <w:lang w:val="en-US"/>
        </w:rPr>
        <w:t>. 1980; 2: 39-42.</w:t>
      </w:r>
    </w:p>
    <w:p w:rsidR="00EC4D09" w:rsidRPr="00EC4D09" w:rsidRDefault="00EC4D09" w:rsidP="00C40A4A">
      <w:pPr>
        <w:spacing w:after="0" w:line="360" w:lineRule="auto"/>
        <w:ind w:firstLine="708"/>
        <w:jc w:val="both"/>
        <w:rPr>
          <w:rFonts w:ascii="Times New Roman" w:hAnsi="Times New Roman" w:cs="Times New Roman"/>
          <w:sz w:val="28"/>
          <w:lang w:val="uz-Cyrl-UZ"/>
        </w:rPr>
      </w:pPr>
      <w:r w:rsidRPr="00EC4D09">
        <w:rPr>
          <w:rFonts w:ascii="Times New Roman" w:hAnsi="Times New Roman" w:cs="Times New Roman"/>
          <w:sz w:val="28"/>
          <w:lang w:val="uz-Cyrl-UZ"/>
        </w:rPr>
        <w:t>3. Baluda V.P., Sokolov E.I., Baluda M.V. and other Cuff test in the diagnosis of the state of the vascular link of the hemostasis system // Hematol. and transfusiol. -1987; 9: 51-53.</w:t>
      </w:r>
    </w:p>
    <w:p w:rsidR="00EC4D09" w:rsidRDefault="00EC4D09" w:rsidP="00C40A4A">
      <w:pPr>
        <w:spacing w:after="0" w:line="360" w:lineRule="auto"/>
        <w:ind w:firstLine="708"/>
        <w:jc w:val="both"/>
        <w:rPr>
          <w:rFonts w:ascii="Times New Roman" w:hAnsi="Times New Roman" w:cs="Times New Roman"/>
          <w:sz w:val="28"/>
          <w:lang w:val="uz-Cyrl-UZ"/>
        </w:rPr>
      </w:pPr>
      <w:r w:rsidRPr="00EC4D09">
        <w:rPr>
          <w:rFonts w:ascii="Times New Roman" w:hAnsi="Times New Roman" w:cs="Times New Roman"/>
          <w:sz w:val="28"/>
          <w:lang w:val="uz-Cyrl-UZ"/>
        </w:rPr>
        <w:t>4. Blinova T.V. Platelet-vascular, coagulation hemostasis and rheological properties of blood in patients with erosive and ulcerative lesions of the stomach and duodenum. Abstract of dissertation. Cand. medical science. Saratov. 1999; 20 p.</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5. Kirichuk V.F., Voskoboy I.V., Rebrov A.P. Correlation of antithrombogenic activity of the vascular wall and blood properties in patients with unstable angina pectoris. Thrombosis, hemostasis and rheology. 2001; 5: 31-34.</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6. Kirichuk V.F., Nikitina N.N. Egorova A.I. The state of antithrombogenic activity of the vascular wall in patients with stable angina pectoris. Relationship with hemorheological disorders. Thrombosis, hemostasis and rheology. 2002; 2: 7-14.</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7. Kuzmina O.N. Microcirculatory changes in conditions of hypertrophy and pathology of soft tissue attachment in adolescents 13-15 years old with chronic hypertrophic gingivitis // VI Russian scientific-practical conference "Prevention of dental diseases. Medical products and materials. " - Kazan, 2013. - Page 107-112.</w:t>
      </w:r>
    </w:p>
    <w:p w:rsid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8. Mamaev E.V. The prevalence of hypertrophic gingivitis and possible methods for its prevention // II Russian scientific-practical conference "Prevention of dental diseases and oral hygiene". - Kazan, 2009. - Pages 64-68.</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 xml:space="preserve">9. Makhova G.E. The state of the vascular-platelet link of the hemostatic system and the effectiveness of EMR MMD in its correction in the treatment of </w:t>
      </w:r>
      <w:r w:rsidRPr="00C40A4A">
        <w:rPr>
          <w:rFonts w:ascii="Times New Roman" w:hAnsi="Times New Roman" w:cs="Times New Roman"/>
          <w:sz w:val="28"/>
          <w:lang w:val="uz-Cyrl-UZ"/>
        </w:rPr>
        <w:lastRenderedPageBreak/>
        <w:t>peptic ulcer of the stomach and duodenum. Abstract. diss ... cand. medical science. - Saratov: 1998.22 p.</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10. Modina T.N. Hypertrophic gingivitis in adolescents. // Pediatric dentistry prevention. - Moscow, 2010. - No. 1 (32), Volume IX - Pages 14-19.</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11. Savelyeva S.S. Antithrombogenic activity of the vascular wall, hemostasis and rheological properties of blood in patients with phlegmons of the maxillofacial region and methods for their correction. Abstract. diss ... cand. medical science. - Saratov: 2000; 22 p.</w:t>
      </w:r>
    </w:p>
    <w:p w:rsid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12. Tultyaeva L.A. Vascular-platelet hemostasis and rheological properties of blood in patients with chronic inflammatory diseases of the colon. Abstract. diss ... cand. medical science. - Saratov: 2000; 22 p.</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13. Zinecker D.A. Assessment of the nature of changes in capillary blood flow during hypertrophic gingivitis in adolescents // XIV All-Russian Scientific and Practical Conference "Young Scientists in Medicine". - Kazan, 2009. - Pp. 114-115.</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14. Zinecker D.A. Chronic hypertrophic gingivitis in adolescents 13-15 years old. An integrated approach to prevention and treatment / Zinekker D.A. // Medical and Pharmaceutical Bulletin of Tatarstan. - Kazan, 2012. - No. 32 (550). - Page 17.</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15. Griglewski R.J. Interaction between endothelial secretogogues. Ann. Rev. Med. 1995; 27 (3): 421-427.</w:t>
      </w:r>
    </w:p>
    <w:p w:rsidR="00C40A4A" w:rsidRPr="00C40A4A"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16. Takeja H., Suzuki K. Anticoagulant and fibrinolytic system of the injured vascular endothelial cells. Rinsko. Biori. 1994; 4: 333-339.</w:t>
      </w:r>
    </w:p>
    <w:p w:rsidR="00C40A4A" w:rsidRPr="00EC4D09" w:rsidRDefault="00C40A4A" w:rsidP="00C40A4A">
      <w:pPr>
        <w:spacing w:after="0" w:line="360" w:lineRule="auto"/>
        <w:ind w:firstLine="708"/>
        <w:jc w:val="both"/>
        <w:rPr>
          <w:rFonts w:ascii="Times New Roman" w:hAnsi="Times New Roman" w:cs="Times New Roman"/>
          <w:sz w:val="28"/>
          <w:lang w:val="uz-Cyrl-UZ"/>
        </w:rPr>
      </w:pPr>
      <w:r w:rsidRPr="00C40A4A">
        <w:rPr>
          <w:rFonts w:ascii="Times New Roman" w:hAnsi="Times New Roman" w:cs="Times New Roman"/>
          <w:sz w:val="28"/>
          <w:lang w:val="uz-Cyrl-UZ"/>
        </w:rPr>
        <w:t>17. Zuscher T.F., Tarner F.C., Tschudi M.R. Endotelial dysfunction in coronary artery disease. Ann. Rev. Med. 1993; 44: 395-418.</w:t>
      </w:r>
    </w:p>
    <w:sectPr w:rsidR="00C40A4A" w:rsidRPr="00EC4D09" w:rsidSect="005078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E8"/>
    <w:rsid w:val="000D75F1"/>
    <w:rsid w:val="0050781E"/>
    <w:rsid w:val="005B63E4"/>
    <w:rsid w:val="00AD6B48"/>
    <w:rsid w:val="00B837C3"/>
    <w:rsid w:val="00C40A4A"/>
    <w:rsid w:val="00C70130"/>
    <w:rsid w:val="00CB08E8"/>
    <w:rsid w:val="00EC4D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49234-98B0-48A5-97DE-65E35DB7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a:pPr>
            <a:r>
              <a:rPr lang="ru-RU" sz="1200" b="0"/>
              <a:t>АТ-</a:t>
            </a:r>
            <a:r>
              <a:rPr lang="uz-Latn-UZ" sz="1200" b="0"/>
              <a:t>III</a:t>
            </a:r>
            <a:endParaRPr lang="ru-RU" sz="1200" b="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healthy</c:v>
                </c:pt>
              </c:strCache>
            </c:strRef>
          </c:tx>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c:f>
              <c:strCache>
                <c:ptCount val="1"/>
                <c:pt idx="0">
                  <c:v>АТ III</c:v>
                </c:pt>
              </c:strCache>
            </c:strRef>
          </c:cat>
          <c:val>
            <c:numRef>
              <c:f>Лист1!$B$2</c:f>
              <c:numCache>
                <c:formatCode>General</c:formatCode>
                <c:ptCount val="1"/>
                <c:pt idx="0">
                  <c:v>90.1</c:v>
                </c:pt>
              </c:numCache>
            </c:numRef>
          </c:val>
        </c:ser>
        <c:ser>
          <c:idx val="1"/>
          <c:order val="1"/>
          <c:tx>
            <c:strRef>
              <c:f>Лист1!$C$1</c:f>
              <c:strCache>
                <c:ptCount val="1"/>
                <c:pt idx="0">
                  <c:v>patients with HG</c:v>
                </c:pt>
              </c:strCache>
            </c:strRef>
          </c:tx>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c:f>
              <c:strCache>
                <c:ptCount val="1"/>
                <c:pt idx="0">
                  <c:v>АТ III</c:v>
                </c:pt>
              </c:strCache>
            </c:strRef>
          </c:cat>
          <c:val>
            <c:numRef>
              <c:f>Лист1!$C$2</c:f>
              <c:numCache>
                <c:formatCode>General</c:formatCode>
                <c:ptCount val="1"/>
                <c:pt idx="0">
                  <c:v>81.900000000000006</c:v>
                </c:pt>
              </c:numCache>
            </c:numRef>
          </c:val>
        </c:ser>
        <c:dLbls>
          <c:showLegendKey val="0"/>
          <c:showVal val="0"/>
          <c:showCatName val="0"/>
          <c:showSerName val="0"/>
          <c:showPercent val="0"/>
          <c:showBubbleSize val="0"/>
        </c:dLbls>
        <c:gapWidth val="75"/>
        <c:shape val="box"/>
        <c:axId val="376323416"/>
        <c:axId val="376315968"/>
        <c:axId val="0"/>
      </c:bar3DChart>
      <c:catAx>
        <c:axId val="376323416"/>
        <c:scaling>
          <c:orientation val="minMax"/>
        </c:scaling>
        <c:delete val="1"/>
        <c:axPos val="b"/>
        <c:numFmt formatCode="General" sourceLinked="0"/>
        <c:majorTickMark val="none"/>
        <c:minorTickMark val="none"/>
        <c:tickLblPos val="nextTo"/>
        <c:crossAx val="376315968"/>
        <c:crosses val="autoZero"/>
        <c:auto val="1"/>
        <c:lblAlgn val="ctr"/>
        <c:lblOffset val="100"/>
        <c:noMultiLvlLbl val="0"/>
      </c:catAx>
      <c:valAx>
        <c:axId val="376315968"/>
        <c:scaling>
          <c:orientation val="minMax"/>
        </c:scaling>
        <c:delete val="0"/>
        <c:axPos val="l"/>
        <c:majorGridlines/>
        <c:numFmt formatCode="General" sourceLinked="1"/>
        <c:majorTickMark val="none"/>
        <c:minorTickMark val="none"/>
        <c:tickLblPos val="nextTo"/>
        <c:spPr>
          <a:ln w="9525">
            <a:noFill/>
          </a:ln>
        </c:spPr>
        <c:crossAx val="376323416"/>
        <c:crosses val="autoZero"/>
        <c:crossBetween val="between"/>
      </c:valAx>
    </c:plotArea>
    <c:legend>
      <c:legendPos val="b"/>
      <c:overlay val="0"/>
      <c:txPr>
        <a:bodyPr/>
        <a:lstStyle/>
        <a:p>
          <a:pPr>
            <a:defRPr sz="1200"/>
          </a:pPr>
          <a:endParaRPr lang="en-US"/>
        </a:p>
      </c:txPr>
    </c:legend>
    <c:plotVisOnly val="1"/>
    <c:dispBlanksAs val="gap"/>
    <c:showDLblsOverMax val="0"/>
  </c:chart>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XII-dependent fibrinolysis</a:t>
            </a:r>
            <a:endParaRPr lang="ru-RU" sz="120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healthy</c:v>
                </c:pt>
              </c:strCache>
            </c:strRef>
          </c:tx>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c:f>
              <c:strCache>
                <c:ptCount val="1"/>
                <c:pt idx="0">
                  <c:v>XIII-dependent fibrinolysis</c:v>
                </c:pt>
              </c:strCache>
            </c:strRef>
          </c:cat>
          <c:val>
            <c:numRef>
              <c:f>Лист1!$B$2</c:f>
              <c:numCache>
                <c:formatCode>General</c:formatCode>
                <c:ptCount val="1"/>
                <c:pt idx="0">
                  <c:v>565.79999999999995</c:v>
                </c:pt>
              </c:numCache>
            </c:numRef>
          </c:val>
        </c:ser>
        <c:ser>
          <c:idx val="1"/>
          <c:order val="1"/>
          <c:tx>
            <c:strRef>
              <c:f>Лист1!$C$1</c:f>
              <c:strCache>
                <c:ptCount val="1"/>
                <c:pt idx="0">
                  <c:v>patients with GG</c:v>
                </c:pt>
              </c:strCache>
            </c:strRef>
          </c:tx>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c:f>
              <c:strCache>
                <c:ptCount val="1"/>
                <c:pt idx="0">
                  <c:v>XIII-dependent fibrinolysis</c:v>
                </c:pt>
              </c:strCache>
            </c:strRef>
          </c:cat>
          <c:val>
            <c:numRef>
              <c:f>Лист1!$C$2</c:f>
              <c:numCache>
                <c:formatCode>General</c:formatCode>
                <c:ptCount val="1"/>
                <c:pt idx="0">
                  <c:v>659.6</c:v>
                </c:pt>
              </c:numCache>
            </c:numRef>
          </c:val>
        </c:ser>
        <c:dLbls>
          <c:showLegendKey val="0"/>
          <c:showVal val="0"/>
          <c:showCatName val="0"/>
          <c:showSerName val="0"/>
          <c:showPercent val="0"/>
          <c:showBubbleSize val="0"/>
        </c:dLbls>
        <c:gapWidth val="75"/>
        <c:shape val="box"/>
        <c:axId val="376317144"/>
        <c:axId val="376317536"/>
        <c:axId val="0"/>
      </c:bar3DChart>
      <c:catAx>
        <c:axId val="376317144"/>
        <c:scaling>
          <c:orientation val="minMax"/>
        </c:scaling>
        <c:delete val="1"/>
        <c:axPos val="b"/>
        <c:numFmt formatCode="General" sourceLinked="0"/>
        <c:majorTickMark val="none"/>
        <c:minorTickMark val="none"/>
        <c:tickLblPos val="nextTo"/>
        <c:crossAx val="376317536"/>
        <c:crosses val="autoZero"/>
        <c:auto val="1"/>
        <c:lblAlgn val="ctr"/>
        <c:lblOffset val="100"/>
        <c:noMultiLvlLbl val="0"/>
      </c:catAx>
      <c:valAx>
        <c:axId val="376317536"/>
        <c:scaling>
          <c:orientation val="minMax"/>
        </c:scaling>
        <c:delete val="0"/>
        <c:axPos val="l"/>
        <c:majorGridlines/>
        <c:numFmt formatCode="General" sourceLinked="1"/>
        <c:majorTickMark val="none"/>
        <c:minorTickMark val="none"/>
        <c:tickLblPos val="nextTo"/>
        <c:spPr>
          <a:ln w="9525">
            <a:noFill/>
          </a:ln>
        </c:spPr>
        <c:crossAx val="376317144"/>
        <c:crosses val="autoZero"/>
        <c:crossBetween val="between"/>
      </c:valAx>
    </c:plotArea>
    <c:legend>
      <c:legendPos val="b"/>
      <c:overlay val="0"/>
      <c:txPr>
        <a:bodyPr/>
        <a:lstStyle/>
        <a:p>
          <a:pPr>
            <a:defRPr sz="1200"/>
          </a:pPr>
          <a:endParaRPr lang="en-US"/>
        </a:p>
      </c:txPr>
    </c:legend>
    <c:plotVisOnly val="1"/>
    <c:dispBlanksAs val="gap"/>
    <c:showDLblsOverMax val="0"/>
  </c:chart>
  <c:txPr>
    <a:bodyPr/>
    <a:lstStyle/>
    <a:p>
      <a:pPr>
        <a:defRPr>
          <a:latin typeface="Times New Roman" pitchFamily="18" charset="0"/>
          <a:cs typeface="Times New Roman"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a:pPr>
            <a:r>
              <a:rPr lang="ru-RU" sz="1200" b="0"/>
              <a:t>АТ-</a:t>
            </a:r>
            <a:r>
              <a:rPr lang="uz-Latn-UZ" sz="1200" b="0"/>
              <a:t>III</a:t>
            </a:r>
            <a:endParaRPr lang="ru-RU" sz="1200" b="0"/>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healthy</c:v>
                </c:pt>
              </c:strCache>
            </c:strRef>
          </c:tx>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c:f>
              <c:strCache>
                <c:ptCount val="1"/>
                <c:pt idx="0">
                  <c:v>эндотелин-1</c:v>
                </c:pt>
              </c:strCache>
            </c:strRef>
          </c:cat>
          <c:val>
            <c:numRef>
              <c:f>Лист1!$B$2</c:f>
              <c:numCache>
                <c:formatCode>General</c:formatCode>
                <c:ptCount val="1"/>
                <c:pt idx="0">
                  <c:v>0.30000000000000016</c:v>
                </c:pt>
              </c:numCache>
            </c:numRef>
          </c:val>
        </c:ser>
        <c:ser>
          <c:idx val="1"/>
          <c:order val="1"/>
          <c:tx>
            <c:strRef>
              <c:f>Лист1!$C$1</c:f>
              <c:strCache>
                <c:ptCount val="1"/>
                <c:pt idx="0">
                  <c:v>patients with HG</c:v>
                </c:pt>
              </c:strCache>
            </c:strRef>
          </c:tx>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Лист1!$A$2</c:f>
              <c:strCache>
                <c:ptCount val="1"/>
                <c:pt idx="0">
                  <c:v>эндотелин-1</c:v>
                </c:pt>
              </c:strCache>
            </c:strRef>
          </c:cat>
          <c:val>
            <c:numRef>
              <c:f>Лист1!$C$2</c:f>
              <c:numCache>
                <c:formatCode>General</c:formatCode>
                <c:ptCount val="1"/>
                <c:pt idx="0">
                  <c:v>0.37000000000000016</c:v>
                </c:pt>
              </c:numCache>
            </c:numRef>
          </c:val>
        </c:ser>
        <c:dLbls>
          <c:showLegendKey val="0"/>
          <c:showVal val="0"/>
          <c:showCatName val="0"/>
          <c:showSerName val="0"/>
          <c:showPercent val="0"/>
          <c:showBubbleSize val="0"/>
        </c:dLbls>
        <c:gapWidth val="75"/>
        <c:shape val="box"/>
        <c:axId val="376318320"/>
        <c:axId val="383244944"/>
        <c:axId val="0"/>
      </c:bar3DChart>
      <c:catAx>
        <c:axId val="376318320"/>
        <c:scaling>
          <c:orientation val="minMax"/>
        </c:scaling>
        <c:delete val="1"/>
        <c:axPos val="b"/>
        <c:numFmt formatCode="General" sourceLinked="0"/>
        <c:majorTickMark val="none"/>
        <c:minorTickMark val="none"/>
        <c:tickLblPos val="nextTo"/>
        <c:crossAx val="383244944"/>
        <c:crosses val="autoZero"/>
        <c:auto val="1"/>
        <c:lblAlgn val="ctr"/>
        <c:lblOffset val="100"/>
        <c:noMultiLvlLbl val="0"/>
      </c:catAx>
      <c:valAx>
        <c:axId val="383244944"/>
        <c:scaling>
          <c:orientation val="minMax"/>
        </c:scaling>
        <c:delete val="0"/>
        <c:axPos val="l"/>
        <c:majorGridlines/>
        <c:numFmt formatCode="General" sourceLinked="1"/>
        <c:majorTickMark val="none"/>
        <c:minorTickMark val="none"/>
        <c:tickLblPos val="nextTo"/>
        <c:spPr>
          <a:ln w="9525">
            <a:noFill/>
          </a:ln>
        </c:spPr>
        <c:crossAx val="376318320"/>
        <c:crosses val="autoZero"/>
        <c:crossBetween val="between"/>
      </c:valAx>
    </c:plotArea>
    <c:legend>
      <c:legendPos val="b"/>
      <c:layout>
        <c:manualLayout>
          <c:xMode val="edge"/>
          <c:yMode val="edge"/>
          <c:x val="0.26953852644902693"/>
          <c:y val="0.87039909590292452"/>
          <c:w val="0.45020600179315434"/>
          <c:h val="9.869090897290396E-2"/>
        </c:manualLayout>
      </c:layout>
      <c:overlay val="0"/>
      <c:txPr>
        <a:bodyPr/>
        <a:lstStyle/>
        <a:p>
          <a:pPr>
            <a:defRPr sz="1200"/>
          </a:pPr>
          <a:endParaRPr lang="en-US"/>
        </a:p>
      </c:txPr>
    </c:legend>
    <c:plotVisOnly val="1"/>
    <c:dispBlanksAs val="gap"/>
    <c:showDLblsOverMax val="0"/>
  </c:chart>
  <c:txPr>
    <a:bodyPr/>
    <a:lstStyle/>
    <a:p>
      <a:pPr>
        <a:defRPr>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1755</Words>
  <Characters>10009</Characters>
  <Application>Microsoft Office Word</Application>
  <DocSecurity>0</DocSecurity>
  <Lines>83</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Copy editor</cp:lastModifiedBy>
  <cp:revision>2</cp:revision>
  <dcterms:created xsi:type="dcterms:W3CDTF">2020-01-26T12:39:00Z</dcterms:created>
  <dcterms:modified xsi:type="dcterms:W3CDTF">2020-01-26T12:39:00Z</dcterms:modified>
</cp:coreProperties>
</file>