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1E6C3" w14:textId="77777777" w:rsidR="002C0E86" w:rsidRPr="004317FF" w:rsidRDefault="002C0E86" w:rsidP="002C0E86">
      <w:pPr>
        <w:jc w:val="center"/>
        <w:rPr>
          <w:rFonts w:ascii="Times New Roman" w:hAnsi="Times New Roman" w:cs="Times New Roman"/>
          <w:sz w:val="32"/>
          <w:szCs w:val="32"/>
        </w:rPr>
      </w:pPr>
      <w:bookmarkStart w:id="0" w:name="_gjdgxs" w:colFirst="0" w:colLast="0"/>
      <w:bookmarkStart w:id="1" w:name="_GoBack"/>
      <w:bookmarkEnd w:id="0"/>
      <w:bookmarkEnd w:id="1"/>
      <w:r w:rsidRPr="004317FF">
        <w:rPr>
          <w:rFonts w:ascii="Times New Roman" w:hAnsi="Times New Roman" w:cs="Times New Roman"/>
          <w:b/>
          <w:sz w:val="32"/>
          <w:szCs w:val="32"/>
        </w:rPr>
        <w:t>Euthanasia: the need to consider its impact on family and friends</w:t>
      </w:r>
    </w:p>
    <w:p w14:paraId="20DE96A4" w14:textId="77777777" w:rsidR="002C0E86" w:rsidRPr="004317FF" w:rsidRDefault="002C0E86" w:rsidP="002C0E86">
      <w:pPr>
        <w:spacing w:line="360" w:lineRule="auto"/>
        <w:jc w:val="both"/>
        <w:rPr>
          <w:rFonts w:ascii="Times New Roman" w:hAnsi="Times New Roman" w:cs="Times New Roman"/>
        </w:rPr>
      </w:pPr>
    </w:p>
    <w:p w14:paraId="1645D637" w14:textId="77777777" w:rsidR="002C0E86" w:rsidRPr="004317FF" w:rsidRDefault="002C0E86" w:rsidP="002C0E86">
      <w:pPr>
        <w:spacing w:line="360" w:lineRule="auto"/>
        <w:jc w:val="center"/>
        <w:rPr>
          <w:rFonts w:ascii="Times New Roman" w:hAnsi="Times New Roman" w:cs="Times New Roman"/>
          <w:lang w:val="pt-BR"/>
        </w:rPr>
      </w:pPr>
      <w:r w:rsidRPr="004317FF">
        <w:rPr>
          <w:rFonts w:ascii="Times New Roman" w:hAnsi="Times New Roman" w:cs="Times New Roman"/>
          <w:lang w:val="pt-BR"/>
        </w:rPr>
        <w:t>Beatriz Hachul de Campos, Sergio Tufik, M.D., Ph.D; Monica L. Andersen, Ph.D *</w:t>
      </w:r>
    </w:p>
    <w:p w14:paraId="1037BE25" w14:textId="77777777" w:rsidR="002C0E86" w:rsidRPr="004317FF" w:rsidRDefault="002C0E86" w:rsidP="002C0E86">
      <w:pPr>
        <w:jc w:val="center"/>
        <w:rPr>
          <w:rFonts w:ascii="Times New Roman" w:hAnsi="Times New Roman" w:cs="Times New Roman"/>
          <w:sz w:val="20"/>
          <w:szCs w:val="20"/>
          <w:lang w:val="pt-BR"/>
        </w:rPr>
      </w:pPr>
    </w:p>
    <w:p w14:paraId="458653D4" w14:textId="77777777" w:rsidR="002C0E86" w:rsidRPr="004317FF" w:rsidRDefault="002C0E86" w:rsidP="002C0E86">
      <w:pPr>
        <w:jc w:val="center"/>
        <w:rPr>
          <w:rFonts w:ascii="Times New Roman" w:hAnsi="Times New Roman" w:cs="Times New Roman"/>
          <w:lang w:val="pt-BR"/>
        </w:rPr>
      </w:pPr>
      <w:r w:rsidRPr="004317FF">
        <w:rPr>
          <w:rFonts w:ascii="Times New Roman" w:hAnsi="Times New Roman" w:cs="Times New Roman"/>
          <w:lang w:val="pt-BR"/>
        </w:rPr>
        <w:t>Departamento de Psicobiologia - Universidade Federal de São Paulo</w:t>
      </w:r>
    </w:p>
    <w:p w14:paraId="4D4AC34E" w14:textId="77777777" w:rsidR="002C0E86" w:rsidRPr="004317FF" w:rsidRDefault="002C0E86" w:rsidP="002C0E86">
      <w:pPr>
        <w:spacing w:line="360" w:lineRule="auto"/>
        <w:jc w:val="both"/>
        <w:rPr>
          <w:rFonts w:ascii="Times New Roman" w:hAnsi="Times New Roman" w:cs="Times New Roman"/>
          <w:lang w:val="pt-BR"/>
        </w:rPr>
      </w:pPr>
    </w:p>
    <w:p w14:paraId="483378A1" w14:textId="77777777" w:rsidR="002C0E86" w:rsidRPr="004317FF" w:rsidRDefault="002C0E86" w:rsidP="002C0E86">
      <w:pPr>
        <w:spacing w:line="360" w:lineRule="auto"/>
        <w:jc w:val="both"/>
        <w:rPr>
          <w:rFonts w:ascii="Times New Roman" w:hAnsi="Times New Roman" w:cs="Times New Roman"/>
          <w:lang w:val="pt-BR"/>
        </w:rPr>
      </w:pPr>
    </w:p>
    <w:p w14:paraId="79A7848A" w14:textId="77777777" w:rsidR="002C0E86" w:rsidRPr="004317FF" w:rsidRDefault="002C0E86" w:rsidP="002C0E86">
      <w:pPr>
        <w:spacing w:line="360" w:lineRule="auto"/>
        <w:jc w:val="both"/>
        <w:rPr>
          <w:rFonts w:ascii="Times New Roman" w:hAnsi="Times New Roman" w:cs="Times New Roman"/>
          <w:lang w:val="pt-BR"/>
        </w:rPr>
      </w:pPr>
    </w:p>
    <w:p w14:paraId="2A9489FC" w14:textId="77777777" w:rsidR="002C0E86" w:rsidRPr="004317FF" w:rsidRDefault="002C0E86" w:rsidP="002C0E86">
      <w:pPr>
        <w:spacing w:line="360" w:lineRule="auto"/>
        <w:jc w:val="both"/>
        <w:rPr>
          <w:rFonts w:ascii="Times New Roman" w:hAnsi="Times New Roman" w:cs="Times New Roman"/>
          <w:lang w:val="pt-BR"/>
        </w:rPr>
      </w:pPr>
    </w:p>
    <w:p w14:paraId="1F7E5919" w14:textId="77777777" w:rsidR="002C0E86" w:rsidRPr="004317FF" w:rsidRDefault="002C0E86" w:rsidP="002C0E86">
      <w:pPr>
        <w:spacing w:line="360" w:lineRule="auto"/>
        <w:jc w:val="both"/>
        <w:rPr>
          <w:rFonts w:ascii="Times New Roman" w:hAnsi="Times New Roman" w:cs="Times New Roman"/>
          <w:lang w:val="pt-BR"/>
        </w:rPr>
      </w:pPr>
    </w:p>
    <w:p w14:paraId="4D2CD1AC" w14:textId="77777777" w:rsidR="002C0E86" w:rsidRPr="00B330DA" w:rsidRDefault="002C0E86" w:rsidP="00B330DA">
      <w:pPr>
        <w:spacing w:line="360" w:lineRule="auto"/>
        <w:jc w:val="both"/>
        <w:rPr>
          <w:rFonts w:ascii="Times New Roman" w:hAnsi="Times New Roman" w:cs="Times New Roman"/>
          <w:sz w:val="24"/>
          <w:szCs w:val="24"/>
        </w:rPr>
      </w:pPr>
      <w:r w:rsidRPr="00B330DA">
        <w:rPr>
          <w:rFonts w:ascii="Times New Roman" w:hAnsi="Times New Roman" w:cs="Times New Roman"/>
          <w:b/>
          <w:bCs/>
          <w:sz w:val="24"/>
          <w:szCs w:val="24"/>
          <w:lang w:val="pt-BR"/>
        </w:rPr>
        <w:t>Authors affiliation:</w:t>
      </w:r>
      <w:r w:rsidRPr="00B330DA">
        <w:rPr>
          <w:rFonts w:ascii="Times New Roman" w:hAnsi="Times New Roman" w:cs="Times New Roman"/>
          <w:sz w:val="24"/>
          <w:szCs w:val="24"/>
          <w:lang w:val="pt-BR"/>
        </w:rPr>
        <w:t xml:space="preserve"> Departamento de Psicobiologia da Universidade Federal de São Paulo – Rua Napoleão de Barros, 925 – São Paulo, SP – 04024-002, Brazil. </w:t>
      </w:r>
      <w:r w:rsidRPr="00B330DA">
        <w:rPr>
          <w:rFonts w:ascii="Times New Roman" w:hAnsi="Times New Roman" w:cs="Times New Roman"/>
          <w:sz w:val="24"/>
          <w:szCs w:val="24"/>
        </w:rPr>
        <w:t>Phone #: (55 11) 2149-0155; Fax #: (55 11) 5572-5092</w:t>
      </w:r>
    </w:p>
    <w:p w14:paraId="4B749929" w14:textId="77777777" w:rsidR="002C0E86" w:rsidRPr="00B330DA" w:rsidRDefault="002C0E86" w:rsidP="00B330DA">
      <w:pPr>
        <w:spacing w:line="360" w:lineRule="auto"/>
        <w:jc w:val="both"/>
        <w:rPr>
          <w:rFonts w:ascii="Times New Roman" w:hAnsi="Times New Roman" w:cs="Times New Roman"/>
          <w:sz w:val="24"/>
          <w:szCs w:val="24"/>
        </w:rPr>
      </w:pPr>
    </w:p>
    <w:p w14:paraId="5324A664" w14:textId="77777777" w:rsidR="002C0E86" w:rsidRPr="00B330DA" w:rsidRDefault="002C0E86" w:rsidP="00B330DA">
      <w:pPr>
        <w:spacing w:line="360" w:lineRule="auto"/>
        <w:jc w:val="both"/>
        <w:rPr>
          <w:rFonts w:ascii="Times New Roman" w:hAnsi="Times New Roman" w:cs="Times New Roman"/>
          <w:sz w:val="24"/>
          <w:szCs w:val="24"/>
        </w:rPr>
      </w:pPr>
      <w:r w:rsidRPr="00B330DA">
        <w:rPr>
          <w:rFonts w:ascii="Times New Roman" w:hAnsi="Times New Roman" w:cs="Times New Roman"/>
          <w:b/>
          <w:sz w:val="24"/>
          <w:szCs w:val="24"/>
        </w:rPr>
        <w:t>Keywords</w:t>
      </w:r>
      <w:r w:rsidRPr="00B330DA">
        <w:rPr>
          <w:rFonts w:ascii="Times New Roman" w:hAnsi="Times New Roman" w:cs="Times New Roman"/>
          <w:sz w:val="24"/>
          <w:szCs w:val="24"/>
        </w:rPr>
        <w:t>: euthanasia, medical ethics, family impact</w:t>
      </w:r>
    </w:p>
    <w:p w14:paraId="401024C4" w14:textId="6F78149F" w:rsidR="002C0E86" w:rsidRPr="00B330DA" w:rsidRDefault="00B330DA" w:rsidP="00B330DA">
      <w:pPr>
        <w:spacing w:line="240" w:lineRule="auto"/>
        <w:jc w:val="both"/>
        <w:rPr>
          <w:rFonts w:ascii="Times New Roman" w:hAnsi="Times New Roman" w:cs="Times New Roman"/>
          <w:b/>
          <w:color w:val="333333"/>
          <w:sz w:val="24"/>
          <w:szCs w:val="24"/>
        </w:rPr>
      </w:pPr>
      <w:r w:rsidRPr="00B330DA">
        <w:rPr>
          <w:rFonts w:ascii="Times New Roman" w:hAnsi="Times New Roman" w:cs="Times New Roman"/>
          <w:b/>
          <w:color w:val="333333"/>
          <w:sz w:val="24"/>
          <w:szCs w:val="24"/>
        </w:rPr>
        <w:t xml:space="preserve">Abstract: </w:t>
      </w:r>
      <w:r w:rsidRPr="00B330DA">
        <w:rPr>
          <w:rFonts w:ascii="Times New Roman" w:hAnsi="Times New Roman" w:cs="Times New Roman"/>
          <w:sz w:val="24"/>
          <w:szCs w:val="24"/>
        </w:rPr>
        <w:t>Given that the number of euthanasia procedures has increased in the lately years, we discuss the importance to focus on not only in the person who is undergoing euthanasia but as also the family and friends who are sharing this experience with him/her</w:t>
      </w:r>
      <w:r>
        <w:rPr>
          <w:rFonts w:ascii="Times New Roman" w:hAnsi="Times New Roman" w:cs="Times New Roman"/>
          <w:sz w:val="24"/>
          <w:szCs w:val="24"/>
        </w:rPr>
        <w:t xml:space="preserve"> in order to make the procedure less suffered.</w:t>
      </w:r>
    </w:p>
    <w:p w14:paraId="465F5642" w14:textId="77777777" w:rsidR="002C0E86" w:rsidRPr="00B330DA" w:rsidRDefault="002C0E86" w:rsidP="00B330DA">
      <w:pPr>
        <w:spacing w:line="240" w:lineRule="auto"/>
        <w:jc w:val="both"/>
        <w:rPr>
          <w:rFonts w:ascii="Times New Roman" w:hAnsi="Times New Roman" w:cs="Times New Roman"/>
          <w:b/>
          <w:color w:val="333333"/>
          <w:sz w:val="24"/>
          <w:szCs w:val="24"/>
        </w:rPr>
      </w:pPr>
    </w:p>
    <w:p w14:paraId="527D00C3" w14:textId="77777777" w:rsidR="002C0E86" w:rsidRPr="00B330DA" w:rsidRDefault="002C0E86" w:rsidP="00B330DA">
      <w:pPr>
        <w:spacing w:line="240" w:lineRule="auto"/>
        <w:jc w:val="both"/>
        <w:rPr>
          <w:rFonts w:ascii="Times New Roman" w:hAnsi="Times New Roman" w:cs="Times New Roman"/>
          <w:sz w:val="24"/>
          <w:szCs w:val="24"/>
        </w:rPr>
      </w:pPr>
      <w:r w:rsidRPr="00B330DA">
        <w:rPr>
          <w:rFonts w:ascii="Times New Roman" w:hAnsi="Times New Roman" w:cs="Times New Roman"/>
          <w:b/>
          <w:color w:val="333333"/>
          <w:sz w:val="24"/>
          <w:szCs w:val="24"/>
        </w:rPr>
        <w:t>Conflicts of interest</w:t>
      </w:r>
      <w:r w:rsidRPr="00B330DA">
        <w:rPr>
          <w:rFonts w:ascii="Times New Roman" w:hAnsi="Times New Roman" w:cs="Times New Roman"/>
          <w:sz w:val="24"/>
          <w:szCs w:val="24"/>
        </w:rPr>
        <w:t>: The authors have no conflict of interest to declare.</w:t>
      </w:r>
    </w:p>
    <w:p w14:paraId="20930A10" w14:textId="77777777" w:rsidR="002C0E86" w:rsidRPr="00B330DA" w:rsidRDefault="002C0E86" w:rsidP="00B330DA">
      <w:pPr>
        <w:spacing w:line="360" w:lineRule="auto"/>
        <w:jc w:val="both"/>
        <w:rPr>
          <w:rFonts w:ascii="Times New Roman" w:hAnsi="Times New Roman" w:cs="Times New Roman"/>
          <w:sz w:val="24"/>
          <w:szCs w:val="24"/>
        </w:rPr>
      </w:pPr>
    </w:p>
    <w:p w14:paraId="43F5DDC1" w14:textId="77777777" w:rsidR="002C0E86" w:rsidRPr="00B330DA" w:rsidRDefault="002C0E86" w:rsidP="00B330DA">
      <w:pPr>
        <w:pBdr>
          <w:top w:val="nil"/>
          <w:left w:val="nil"/>
          <w:bottom w:val="nil"/>
          <w:right w:val="nil"/>
          <w:between w:val="nil"/>
        </w:pBdr>
        <w:spacing w:line="480" w:lineRule="auto"/>
        <w:jc w:val="both"/>
        <w:rPr>
          <w:rFonts w:ascii="Times New Roman" w:hAnsi="Times New Roman" w:cs="Times New Roman"/>
          <w:color w:val="000000"/>
          <w:sz w:val="24"/>
          <w:szCs w:val="24"/>
        </w:rPr>
      </w:pPr>
      <w:r w:rsidRPr="00B330DA">
        <w:rPr>
          <w:rFonts w:ascii="Times New Roman" w:hAnsi="Times New Roman" w:cs="Times New Roman"/>
          <w:b/>
          <w:color w:val="333333"/>
          <w:sz w:val="24"/>
          <w:szCs w:val="24"/>
        </w:rPr>
        <w:t xml:space="preserve">Acknowledgments: </w:t>
      </w:r>
      <w:r w:rsidRPr="00B330DA">
        <w:rPr>
          <w:rFonts w:ascii="Times New Roman" w:hAnsi="Times New Roman" w:cs="Times New Roman"/>
          <w:color w:val="000000"/>
          <w:sz w:val="24"/>
          <w:szCs w:val="24"/>
        </w:rPr>
        <w:t xml:space="preserve">Our studies have been financially supported by </w:t>
      </w:r>
      <w:proofErr w:type="spellStart"/>
      <w:r w:rsidRPr="00B330DA">
        <w:rPr>
          <w:rFonts w:ascii="Times New Roman" w:hAnsi="Times New Roman" w:cs="Times New Roman"/>
          <w:color w:val="000000"/>
          <w:sz w:val="24"/>
          <w:szCs w:val="24"/>
        </w:rPr>
        <w:t>Associação</w:t>
      </w:r>
      <w:proofErr w:type="spellEnd"/>
      <w:r w:rsidRPr="00B330DA">
        <w:rPr>
          <w:rFonts w:ascii="Times New Roman" w:hAnsi="Times New Roman" w:cs="Times New Roman"/>
          <w:color w:val="000000"/>
          <w:sz w:val="24"/>
          <w:szCs w:val="24"/>
        </w:rPr>
        <w:t xml:space="preserve"> Fundo de </w:t>
      </w:r>
      <w:proofErr w:type="spellStart"/>
      <w:r w:rsidRPr="00B330DA">
        <w:rPr>
          <w:rFonts w:ascii="Times New Roman" w:hAnsi="Times New Roman" w:cs="Times New Roman"/>
          <w:color w:val="000000"/>
          <w:sz w:val="24"/>
          <w:szCs w:val="24"/>
        </w:rPr>
        <w:t>Incentivo</w:t>
      </w:r>
      <w:proofErr w:type="spellEnd"/>
      <w:r w:rsidRPr="00B330DA">
        <w:rPr>
          <w:rFonts w:ascii="Times New Roman" w:hAnsi="Times New Roman" w:cs="Times New Roman"/>
          <w:color w:val="000000"/>
          <w:sz w:val="24"/>
          <w:szCs w:val="24"/>
        </w:rPr>
        <w:t xml:space="preserve"> à </w:t>
      </w:r>
      <w:proofErr w:type="spellStart"/>
      <w:r w:rsidRPr="00B330DA">
        <w:rPr>
          <w:rFonts w:ascii="Times New Roman" w:hAnsi="Times New Roman" w:cs="Times New Roman"/>
          <w:color w:val="000000"/>
          <w:sz w:val="24"/>
          <w:szCs w:val="24"/>
        </w:rPr>
        <w:t>Pesquisa</w:t>
      </w:r>
      <w:proofErr w:type="spellEnd"/>
      <w:r w:rsidRPr="00B330DA">
        <w:rPr>
          <w:rFonts w:ascii="Times New Roman" w:hAnsi="Times New Roman" w:cs="Times New Roman"/>
          <w:color w:val="000000"/>
          <w:sz w:val="24"/>
          <w:szCs w:val="24"/>
        </w:rPr>
        <w:t xml:space="preserve"> (AFIP). MLA and ST are recipients of </w:t>
      </w:r>
      <w:proofErr w:type="spellStart"/>
      <w:r w:rsidRPr="00B330DA">
        <w:rPr>
          <w:rFonts w:ascii="Times New Roman" w:hAnsi="Times New Roman" w:cs="Times New Roman"/>
          <w:color w:val="000000"/>
          <w:sz w:val="24"/>
          <w:szCs w:val="24"/>
        </w:rPr>
        <w:t>CNPq</w:t>
      </w:r>
      <w:proofErr w:type="spellEnd"/>
      <w:r w:rsidRPr="00B330DA">
        <w:rPr>
          <w:rFonts w:ascii="Times New Roman" w:hAnsi="Times New Roman" w:cs="Times New Roman"/>
          <w:color w:val="000000"/>
          <w:sz w:val="24"/>
          <w:szCs w:val="24"/>
        </w:rPr>
        <w:t xml:space="preserve"> fellowship.</w:t>
      </w:r>
    </w:p>
    <w:p w14:paraId="4A491C10" w14:textId="77777777" w:rsidR="002C0E86" w:rsidRPr="004317FF" w:rsidRDefault="002C0E86" w:rsidP="002C0E86">
      <w:pPr>
        <w:spacing w:line="240" w:lineRule="auto"/>
        <w:rPr>
          <w:rFonts w:ascii="Times New Roman" w:hAnsi="Times New Roman" w:cs="Times New Roman"/>
        </w:rPr>
      </w:pPr>
    </w:p>
    <w:p w14:paraId="71C681AD" w14:textId="77777777" w:rsidR="002C0E86" w:rsidRPr="004317FF" w:rsidRDefault="002C0E86" w:rsidP="002C0E86">
      <w:pPr>
        <w:spacing w:line="360" w:lineRule="auto"/>
        <w:jc w:val="both"/>
        <w:rPr>
          <w:rFonts w:ascii="Times New Roman" w:hAnsi="Times New Roman" w:cs="Times New Roman"/>
        </w:rPr>
      </w:pPr>
    </w:p>
    <w:p w14:paraId="6769D151" w14:textId="77777777" w:rsidR="002C0E86" w:rsidRPr="004317FF" w:rsidRDefault="002C0E86" w:rsidP="002C0E86">
      <w:pPr>
        <w:spacing w:line="360" w:lineRule="auto"/>
        <w:jc w:val="both"/>
        <w:rPr>
          <w:rFonts w:ascii="Times New Roman" w:hAnsi="Times New Roman" w:cs="Times New Roman"/>
        </w:rPr>
      </w:pPr>
    </w:p>
    <w:p w14:paraId="618FF9D9" w14:textId="77777777" w:rsidR="002C0E86" w:rsidRPr="004317FF" w:rsidRDefault="002C0E86" w:rsidP="002C0E86">
      <w:pPr>
        <w:spacing w:line="360" w:lineRule="auto"/>
        <w:jc w:val="both"/>
        <w:rPr>
          <w:rFonts w:ascii="Times New Roman" w:hAnsi="Times New Roman" w:cs="Times New Roman"/>
        </w:rPr>
      </w:pPr>
    </w:p>
    <w:p w14:paraId="6B70E979" w14:textId="77777777" w:rsidR="002C0E86" w:rsidRPr="004317FF" w:rsidRDefault="002C0E86" w:rsidP="002C0E86">
      <w:pPr>
        <w:spacing w:line="480" w:lineRule="auto"/>
        <w:jc w:val="both"/>
        <w:rPr>
          <w:rFonts w:ascii="Times New Roman" w:hAnsi="Times New Roman" w:cs="Times New Roman"/>
        </w:rPr>
      </w:pPr>
      <w:r w:rsidRPr="004317FF">
        <w:rPr>
          <w:rFonts w:ascii="Times New Roman" w:hAnsi="Times New Roman" w:cs="Times New Roman"/>
          <w:b/>
        </w:rPr>
        <w:t>*Corresponding author</w:t>
      </w:r>
      <w:r w:rsidRPr="004317FF">
        <w:rPr>
          <w:rFonts w:ascii="Times New Roman" w:hAnsi="Times New Roman" w:cs="Times New Roman"/>
        </w:rPr>
        <w:t>:</w:t>
      </w:r>
    </w:p>
    <w:p w14:paraId="65B9B985" w14:textId="77777777" w:rsidR="002C0E86" w:rsidRPr="004317FF" w:rsidRDefault="002C0E86" w:rsidP="002C0E86">
      <w:pPr>
        <w:spacing w:line="480" w:lineRule="auto"/>
        <w:jc w:val="both"/>
        <w:rPr>
          <w:rFonts w:ascii="Times New Roman" w:hAnsi="Times New Roman" w:cs="Times New Roman"/>
          <w:lang w:val="pt-BR"/>
        </w:rPr>
      </w:pPr>
      <w:r w:rsidRPr="004317FF">
        <w:rPr>
          <w:rFonts w:ascii="Times New Roman" w:hAnsi="Times New Roman" w:cs="Times New Roman"/>
          <w:lang w:val="pt-BR"/>
        </w:rPr>
        <w:t>Monica Levy Andersen</w:t>
      </w:r>
    </w:p>
    <w:p w14:paraId="210F192E" w14:textId="77777777" w:rsidR="002C0E86" w:rsidRPr="004317FF" w:rsidRDefault="002C0E86" w:rsidP="002C0E86">
      <w:pPr>
        <w:pBdr>
          <w:top w:val="nil"/>
          <w:left w:val="nil"/>
          <w:bottom w:val="nil"/>
          <w:right w:val="nil"/>
          <w:between w:val="nil"/>
        </w:pBdr>
        <w:spacing w:line="480" w:lineRule="auto"/>
        <w:rPr>
          <w:rFonts w:ascii="Times New Roman" w:hAnsi="Times New Roman" w:cs="Times New Roman"/>
          <w:color w:val="000000"/>
          <w:lang w:val="pt-BR"/>
        </w:rPr>
      </w:pPr>
      <w:r w:rsidRPr="004317FF">
        <w:rPr>
          <w:rFonts w:ascii="Times New Roman" w:hAnsi="Times New Roman" w:cs="Times New Roman"/>
          <w:color w:val="000000"/>
          <w:lang w:val="pt-BR"/>
        </w:rPr>
        <w:t>Universidade Federal de São Paulo</w:t>
      </w:r>
    </w:p>
    <w:p w14:paraId="5B45C8D5" w14:textId="77777777" w:rsidR="002C0E86" w:rsidRPr="004317FF" w:rsidRDefault="002C0E86" w:rsidP="002C0E86">
      <w:pPr>
        <w:pBdr>
          <w:top w:val="nil"/>
          <w:left w:val="nil"/>
          <w:bottom w:val="nil"/>
          <w:right w:val="nil"/>
          <w:between w:val="nil"/>
        </w:pBdr>
        <w:spacing w:line="480" w:lineRule="auto"/>
        <w:rPr>
          <w:rFonts w:ascii="Times New Roman" w:hAnsi="Times New Roman" w:cs="Times New Roman"/>
          <w:color w:val="000000"/>
          <w:lang w:val="pt-BR"/>
        </w:rPr>
      </w:pPr>
      <w:r w:rsidRPr="004317FF">
        <w:rPr>
          <w:rFonts w:ascii="Times New Roman" w:hAnsi="Times New Roman" w:cs="Times New Roman"/>
          <w:color w:val="000000"/>
          <w:lang w:val="pt-BR"/>
        </w:rPr>
        <w:t xml:space="preserve">Rua Napoleão de Barros, 925 </w:t>
      </w:r>
    </w:p>
    <w:p w14:paraId="1F368C64" w14:textId="77777777" w:rsidR="002C0E86" w:rsidRPr="004317FF" w:rsidRDefault="002C0E86" w:rsidP="002C0E86">
      <w:pPr>
        <w:pBdr>
          <w:top w:val="nil"/>
          <w:left w:val="nil"/>
          <w:bottom w:val="nil"/>
          <w:right w:val="nil"/>
          <w:between w:val="nil"/>
        </w:pBdr>
        <w:spacing w:line="480" w:lineRule="auto"/>
        <w:rPr>
          <w:rFonts w:ascii="Times New Roman" w:hAnsi="Times New Roman" w:cs="Times New Roman"/>
          <w:color w:val="000000"/>
          <w:lang w:val="pt-BR"/>
        </w:rPr>
      </w:pPr>
      <w:r w:rsidRPr="004317FF">
        <w:rPr>
          <w:rFonts w:ascii="Times New Roman" w:hAnsi="Times New Roman" w:cs="Times New Roman"/>
          <w:color w:val="000000"/>
          <w:lang w:val="pt-BR"/>
        </w:rPr>
        <w:t>Vila Clementino - 04024-002 - São Paulo/SP – Brazil</w:t>
      </w:r>
    </w:p>
    <w:p w14:paraId="0AB49938" w14:textId="77777777" w:rsidR="002C0E86" w:rsidRPr="004317FF" w:rsidRDefault="002C0E86" w:rsidP="002C0E86">
      <w:pPr>
        <w:pBdr>
          <w:top w:val="nil"/>
          <w:left w:val="nil"/>
          <w:bottom w:val="nil"/>
          <w:right w:val="nil"/>
          <w:between w:val="nil"/>
        </w:pBdr>
        <w:spacing w:line="480" w:lineRule="auto"/>
        <w:rPr>
          <w:rFonts w:ascii="Times New Roman" w:hAnsi="Times New Roman" w:cs="Times New Roman"/>
          <w:color w:val="000000"/>
          <w:sz w:val="24"/>
          <w:szCs w:val="24"/>
        </w:rPr>
      </w:pPr>
      <w:r w:rsidRPr="004317FF">
        <w:rPr>
          <w:rFonts w:ascii="Times New Roman" w:hAnsi="Times New Roman" w:cs="Times New Roman"/>
          <w:color w:val="000000"/>
        </w:rPr>
        <w:t>Phone #: (55-11) 2149-0160 Fax #: (55-11) 5572-5092</w:t>
      </w:r>
    </w:p>
    <w:p w14:paraId="60E09285" w14:textId="6CBBF8DE" w:rsidR="002C0E86" w:rsidRPr="00A12933" w:rsidRDefault="002C0E86" w:rsidP="00B330DA">
      <w:pPr>
        <w:pBdr>
          <w:top w:val="nil"/>
          <w:left w:val="nil"/>
          <w:bottom w:val="nil"/>
          <w:right w:val="nil"/>
          <w:between w:val="nil"/>
        </w:pBdr>
        <w:spacing w:line="480" w:lineRule="auto"/>
        <w:jc w:val="both"/>
        <w:rPr>
          <w:rFonts w:ascii="Times New Roman" w:hAnsi="Times New Roman" w:cs="Times New Roman"/>
          <w:color w:val="000000"/>
          <w:sz w:val="24"/>
          <w:szCs w:val="24"/>
          <w:lang w:val="pt-BR"/>
        </w:rPr>
      </w:pPr>
      <w:r w:rsidRPr="00A12933">
        <w:rPr>
          <w:rFonts w:ascii="Times New Roman" w:hAnsi="Times New Roman" w:cs="Times New Roman"/>
          <w:color w:val="000000"/>
          <w:sz w:val="24"/>
          <w:szCs w:val="24"/>
          <w:lang w:val="pt-BR"/>
        </w:rPr>
        <w:t xml:space="preserve">E-mail: </w:t>
      </w:r>
      <w:hyperlink r:id="rId5">
        <w:r w:rsidRPr="00A12933">
          <w:rPr>
            <w:rFonts w:ascii="Times New Roman" w:hAnsi="Times New Roman" w:cs="Times New Roman"/>
            <w:color w:val="0563C1"/>
            <w:sz w:val="24"/>
            <w:szCs w:val="24"/>
            <w:u w:val="single"/>
            <w:lang w:val="pt-BR"/>
          </w:rPr>
          <w:t>ml.andersen12@gmail.com</w:t>
        </w:r>
      </w:hyperlink>
      <w:r w:rsidRPr="00A12933">
        <w:rPr>
          <w:rFonts w:ascii="Times New Roman" w:hAnsi="Times New Roman" w:cs="Times New Roman"/>
          <w:color w:val="000000"/>
          <w:sz w:val="24"/>
          <w:szCs w:val="24"/>
          <w:lang w:val="pt-BR"/>
        </w:rPr>
        <w:t>/</w:t>
      </w:r>
    </w:p>
    <w:p w14:paraId="00000023" w14:textId="13E55AFF" w:rsidR="00F67757" w:rsidRPr="00E37D7A" w:rsidRDefault="00DC25A6">
      <w:pPr>
        <w:spacing w:line="360" w:lineRule="auto"/>
        <w:ind w:firstLine="720"/>
        <w:jc w:val="both"/>
        <w:rPr>
          <w:rFonts w:ascii="Times New Roman" w:hAnsi="Times New Roman" w:cs="Times New Roman"/>
          <w:color w:val="FF0000"/>
          <w:sz w:val="24"/>
          <w:szCs w:val="24"/>
        </w:rPr>
      </w:pPr>
      <w:r w:rsidRPr="00E37D7A">
        <w:rPr>
          <w:rFonts w:ascii="Times New Roman" w:hAnsi="Times New Roman" w:cs="Times New Roman"/>
          <w:sz w:val="24"/>
          <w:szCs w:val="24"/>
        </w:rPr>
        <w:lastRenderedPageBreak/>
        <w:t xml:space="preserve">Euthanasia is commonly defined as the practice of painlessly ending life to relieve incurable pain or suffering. This highly controversial subject has been discussed since ancient times (1). The morals and ethic concepts behind euthanasia continue to be an important and relevant matter of debate, especially given the increase in the number of countries in which it is legally permitted. In Belgium, which has the most liberal euthanasia laws in the world, there has been a gradual increase in the number of cases since it was legalized in 2002, with more than 5,800 reports in 2016 according to European Institute of Bioethics website (2). </w:t>
      </w:r>
      <w:r w:rsidRPr="00E37D7A">
        <w:rPr>
          <w:rFonts w:ascii="Times New Roman" w:hAnsi="Times New Roman" w:cs="Times New Roman"/>
          <w:color w:val="212121"/>
          <w:sz w:val="24"/>
          <w:szCs w:val="24"/>
          <w:highlight w:val="white"/>
        </w:rPr>
        <w:t>In the Netherlands, the percentage of deaths resulting from euthanasia rose from 1.7% in 2005 to 2.8% in 2010.</w:t>
      </w:r>
      <w:r w:rsidRPr="00E37D7A">
        <w:rPr>
          <w:rFonts w:ascii="Times New Roman" w:hAnsi="Times New Roman" w:cs="Times New Roman"/>
          <w:sz w:val="24"/>
          <w:szCs w:val="24"/>
        </w:rPr>
        <w:t xml:space="preserve"> (4). This shows the importance of studying a procedure that has greatly increased over recent years, particularly given its psychological impact on the family, relatives and friends of the patient. </w:t>
      </w:r>
    </w:p>
    <w:p w14:paraId="00000024" w14:textId="77777777" w:rsidR="00F67757" w:rsidRPr="00E37D7A" w:rsidRDefault="00DC25A6">
      <w:pPr>
        <w:spacing w:line="360" w:lineRule="auto"/>
        <w:ind w:firstLine="720"/>
        <w:jc w:val="both"/>
        <w:rPr>
          <w:rFonts w:ascii="Times New Roman" w:hAnsi="Times New Roman" w:cs="Times New Roman"/>
          <w:sz w:val="24"/>
          <w:szCs w:val="24"/>
        </w:rPr>
      </w:pPr>
      <w:r w:rsidRPr="00E37D7A">
        <w:rPr>
          <w:rFonts w:ascii="Times New Roman" w:hAnsi="Times New Roman" w:cs="Times New Roman"/>
          <w:sz w:val="24"/>
          <w:szCs w:val="24"/>
        </w:rPr>
        <w:t xml:space="preserve">Although the main focus of the debate has been between the rights of individuals to choose euthanasia and the sanctity of life, there is a growing consensus that more attention needs to be paid to how the procedure with all its complexities can destabilize everyone around the patients, especially relatives. </w:t>
      </w:r>
    </w:p>
    <w:p w14:paraId="00000025" w14:textId="77777777" w:rsidR="00F67757" w:rsidRPr="00E37D7A" w:rsidRDefault="00DC25A6">
      <w:pPr>
        <w:spacing w:line="360" w:lineRule="auto"/>
        <w:ind w:firstLine="720"/>
        <w:jc w:val="both"/>
        <w:rPr>
          <w:rFonts w:ascii="Times New Roman" w:hAnsi="Times New Roman" w:cs="Times New Roman"/>
          <w:sz w:val="24"/>
          <w:szCs w:val="24"/>
        </w:rPr>
      </w:pPr>
      <w:r w:rsidRPr="00E37D7A">
        <w:rPr>
          <w:rFonts w:ascii="Times New Roman" w:hAnsi="Times New Roman" w:cs="Times New Roman"/>
          <w:sz w:val="24"/>
          <w:szCs w:val="24"/>
        </w:rPr>
        <w:t xml:space="preserve">It is necessary to consider the relatives' psychological state during the period following the patient's decision to undergo euthanasia and after their death. It is important to emphasize that even in countries where euthanasia is allowed, this kind of procedure has bureaucratic protocols that demand judicial authorization, and it is only permitted in terminal diseases and extreme cases. A doctor is only allowed to proceed when he/she is familiar with the patient’s medical history and the severity of the disease. </w:t>
      </w:r>
      <w:r w:rsidRPr="00E37D7A">
        <w:rPr>
          <w:rFonts w:ascii="Times New Roman" w:hAnsi="Times New Roman" w:cs="Times New Roman"/>
          <w:color w:val="212121"/>
          <w:sz w:val="24"/>
          <w:szCs w:val="24"/>
          <w:highlight w:val="white"/>
        </w:rPr>
        <w:t>It should also be clearly demonstrated that the patient has adequately considered his decision and is sure of his choice</w:t>
      </w:r>
      <w:r w:rsidRPr="00E37D7A">
        <w:rPr>
          <w:rFonts w:ascii="Times New Roman" w:hAnsi="Times New Roman" w:cs="Times New Roman"/>
          <w:sz w:val="24"/>
          <w:szCs w:val="24"/>
        </w:rPr>
        <w:t xml:space="preserve"> (5). The process can, therefore, take time, meaning that relatives are exposed to the idea of the procedure over a long period. Moreover, as the majority of patients that undergo this procedure suffer from unbearable physical pain or severe psychological disorders, such as dementia, with no chance of improvement, the relatives are affected not only by the procedure itself, but also by the frequent worsening of the patient´s health. </w:t>
      </w:r>
    </w:p>
    <w:p w14:paraId="00000026" w14:textId="77777777" w:rsidR="00F67757" w:rsidRPr="00E37D7A" w:rsidRDefault="00DC25A6">
      <w:pPr>
        <w:spacing w:line="360" w:lineRule="auto"/>
        <w:ind w:firstLine="720"/>
        <w:jc w:val="both"/>
        <w:rPr>
          <w:rFonts w:ascii="Times New Roman" w:hAnsi="Times New Roman" w:cs="Times New Roman"/>
          <w:sz w:val="24"/>
          <w:szCs w:val="24"/>
        </w:rPr>
      </w:pPr>
      <w:bookmarkStart w:id="2" w:name="_30j0zll" w:colFirst="0" w:colLast="0"/>
      <w:bookmarkEnd w:id="2"/>
      <w:r w:rsidRPr="00E37D7A">
        <w:rPr>
          <w:rFonts w:ascii="Times New Roman" w:hAnsi="Times New Roman" w:cs="Times New Roman"/>
          <w:sz w:val="24"/>
          <w:szCs w:val="24"/>
        </w:rPr>
        <w:t xml:space="preserve">In general, there are two situations in which individuals other than the patient have to make the decision about euthanasia: when the person is a minor or has a neurodegenerative disease. In the case of a minor, the decision to carry out euthanasia needs parental approval (6). Although the decision is not made exclusively by the parents and is discussed with the medical team and the minor (7), it is important to give them the proper attention and psychological support they require. It is certainly difficult to choose </w:t>
      </w:r>
      <w:r w:rsidRPr="00E37D7A">
        <w:rPr>
          <w:rFonts w:ascii="Times New Roman" w:hAnsi="Times New Roman" w:cs="Times New Roman"/>
          <w:sz w:val="24"/>
          <w:szCs w:val="24"/>
        </w:rPr>
        <w:lastRenderedPageBreak/>
        <w:t>to withhold life-preserving treatment or euthanasia, especially in the case of a child. In the second situation, when the patient is diagnosed with a disease, such as dementia and there is no prospect of improvement and available treatments are futile, the procedure can only be executed with the authorization of a second and third physician and the family, as the person is not mentally competent to make a conscious and reasonable choice</w:t>
      </w:r>
      <w:r w:rsidRPr="00E37D7A">
        <w:rPr>
          <w:rFonts w:ascii="Times New Roman" w:hAnsi="Times New Roman" w:cs="Times New Roman"/>
          <w:color w:val="333333"/>
          <w:sz w:val="24"/>
          <w:szCs w:val="24"/>
          <w:highlight w:val="white"/>
        </w:rPr>
        <w:t xml:space="preserve"> </w:t>
      </w:r>
      <w:r w:rsidRPr="00E37D7A">
        <w:rPr>
          <w:rFonts w:ascii="Times New Roman" w:hAnsi="Times New Roman" w:cs="Times New Roman"/>
          <w:sz w:val="24"/>
          <w:szCs w:val="24"/>
        </w:rPr>
        <w:t xml:space="preserve">(8). </w:t>
      </w:r>
    </w:p>
    <w:p w14:paraId="00000027" w14:textId="77777777" w:rsidR="00F67757" w:rsidRPr="00E37D7A" w:rsidRDefault="00DC25A6">
      <w:pPr>
        <w:spacing w:line="360" w:lineRule="auto"/>
        <w:ind w:firstLine="720"/>
        <w:jc w:val="both"/>
        <w:rPr>
          <w:rFonts w:ascii="Times New Roman" w:hAnsi="Times New Roman" w:cs="Times New Roman"/>
          <w:sz w:val="24"/>
          <w:szCs w:val="24"/>
        </w:rPr>
      </w:pPr>
      <w:r w:rsidRPr="00E37D7A">
        <w:rPr>
          <w:rFonts w:ascii="Times New Roman" w:hAnsi="Times New Roman" w:cs="Times New Roman"/>
          <w:sz w:val="24"/>
          <w:szCs w:val="24"/>
        </w:rPr>
        <w:t xml:space="preserve">On those grounds, it is important to give attention not only to the patient, but also to their family and friends. More research is warranted to investigate the impact on their mental health and psychological well-being, as there are currently relatively few studies on this subject. Additional research could provide more information about how to support relatives in this situation. Understanding the impact of euthanasia on the mental health of relatives and friends can prevent the situation from worsening and enable those affected to obtain more adequate and effective support. </w:t>
      </w:r>
    </w:p>
    <w:p w14:paraId="00000028" w14:textId="77777777" w:rsidR="00F67757" w:rsidRPr="00E37D7A" w:rsidRDefault="00F67757">
      <w:pPr>
        <w:spacing w:line="360" w:lineRule="auto"/>
        <w:jc w:val="both"/>
        <w:rPr>
          <w:rFonts w:ascii="Times New Roman" w:hAnsi="Times New Roman" w:cs="Times New Roman"/>
          <w:b/>
          <w:sz w:val="24"/>
          <w:szCs w:val="24"/>
        </w:rPr>
      </w:pPr>
    </w:p>
    <w:p w14:paraId="00000029" w14:textId="77777777" w:rsidR="00F67757" w:rsidRPr="00E37D7A" w:rsidRDefault="00DC25A6">
      <w:pPr>
        <w:spacing w:line="360" w:lineRule="auto"/>
        <w:jc w:val="both"/>
        <w:rPr>
          <w:rFonts w:ascii="Times New Roman" w:hAnsi="Times New Roman" w:cs="Times New Roman"/>
          <w:b/>
          <w:sz w:val="24"/>
          <w:szCs w:val="24"/>
        </w:rPr>
      </w:pPr>
      <w:r w:rsidRPr="00E37D7A">
        <w:rPr>
          <w:rFonts w:ascii="Times New Roman" w:hAnsi="Times New Roman" w:cs="Times New Roman"/>
          <w:b/>
          <w:sz w:val="24"/>
          <w:szCs w:val="24"/>
        </w:rPr>
        <w:t xml:space="preserve">References </w:t>
      </w:r>
    </w:p>
    <w:p w14:paraId="1B6718A4" w14:textId="77777777" w:rsidR="004E34DC" w:rsidRPr="004E34DC" w:rsidRDefault="004E34DC" w:rsidP="004E34DC">
      <w:pPr>
        <w:numPr>
          <w:ilvl w:val="0"/>
          <w:numId w:val="2"/>
        </w:numPr>
        <w:spacing w:after="160" w:line="360" w:lineRule="auto"/>
        <w:jc w:val="both"/>
        <w:rPr>
          <w:rFonts w:ascii="Times New Roman" w:hAnsi="Times New Roman" w:cs="Times New Roman"/>
          <w:sz w:val="24"/>
          <w:szCs w:val="24"/>
        </w:rPr>
      </w:pPr>
      <w:bookmarkStart w:id="3" w:name="_1fob9te" w:colFirst="0" w:colLast="0"/>
      <w:bookmarkEnd w:id="3"/>
      <w:r w:rsidRPr="004E34DC">
        <w:rPr>
          <w:rFonts w:ascii="Times New Roman" w:hAnsi="Times New Roman" w:cs="Times New Roman"/>
          <w:sz w:val="24"/>
          <w:szCs w:val="24"/>
          <w:highlight w:val="white"/>
        </w:rPr>
        <w:t>Emanuel EJ.</w:t>
      </w:r>
      <w:r w:rsidRPr="004E34DC">
        <w:rPr>
          <w:rFonts w:ascii="Times New Roman" w:hAnsi="Times New Roman" w:cs="Times New Roman"/>
          <w:sz w:val="24"/>
          <w:szCs w:val="24"/>
        </w:rPr>
        <w:t xml:space="preserve"> </w:t>
      </w:r>
      <w:r w:rsidRPr="004E34DC">
        <w:rPr>
          <w:rFonts w:ascii="Times New Roman" w:hAnsi="Times New Roman" w:cs="Times New Roman"/>
          <w:color w:val="333333"/>
          <w:sz w:val="24"/>
          <w:szCs w:val="24"/>
          <w:highlight w:val="white"/>
        </w:rPr>
        <w:t>Euthanasia: Historical, Ethical, and Empiric Perspectives</w:t>
      </w:r>
      <w:r w:rsidRPr="004E34DC">
        <w:rPr>
          <w:rFonts w:ascii="Times New Roman" w:hAnsi="Times New Roman" w:cs="Times New Roman"/>
          <w:color w:val="333333"/>
          <w:sz w:val="24"/>
          <w:szCs w:val="24"/>
        </w:rPr>
        <w:t xml:space="preserve">. </w:t>
      </w:r>
      <w:r w:rsidRPr="004E34DC">
        <w:rPr>
          <w:rFonts w:ascii="Times New Roman" w:hAnsi="Times New Roman" w:cs="Times New Roman"/>
          <w:color w:val="333333"/>
          <w:sz w:val="24"/>
          <w:szCs w:val="24"/>
          <w:highlight w:val="white"/>
        </w:rPr>
        <w:t>Arch Intern Med</w:t>
      </w:r>
      <w:r w:rsidRPr="004E34DC">
        <w:rPr>
          <w:rFonts w:ascii="Times New Roman" w:hAnsi="Times New Roman" w:cs="Times New Roman"/>
          <w:color w:val="333333"/>
          <w:sz w:val="24"/>
          <w:szCs w:val="24"/>
        </w:rPr>
        <w:t xml:space="preserve">. </w:t>
      </w:r>
      <w:r w:rsidRPr="004E34DC">
        <w:rPr>
          <w:rFonts w:ascii="Times New Roman" w:hAnsi="Times New Roman" w:cs="Times New Roman"/>
          <w:sz w:val="24"/>
          <w:szCs w:val="24"/>
          <w:highlight w:val="white"/>
        </w:rPr>
        <w:t>1994;</w:t>
      </w:r>
      <w:r w:rsidRPr="004E34DC">
        <w:rPr>
          <w:rFonts w:ascii="Times New Roman" w:hAnsi="Times New Roman" w:cs="Times New Roman"/>
          <w:color w:val="333333"/>
          <w:sz w:val="24"/>
          <w:szCs w:val="24"/>
        </w:rPr>
        <w:t xml:space="preserve"> </w:t>
      </w:r>
      <w:r w:rsidRPr="004E34DC">
        <w:rPr>
          <w:rFonts w:ascii="Times New Roman" w:hAnsi="Times New Roman" w:cs="Times New Roman"/>
          <w:color w:val="333333"/>
          <w:sz w:val="24"/>
          <w:szCs w:val="24"/>
          <w:highlight w:val="white"/>
        </w:rPr>
        <w:t>154(17):1890–190</w:t>
      </w:r>
      <w:r w:rsidRPr="004E34DC">
        <w:rPr>
          <w:rFonts w:ascii="Times New Roman" w:hAnsi="Times New Roman" w:cs="Times New Roman"/>
          <w:color w:val="333333"/>
          <w:sz w:val="24"/>
          <w:szCs w:val="24"/>
        </w:rPr>
        <w:t>.</w:t>
      </w:r>
    </w:p>
    <w:p w14:paraId="5D28FE14" w14:textId="77777777" w:rsidR="004E34DC" w:rsidRPr="004E34DC" w:rsidRDefault="004E34DC" w:rsidP="004E34DC">
      <w:pPr>
        <w:numPr>
          <w:ilvl w:val="0"/>
          <w:numId w:val="2"/>
        </w:numPr>
        <w:spacing w:after="160" w:line="360" w:lineRule="auto"/>
        <w:jc w:val="both"/>
        <w:rPr>
          <w:rFonts w:ascii="Times New Roman" w:hAnsi="Times New Roman" w:cs="Times New Roman"/>
          <w:sz w:val="24"/>
          <w:szCs w:val="24"/>
        </w:rPr>
      </w:pPr>
      <w:proofErr w:type="spellStart"/>
      <w:r w:rsidRPr="004E34DC">
        <w:rPr>
          <w:rFonts w:ascii="Times New Roman" w:hAnsi="Times New Roman" w:cs="Times New Roman"/>
          <w:sz w:val="24"/>
          <w:szCs w:val="24"/>
          <w:highlight w:val="white"/>
        </w:rPr>
        <w:t>Dierickx</w:t>
      </w:r>
      <w:proofErr w:type="spellEnd"/>
      <w:r w:rsidRPr="004E34DC">
        <w:rPr>
          <w:rFonts w:ascii="Times New Roman" w:hAnsi="Times New Roman" w:cs="Times New Roman"/>
          <w:sz w:val="24"/>
          <w:szCs w:val="24"/>
          <w:highlight w:val="white"/>
        </w:rPr>
        <w:t xml:space="preserve"> S, </w:t>
      </w:r>
      <w:proofErr w:type="spellStart"/>
      <w:r w:rsidRPr="004E34DC">
        <w:rPr>
          <w:rFonts w:ascii="Times New Roman" w:hAnsi="Times New Roman" w:cs="Times New Roman"/>
          <w:sz w:val="24"/>
          <w:szCs w:val="24"/>
          <w:highlight w:val="white"/>
        </w:rPr>
        <w:t>Deliens</w:t>
      </w:r>
      <w:proofErr w:type="spellEnd"/>
      <w:r w:rsidRPr="004E34DC">
        <w:rPr>
          <w:rFonts w:ascii="Times New Roman" w:hAnsi="Times New Roman" w:cs="Times New Roman"/>
          <w:sz w:val="24"/>
          <w:szCs w:val="24"/>
          <w:highlight w:val="white"/>
        </w:rPr>
        <w:t xml:space="preserve"> L, Cohen J and </w:t>
      </w:r>
      <w:proofErr w:type="spellStart"/>
      <w:r w:rsidRPr="004E34DC">
        <w:rPr>
          <w:rFonts w:ascii="Times New Roman" w:hAnsi="Times New Roman" w:cs="Times New Roman"/>
          <w:sz w:val="24"/>
          <w:szCs w:val="24"/>
          <w:highlight w:val="white"/>
        </w:rPr>
        <w:t>Chambaere</w:t>
      </w:r>
      <w:proofErr w:type="spellEnd"/>
      <w:r w:rsidRPr="004E34DC">
        <w:rPr>
          <w:rFonts w:ascii="Times New Roman" w:hAnsi="Times New Roman" w:cs="Times New Roman"/>
          <w:sz w:val="24"/>
          <w:szCs w:val="24"/>
          <w:highlight w:val="white"/>
        </w:rPr>
        <w:t xml:space="preserve"> K. Euthanasia for people with psychiatric disorders or dementia in Belgium: analysis of officially reported cases. BMC Psychiatry. 2017; 17(1):203. </w:t>
      </w:r>
    </w:p>
    <w:p w14:paraId="08A82F71" w14:textId="77777777" w:rsidR="004E34DC" w:rsidRPr="004E34DC" w:rsidRDefault="00571DC4" w:rsidP="004E34DC">
      <w:pPr>
        <w:numPr>
          <w:ilvl w:val="0"/>
          <w:numId w:val="2"/>
        </w:numPr>
        <w:spacing w:after="160" w:line="360" w:lineRule="auto"/>
        <w:jc w:val="both"/>
        <w:rPr>
          <w:rFonts w:ascii="Times New Roman" w:hAnsi="Times New Roman" w:cs="Times New Roman"/>
          <w:sz w:val="24"/>
          <w:szCs w:val="24"/>
        </w:rPr>
      </w:pPr>
      <w:hyperlink r:id="rId6">
        <w:proofErr w:type="spellStart"/>
        <w:r w:rsidR="004E34DC" w:rsidRPr="004E34DC">
          <w:rPr>
            <w:rFonts w:ascii="Times New Roman" w:hAnsi="Times New Roman" w:cs="Times New Roman"/>
            <w:color w:val="000000"/>
            <w:sz w:val="24"/>
            <w:szCs w:val="24"/>
            <w:highlight w:val="white"/>
          </w:rPr>
          <w:t>Onwuteaka-Philipsen</w:t>
        </w:r>
        <w:proofErr w:type="spellEnd"/>
      </w:hyperlink>
      <w:hyperlink r:id="rId7">
        <w:r w:rsidR="004E34DC" w:rsidRPr="004E34DC">
          <w:rPr>
            <w:rFonts w:ascii="Times New Roman" w:hAnsi="Times New Roman" w:cs="Times New Roman"/>
            <w:sz w:val="24"/>
            <w:szCs w:val="24"/>
            <w:highlight w:val="white"/>
          </w:rPr>
          <w:t xml:space="preserve"> </w:t>
        </w:r>
      </w:hyperlink>
      <w:hyperlink r:id="rId8">
        <w:r w:rsidR="004E34DC" w:rsidRPr="004E34DC">
          <w:rPr>
            <w:rFonts w:ascii="Times New Roman" w:hAnsi="Times New Roman" w:cs="Times New Roman"/>
            <w:color w:val="000000"/>
            <w:sz w:val="24"/>
            <w:szCs w:val="24"/>
            <w:highlight w:val="white"/>
          </w:rPr>
          <w:t>BD</w:t>
        </w:r>
      </w:hyperlink>
      <w:r w:rsidR="004E34DC" w:rsidRPr="004E34DC">
        <w:rPr>
          <w:rFonts w:ascii="Times New Roman" w:hAnsi="Times New Roman" w:cs="Times New Roman"/>
          <w:sz w:val="24"/>
          <w:szCs w:val="24"/>
          <w:highlight w:val="white"/>
        </w:rPr>
        <w:t>, </w:t>
      </w:r>
      <w:hyperlink r:id="rId9">
        <w:r w:rsidR="004E34DC" w:rsidRPr="004E34DC">
          <w:rPr>
            <w:rFonts w:ascii="Times New Roman" w:hAnsi="Times New Roman" w:cs="Times New Roman"/>
            <w:color w:val="000000"/>
            <w:sz w:val="24"/>
            <w:szCs w:val="24"/>
            <w:highlight w:val="white"/>
          </w:rPr>
          <w:t>Brinkman-</w:t>
        </w:r>
        <w:proofErr w:type="spellStart"/>
        <w:r w:rsidR="004E34DC" w:rsidRPr="004E34DC">
          <w:rPr>
            <w:rFonts w:ascii="Times New Roman" w:hAnsi="Times New Roman" w:cs="Times New Roman"/>
            <w:color w:val="000000"/>
            <w:sz w:val="24"/>
            <w:szCs w:val="24"/>
            <w:highlight w:val="white"/>
          </w:rPr>
          <w:t>Stoppelenburg</w:t>
        </w:r>
        <w:proofErr w:type="spellEnd"/>
        <w:r w:rsidR="004E34DC" w:rsidRPr="004E34DC">
          <w:rPr>
            <w:rFonts w:ascii="Times New Roman" w:hAnsi="Times New Roman" w:cs="Times New Roman"/>
            <w:color w:val="000000"/>
            <w:sz w:val="24"/>
            <w:szCs w:val="24"/>
            <w:highlight w:val="white"/>
          </w:rPr>
          <w:t xml:space="preserve"> A</w:t>
        </w:r>
      </w:hyperlink>
      <w:r w:rsidR="004E34DC" w:rsidRPr="004E34DC">
        <w:rPr>
          <w:rFonts w:ascii="Times New Roman" w:hAnsi="Times New Roman" w:cs="Times New Roman"/>
          <w:sz w:val="24"/>
          <w:szCs w:val="24"/>
          <w:highlight w:val="white"/>
        </w:rPr>
        <w:t>, </w:t>
      </w:r>
      <w:hyperlink r:id="rId10">
        <w:r w:rsidR="004E34DC" w:rsidRPr="004E34DC">
          <w:rPr>
            <w:rFonts w:ascii="Times New Roman" w:hAnsi="Times New Roman" w:cs="Times New Roman"/>
            <w:color w:val="000000"/>
            <w:sz w:val="24"/>
            <w:szCs w:val="24"/>
            <w:highlight w:val="white"/>
          </w:rPr>
          <w:t>Penning C</w:t>
        </w:r>
      </w:hyperlink>
      <w:r w:rsidR="004E34DC" w:rsidRPr="004E34DC">
        <w:rPr>
          <w:rFonts w:ascii="Times New Roman" w:hAnsi="Times New Roman" w:cs="Times New Roman"/>
          <w:sz w:val="24"/>
          <w:szCs w:val="24"/>
          <w:highlight w:val="white"/>
        </w:rPr>
        <w:t>, </w:t>
      </w:r>
      <w:hyperlink r:id="rId11">
        <w:r w:rsidR="004E34DC" w:rsidRPr="004E34DC">
          <w:rPr>
            <w:rFonts w:ascii="Times New Roman" w:hAnsi="Times New Roman" w:cs="Times New Roman"/>
            <w:color w:val="000000"/>
            <w:sz w:val="24"/>
            <w:szCs w:val="24"/>
            <w:highlight w:val="white"/>
          </w:rPr>
          <w:t>de Jong-</w:t>
        </w:r>
        <w:proofErr w:type="spellStart"/>
        <w:r w:rsidR="004E34DC" w:rsidRPr="004E34DC">
          <w:rPr>
            <w:rFonts w:ascii="Times New Roman" w:hAnsi="Times New Roman" w:cs="Times New Roman"/>
            <w:color w:val="000000"/>
            <w:sz w:val="24"/>
            <w:szCs w:val="24"/>
            <w:highlight w:val="white"/>
          </w:rPr>
          <w:t>Krul</w:t>
        </w:r>
        <w:proofErr w:type="spellEnd"/>
        <w:r w:rsidR="004E34DC" w:rsidRPr="004E34DC">
          <w:rPr>
            <w:rFonts w:ascii="Times New Roman" w:hAnsi="Times New Roman" w:cs="Times New Roman"/>
            <w:color w:val="000000"/>
            <w:sz w:val="24"/>
            <w:szCs w:val="24"/>
            <w:highlight w:val="white"/>
          </w:rPr>
          <w:t xml:space="preserve"> GJ</w:t>
        </w:r>
      </w:hyperlink>
      <w:r w:rsidR="004E34DC" w:rsidRPr="004E34DC">
        <w:rPr>
          <w:rFonts w:ascii="Times New Roman" w:hAnsi="Times New Roman" w:cs="Times New Roman"/>
          <w:sz w:val="24"/>
          <w:szCs w:val="24"/>
          <w:highlight w:val="white"/>
        </w:rPr>
        <w:t>, </w:t>
      </w:r>
      <w:hyperlink r:id="rId12">
        <w:r w:rsidR="004E34DC" w:rsidRPr="004E34DC">
          <w:rPr>
            <w:rFonts w:ascii="Times New Roman" w:hAnsi="Times New Roman" w:cs="Times New Roman"/>
            <w:color w:val="000000"/>
            <w:sz w:val="24"/>
            <w:szCs w:val="24"/>
            <w:highlight w:val="white"/>
          </w:rPr>
          <w:t xml:space="preserve">van </w:t>
        </w:r>
        <w:proofErr w:type="spellStart"/>
        <w:r w:rsidR="004E34DC" w:rsidRPr="004E34DC">
          <w:rPr>
            <w:rFonts w:ascii="Times New Roman" w:hAnsi="Times New Roman" w:cs="Times New Roman"/>
            <w:color w:val="000000"/>
            <w:sz w:val="24"/>
            <w:szCs w:val="24"/>
            <w:highlight w:val="white"/>
          </w:rPr>
          <w:t>Delden</w:t>
        </w:r>
        <w:proofErr w:type="spellEnd"/>
        <w:r w:rsidR="004E34DC" w:rsidRPr="004E34DC">
          <w:rPr>
            <w:rFonts w:ascii="Times New Roman" w:hAnsi="Times New Roman" w:cs="Times New Roman"/>
            <w:color w:val="000000"/>
            <w:sz w:val="24"/>
            <w:szCs w:val="24"/>
            <w:highlight w:val="white"/>
          </w:rPr>
          <w:t xml:space="preserve"> JJ</w:t>
        </w:r>
      </w:hyperlink>
      <w:r w:rsidR="004E34DC" w:rsidRPr="004E34DC">
        <w:rPr>
          <w:rFonts w:ascii="Times New Roman" w:hAnsi="Times New Roman" w:cs="Times New Roman"/>
          <w:sz w:val="24"/>
          <w:szCs w:val="24"/>
          <w:highlight w:val="white"/>
        </w:rPr>
        <w:t>, </w:t>
      </w:r>
      <w:hyperlink r:id="rId13">
        <w:r w:rsidR="004E34DC" w:rsidRPr="004E34DC">
          <w:rPr>
            <w:rFonts w:ascii="Times New Roman" w:hAnsi="Times New Roman" w:cs="Times New Roman"/>
            <w:color w:val="000000"/>
            <w:sz w:val="24"/>
            <w:szCs w:val="24"/>
            <w:highlight w:val="white"/>
          </w:rPr>
          <w:t>van der Heide A</w:t>
        </w:r>
      </w:hyperlink>
      <w:r w:rsidR="004E34DC" w:rsidRPr="004E34DC">
        <w:rPr>
          <w:rFonts w:ascii="Times New Roman" w:hAnsi="Times New Roman" w:cs="Times New Roman"/>
          <w:sz w:val="24"/>
          <w:szCs w:val="24"/>
        </w:rPr>
        <w:t>. Trends in end-of-life practices before and after the enactment of the euthanasia law in the Netherlands from 1990 to 2010: a repeated cross-sectional survey. The Lancet. 2012; 380(9845):908-915.</w:t>
      </w:r>
    </w:p>
    <w:p w14:paraId="3730C44A" w14:textId="77777777" w:rsidR="004E34DC" w:rsidRPr="004E34DC" w:rsidRDefault="00571DC4" w:rsidP="004E34DC">
      <w:pPr>
        <w:numPr>
          <w:ilvl w:val="0"/>
          <w:numId w:val="2"/>
        </w:numPr>
        <w:spacing w:after="160" w:line="360" w:lineRule="auto"/>
        <w:jc w:val="both"/>
        <w:rPr>
          <w:rFonts w:ascii="Times New Roman" w:hAnsi="Times New Roman" w:cs="Times New Roman"/>
          <w:sz w:val="24"/>
          <w:szCs w:val="24"/>
        </w:rPr>
      </w:pPr>
      <w:hyperlink r:id="rId14">
        <w:proofErr w:type="spellStart"/>
        <w:r w:rsidR="004E34DC" w:rsidRPr="004E34DC">
          <w:rPr>
            <w:rFonts w:ascii="Times New Roman" w:hAnsi="Times New Roman" w:cs="Times New Roman"/>
            <w:color w:val="000000"/>
            <w:sz w:val="24"/>
            <w:szCs w:val="24"/>
            <w:highlight w:val="white"/>
          </w:rPr>
          <w:t>Deliens</w:t>
        </w:r>
        <w:proofErr w:type="spellEnd"/>
        <w:r w:rsidR="004E34DC" w:rsidRPr="004E34DC">
          <w:rPr>
            <w:rFonts w:ascii="Times New Roman" w:hAnsi="Times New Roman" w:cs="Times New Roman"/>
            <w:color w:val="000000"/>
            <w:sz w:val="24"/>
            <w:szCs w:val="24"/>
            <w:highlight w:val="white"/>
          </w:rPr>
          <w:t xml:space="preserve"> L</w:t>
        </w:r>
      </w:hyperlink>
      <w:r w:rsidR="004E34DC" w:rsidRPr="004E34DC">
        <w:rPr>
          <w:rFonts w:ascii="Times New Roman" w:hAnsi="Times New Roman" w:cs="Times New Roman"/>
          <w:sz w:val="24"/>
          <w:szCs w:val="24"/>
          <w:highlight w:val="white"/>
        </w:rPr>
        <w:t xml:space="preserve"> and V</w:t>
      </w:r>
      <w:hyperlink r:id="rId15">
        <w:r w:rsidR="004E34DC" w:rsidRPr="004E34DC">
          <w:rPr>
            <w:rFonts w:ascii="Times New Roman" w:hAnsi="Times New Roman" w:cs="Times New Roman"/>
            <w:color w:val="000000"/>
            <w:sz w:val="24"/>
            <w:szCs w:val="24"/>
            <w:highlight w:val="white"/>
          </w:rPr>
          <w:t>an der Wal G</w:t>
        </w:r>
      </w:hyperlink>
      <w:r w:rsidR="004E34DC" w:rsidRPr="004E34DC">
        <w:rPr>
          <w:rFonts w:ascii="Times New Roman" w:hAnsi="Times New Roman" w:cs="Times New Roman"/>
          <w:sz w:val="24"/>
          <w:szCs w:val="24"/>
        </w:rPr>
        <w:t xml:space="preserve">. </w:t>
      </w:r>
      <w:r w:rsidR="004E34DC" w:rsidRPr="004E34DC">
        <w:rPr>
          <w:rFonts w:ascii="Times New Roman" w:hAnsi="Times New Roman" w:cs="Times New Roman"/>
          <w:sz w:val="24"/>
          <w:szCs w:val="24"/>
          <w:highlight w:val="white"/>
        </w:rPr>
        <w:t>The euthanasia law in Belgium and the Netherlands. The Lance</w:t>
      </w:r>
      <w:r w:rsidR="004E34DC" w:rsidRPr="004E34DC">
        <w:rPr>
          <w:rFonts w:ascii="Times New Roman" w:hAnsi="Times New Roman" w:cs="Times New Roman"/>
          <w:color w:val="000000"/>
          <w:sz w:val="24"/>
          <w:szCs w:val="24"/>
          <w:highlight w:val="white"/>
        </w:rPr>
        <w:t>t.</w:t>
      </w:r>
      <w:r w:rsidR="004E34DC" w:rsidRPr="004E34DC">
        <w:rPr>
          <w:rFonts w:ascii="Times New Roman" w:hAnsi="Times New Roman" w:cs="Times New Roman"/>
          <w:sz w:val="24"/>
          <w:szCs w:val="24"/>
          <w:highlight w:val="white"/>
        </w:rPr>
        <w:t xml:space="preserve"> </w:t>
      </w:r>
      <w:r w:rsidR="004E34DC" w:rsidRPr="004E34DC">
        <w:rPr>
          <w:rFonts w:ascii="Times New Roman" w:hAnsi="Times New Roman" w:cs="Times New Roman"/>
          <w:sz w:val="24"/>
          <w:szCs w:val="24"/>
        </w:rPr>
        <w:t xml:space="preserve">2003; </w:t>
      </w:r>
      <w:r w:rsidR="004E34DC" w:rsidRPr="004E34DC">
        <w:rPr>
          <w:rFonts w:ascii="Times New Roman" w:hAnsi="Times New Roman" w:cs="Times New Roman"/>
          <w:color w:val="000000"/>
          <w:sz w:val="24"/>
          <w:szCs w:val="24"/>
          <w:highlight w:val="white"/>
        </w:rPr>
        <w:t>362(9391):1239-1240.</w:t>
      </w:r>
    </w:p>
    <w:p w14:paraId="64E7143C" w14:textId="77777777" w:rsidR="004E34DC" w:rsidRPr="004E34DC" w:rsidRDefault="004E34DC" w:rsidP="004E34DC">
      <w:pPr>
        <w:numPr>
          <w:ilvl w:val="0"/>
          <w:numId w:val="2"/>
        </w:numPr>
        <w:spacing w:after="160" w:line="360" w:lineRule="auto"/>
        <w:jc w:val="both"/>
        <w:rPr>
          <w:rFonts w:ascii="Times New Roman" w:hAnsi="Times New Roman" w:cs="Times New Roman"/>
          <w:color w:val="000000"/>
          <w:sz w:val="24"/>
          <w:szCs w:val="24"/>
        </w:rPr>
      </w:pPr>
      <w:proofErr w:type="spellStart"/>
      <w:r w:rsidRPr="004E34DC">
        <w:rPr>
          <w:rFonts w:ascii="Times New Roman" w:hAnsi="Times New Roman" w:cs="Times New Roman"/>
          <w:color w:val="000000"/>
          <w:sz w:val="24"/>
          <w:szCs w:val="24"/>
        </w:rPr>
        <w:t>Ettedgui</w:t>
      </w:r>
      <w:proofErr w:type="spellEnd"/>
      <w:r w:rsidRPr="004E34DC">
        <w:rPr>
          <w:rFonts w:ascii="Times New Roman" w:hAnsi="Times New Roman" w:cs="Times New Roman"/>
          <w:color w:val="000000"/>
          <w:sz w:val="24"/>
          <w:szCs w:val="24"/>
        </w:rPr>
        <w:t xml:space="preserve"> S and Boring N</w:t>
      </w:r>
      <w:r w:rsidRPr="004E34DC">
        <w:rPr>
          <w:rFonts w:ascii="Times New Roman" w:hAnsi="Times New Roman" w:cs="Times New Roman"/>
          <w:sz w:val="24"/>
          <w:szCs w:val="24"/>
        </w:rPr>
        <w:t>.</w:t>
      </w:r>
      <w:r w:rsidRPr="004E34DC">
        <w:rPr>
          <w:rFonts w:ascii="Times New Roman" w:hAnsi="Times New Roman" w:cs="Times New Roman"/>
          <w:color w:val="000000"/>
          <w:sz w:val="24"/>
          <w:szCs w:val="24"/>
        </w:rPr>
        <w:t xml:space="preserve"> Belgium: Report Reveals </w:t>
      </w:r>
      <w:proofErr w:type="gramStart"/>
      <w:r w:rsidRPr="004E34DC">
        <w:rPr>
          <w:rFonts w:ascii="Times New Roman" w:hAnsi="Times New Roman" w:cs="Times New Roman"/>
          <w:color w:val="000000"/>
          <w:sz w:val="24"/>
          <w:szCs w:val="24"/>
        </w:rPr>
        <w:t>Euthanasia ,Commission</w:t>
      </w:r>
      <w:proofErr w:type="gramEnd"/>
      <w:r w:rsidRPr="004E34DC">
        <w:rPr>
          <w:rFonts w:ascii="Times New Roman" w:hAnsi="Times New Roman" w:cs="Times New Roman"/>
          <w:color w:val="000000"/>
          <w:sz w:val="24"/>
          <w:szCs w:val="24"/>
        </w:rPr>
        <w:t xml:space="preserve"> Authorized Euthanasia of Three Minors in 2016–17. The Law Library of Congress</w:t>
      </w:r>
      <w:r w:rsidRPr="004E34DC">
        <w:rPr>
          <w:rFonts w:ascii="Times New Roman" w:hAnsi="Times New Roman" w:cs="Times New Roman"/>
          <w:sz w:val="24"/>
          <w:szCs w:val="24"/>
        </w:rPr>
        <w:t xml:space="preserve"> [Internet]. 2018 Oct. [cited 2019 Apr 5]. Available from: </w:t>
      </w:r>
      <w:hyperlink r:id="rId16">
        <w:r w:rsidRPr="00A12933">
          <w:rPr>
            <w:rFonts w:ascii="Times New Roman" w:hAnsi="Times New Roman" w:cs="Times New Roman"/>
            <w:color w:val="000000"/>
            <w:sz w:val="24"/>
            <w:szCs w:val="24"/>
          </w:rPr>
          <w:t>http://www.loc.gov/law/foreign-news/article/belgium-report-reveals-euthanasia-commission-authorized-euthanasia-of-three-minors-in-2016-17/</w:t>
        </w:r>
      </w:hyperlink>
      <w:r w:rsidRPr="004E34DC">
        <w:rPr>
          <w:rFonts w:ascii="Times New Roman" w:hAnsi="Times New Roman" w:cs="Times New Roman"/>
          <w:sz w:val="24"/>
          <w:szCs w:val="24"/>
        </w:rPr>
        <w:t xml:space="preserve"> </w:t>
      </w:r>
    </w:p>
    <w:p w14:paraId="10003B55" w14:textId="77777777" w:rsidR="004E34DC" w:rsidRPr="004E34DC" w:rsidRDefault="004E34DC" w:rsidP="004E34DC">
      <w:pPr>
        <w:numPr>
          <w:ilvl w:val="0"/>
          <w:numId w:val="2"/>
        </w:numPr>
        <w:spacing w:after="160" w:line="360" w:lineRule="auto"/>
        <w:jc w:val="both"/>
        <w:rPr>
          <w:rFonts w:ascii="Times New Roman" w:hAnsi="Times New Roman" w:cs="Times New Roman"/>
          <w:color w:val="000000"/>
          <w:sz w:val="24"/>
          <w:szCs w:val="24"/>
        </w:rPr>
      </w:pPr>
      <w:r w:rsidRPr="004E34DC">
        <w:rPr>
          <w:rFonts w:ascii="Times New Roman" w:hAnsi="Times New Roman" w:cs="Times New Roman"/>
          <w:color w:val="000000"/>
          <w:sz w:val="24"/>
          <w:szCs w:val="24"/>
        </w:rPr>
        <w:t xml:space="preserve"> De </w:t>
      </w:r>
      <w:proofErr w:type="spellStart"/>
      <w:r w:rsidRPr="004E34DC">
        <w:rPr>
          <w:rFonts w:ascii="Times New Roman" w:hAnsi="Times New Roman" w:cs="Times New Roman"/>
          <w:color w:val="000000"/>
          <w:sz w:val="24"/>
          <w:szCs w:val="24"/>
        </w:rPr>
        <w:t>Diesbach</w:t>
      </w:r>
      <w:proofErr w:type="spellEnd"/>
      <w:r w:rsidRPr="004E34DC">
        <w:rPr>
          <w:rFonts w:ascii="Times New Roman" w:hAnsi="Times New Roman" w:cs="Times New Roman"/>
          <w:color w:val="000000"/>
          <w:sz w:val="24"/>
          <w:szCs w:val="24"/>
        </w:rPr>
        <w:t xml:space="preserve"> E, de </w:t>
      </w:r>
      <w:proofErr w:type="spellStart"/>
      <w:r w:rsidRPr="004E34DC">
        <w:rPr>
          <w:rFonts w:ascii="Times New Roman" w:hAnsi="Times New Roman" w:cs="Times New Roman"/>
          <w:color w:val="000000"/>
          <w:sz w:val="24"/>
          <w:szCs w:val="24"/>
        </w:rPr>
        <w:t>Loze</w:t>
      </w:r>
      <w:proofErr w:type="spellEnd"/>
      <w:r w:rsidRPr="004E34DC">
        <w:rPr>
          <w:rFonts w:ascii="Times New Roman" w:hAnsi="Times New Roman" w:cs="Times New Roman"/>
          <w:color w:val="000000"/>
          <w:sz w:val="24"/>
          <w:szCs w:val="24"/>
        </w:rPr>
        <w:t xml:space="preserve"> M, </w:t>
      </w:r>
      <w:proofErr w:type="spellStart"/>
      <w:r w:rsidRPr="004E34DC">
        <w:rPr>
          <w:rFonts w:ascii="Times New Roman" w:hAnsi="Times New Roman" w:cs="Times New Roman"/>
          <w:color w:val="000000"/>
          <w:sz w:val="24"/>
          <w:szCs w:val="24"/>
        </w:rPr>
        <w:t>Brochier</w:t>
      </w:r>
      <w:proofErr w:type="spellEnd"/>
      <w:r w:rsidRPr="004E34DC">
        <w:rPr>
          <w:rFonts w:ascii="Times New Roman" w:hAnsi="Times New Roman" w:cs="Times New Roman"/>
          <w:color w:val="000000"/>
          <w:sz w:val="24"/>
          <w:szCs w:val="24"/>
        </w:rPr>
        <w:t xml:space="preserve"> C and Montero E. Euthanasia in Belgium: 10 years on. European Institute of Bioethics [Internet]. 2012 Apr. [cited 2019 Apr </w:t>
      </w:r>
      <w:r w:rsidRPr="004E34DC">
        <w:rPr>
          <w:rFonts w:ascii="Times New Roman" w:hAnsi="Times New Roman" w:cs="Times New Roman"/>
          <w:color w:val="000000"/>
          <w:sz w:val="24"/>
          <w:szCs w:val="24"/>
        </w:rPr>
        <w:lastRenderedPageBreak/>
        <w:t>1]. Available from:</w:t>
      </w:r>
      <w:r w:rsidRPr="004E34DC">
        <w:rPr>
          <w:rFonts w:ascii="Times New Roman" w:hAnsi="Times New Roman" w:cs="Times New Roman"/>
          <w:sz w:val="24"/>
          <w:szCs w:val="24"/>
        </w:rPr>
        <w:t xml:space="preserve"> </w:t>
      </w:r>
      <w:hyperlink r:id="rId17">
        <w:r w:rsidRPr="00A12933">
          <w:rPr>
            <w:rFonts w:ascii="Times New Roman" w:hAnsi="Times New Roman" w:cs="Times New Roman"/>
            <w:color w:val="000000"/>
            <w:sz w:val="24"/>
            <w:szCs w:val="24"/>
          </w:rPr>
          <w:t>https://www.ieb-eib.org/en/pdf/20121208-dossier-euthanasia-in-belgium-10-years.pdf</w:t>
        </w:r>
      </w:hyperlink>
      <w:r w:rsidRPr="004E34DC">
        <w:rPr>
          <w:rFonts w:ascii="Times New Roman" w:hAnsi="Times New Roman" w:cs="Times New Roman"/>
          <w:sz w:val="24"/>
          <w:szCs w:val="24"/>
        </w:rPr>
        <w:t xml:space="preserve"> </w:t>
      </w:r>
    </w:p>
    <w:p w14:paraId="73F0F72E" w14:textId="77777777" w:rsidR="004E34DC" w:rsidRPr="004E34DC" w:rsidRDefault="004E34DC" w:rsidP="004E34DC">
      <w:pPr>
        <w:numPr>
          <w:ilvl w:val="0"/>
          <w:numId w:val="2"/>
        </w:numPr>
        <w:spacing w:after="160" w:line="360" w:lineRule="auto"/>
        <w:jc w:val="both"/>
        <w:rPr>
          <w:rFonts w:ascii="Times New Roman" w:hAnsi="Times New Roman" w:cs="Times New Roman"/>
          <w:sz w:val="24"/>
          <w:szCs w:val="24"/>
        </w:rPr>
      </w:pPr>
      <w:r w:rsidRPr="004E34DC">
        <w:rPr>
          <w:rFonts w:ascii="Times New Roman" w:hAnsi="Times New Roman" w:cs="Times New Roman"/>
          <w:color w:val="000000"/>
          <w:sz w:val="24"/>
          <w:szCs w:val="24"/>
        </w:rPr>
        <w:t>Lopez-</w:t>
      </w:r>
      <w:proofErr w:type="spellStart"/>
      <w:r w:rsidRPr="004E34DC">
        <w:rPr>
          <w:rFonts w:ascii="Times New Roman" w:hAnsi="Times New Roman" w:cs="Times New Roman"/>
          <w:color w:val="000000"/>
          <w:sz w:val="24"/>
          <w:szCs w:val="24"/>
        </w:rPr>
        <w:t>Castroman</w:t>
      </w:r>
      <w:proofErr w:type="spellEnd"/>
      <w:r w:rsidRPr="004E34DC">
        <w:rPr>
          <w:rFonts w:ascii="Times New Roman" w:hAnsi="Times New Roman" w:cs="Times New Roman"/>
          <w:color w:val="000000"/>
          <w:sz w:val="24"/>
          <w:szCs w:val="24"/>
        </w:rPr>
        <w:t xml:space="preserve"> J. About the practice of psychiatric euthanasia: a commentary. BMC Medicine.</w:t>
      </w:r>
      <w:r w:rsidRPr="004E34DC">
        <w:rPr>
          <w:rFonts w:ascii="Times New Roman" w:hAnsi="Times New Roman" w:cs="Times New Roman"/>
          <w:sz w:val="24"/>
          <w:szCs w:val="24"/>
        </w:rPr>
        <w:t xml:space="preserve"> 2017; </w:t>
      </w:r>
      <w:r w:rsidRPr="004E34DC">
        <w:rPr>
          <w:rFonts w:ascii="Times New Roman" w:hAnsi="Times New Roman" w:cs="Times New Roman"/>
          <w:color w:val="000000"/>
          <w:sz w:val="24"/>
          <w:szCs w:val="24"/>
        </w:rPr>
        <w:t>15(1):1.</w:t>
      </w:r>
    </w:p>
    <w:p w14:paraId="00000031" w14:textId="77777777" w:rsidR="00F67757" w:rsidRPr="00E37D7A" w:rsidRDefault="00F67757">
      <w:pPr>
        <w:rPr>
          <w:rFonts w:ascii="Times New Roman" w:hAnsi="Times New Roman" w:cs="Times New Roman"/>
          <w:sz w:val="24"/>
          <w:szCs w:val="24"/>
        </w:rPr>
      </w:pPr>
    </w:p>
    <w:sectPr w:rsidR="00F67757" w:rsidRPr="00E37D7A">
      <w:pgSz w:w="11900" w:h="16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44459"/>
    <w:multiLevelType w:val="multilevel"/>
    <w:tmpl w:val="7C6A7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49101EF"/>
    <w:multiLevelType w:val="multilevel"/>
    <w:tmpl w:val="A91AE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757"/>
    <w:rsid w:val="002C0E86"/>
    <w:rsid w:val="004317FF"/>
    <w:rsid w:val="004E34DC"/>
    <w:rsid w:val="00571DC4"/>
    <w:rsid w:val="00A12933"/>
    <w:rsid w:val="00B330DA"/>
    <w:rsid w:val="00DC25A6"/>
    <w:rsid w:val="00E37D7A"/>
    <w:rsid w:val="00F677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A76C"/>
  <w15:docId w15:val="{A5C30D9D-0105-4440-8D18-78693A35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Onwuteaka-Philipsen%20BD%5BAuthor%5D&amp;cauthor=true&amp;cauthor_uid=22789501" TargetMode="External"/><Relationship Id="rId13" Type="http://schemas.openxmlformats.org/officeDocument/2006/relationships/hyperlink" Target="https://www.ncbi.nlm.nih.gov/pubmed/?term=van%20der%20Heide%20A%5BAuthor%5D&amp;cauthor=true&amp;cauthor_uid=2278950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term=Onwuteaka-Philipsen%20BD%5BAuthor%5D&amp;cauthor=true&amp;cauthor_uid=22789501" TargetMode="External"/><Relationship Id="rId12" Type="http://schemas.openxmlformats.org/officeDocument/2006/relationships/hyperlink" Target="https://www.ncbi.nlm.nih.gov/pubmed/?term=van%20Delden%20JJ%5BAuthor%5D&amp;cauthor=true&amp;cauthor_uid=22789501" TargetMode="External"/><Relationship Id="rId17" Type="http://schemas.openxmlformats.org/officeDocument/2006/relationships/hyperlink" Target="https://www.ieb-eib.org/en/pdf/20121208-dossier-euthanasia-in-belgium-10-years.pdf" TargetMode="External"/><Relationship Id="rId2" Type="http://schemas.openxmlformats.org/officeDocument/2006/relationships/styles" Target="styles.xml"/><Relationship Id="rId16" Type="http://schemas.openxmlformats.org/officeDocument/2006/relationships/hyperlink" Target="http://www.loc.gov/law/foreign-news/article/belgium-report-reveals-euthanasia-commission-authorized-euthanasia-of-three-minors-in-2016-17/" TargetMode="External"/><Relationship Id="rId1" Type="http://schemas.openxmlformats.org/officeDocument/2006/relationships/numbering" Target="numbering.xml"/><Relationship Id="rId6" Type="http://schemas.openxmlformats.org/officeDocument/2006/relationships/hyperlink" Target="https://www.ncbi.nlm.nih.gov/pubmed/?term=Onwuteaka-Philipsen%20BD%5BAuthor%5D&amp;cauthor=true&amp;cauthor_uid=22789501" TargetMode="External"/><Relationship Id="rId11" Type="http://schemas.openxmlformats.org/officeDocument/2006/relationships/hyperlink" Target="https://www.ncbi.nlm.nih.gov/pubmed/?term=de%20Jong-Krul%20GJ%5BAuthor%5D&amp;cauthor=true&amp;cauthor_uid=22789501" TargetMode="External"/><Relationship Id="rId5" Type="http://schemas.openxmlformats.org/officeDocument/2006/relationships/hyperlink" Target="about:blank" TargetMode="External"/><Relationship Id="rId15" Type="http://schemas.openxmlformats.org/officeDocument/2006/relationships/hyperlink" Target="https://www.ncbi.nlm.nih.gov/pubmed/?term=van%20der%20Wal%20G%5BAuthor%5D&amp;cauthor=true&amp;cauthor_uid=14568754" TargetMode="External"/><Relationship Id="rId10" Type="http://schemas.openxmlformats.org/officeDocument/2006/relationships/hyperlink" Target="https://www.ncbi.nlm.nih.gov/pubmed/?term=Penning%20C%5BAuthor%5D&amp;cauthor=true&amp;cauthor_uid=227895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ubmed/?term=Brinkman-Stoppelenburg%20A%5BAuthor%5D&amp;cauthor=true&amp;cauthor_uid=22789501" TargetMode="External"/><Relationship Id="rId14" Type="http://schemas.openxmlformats.org/officeDocument/2006/relationships/hyperlink" Target="https://www.ncbi.nlm.nih.gov/pubmed/?term=Deliens%20L%5BAuthor%5D&amp;cauthor=true&amp;cauthor_uid=14568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Copy editor</cp:lastModifiedBy>
  <cp:revision>2</cp:revision>
  <dcterms:created xsi:type="dcterms:W3CDTF">2020-02-13T12:17:00Z</dcterms:created>
  <dcterms:modified xsi:type="dcterms:W3CDTF">2020-02-13T12:17:00Z</dcterms:modified>
</cp:coreProperties>
</file>