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187" w:rsidRPr="00637187" w:rsidRDefault="00637187" w:rsidP="00637187">
      <w:pPr>
        <w:spacing w:after="0" w:line="480" w:lineRule="auto"/>
        <w:jc w:val="both"/>
        <w:rPr>
          <w:rFonts w:ascii="Times New Roman" w:hAnsi="Times New Roman" w:cs="Times New Roman"/>
          <w:b/>
          <w:sz w:val="24"/>
          <w:szCs w:val="24"/>
          <w:lang w:val="en-GB"/>
        </w:rPr>
      </w:pPr>
      <w:bookmarkStart w:id="0" w:name="_GoBack"/>
      <w:bookmarkEnd w:id="0"/>
      <w:r w:rsidRPr="00637187">
        <w:rPr>
          <w:rFonts w:ascii="Times New Roman" w:hAnsi="Times New Roman" w:cs="Times New Roman"/>
          <w:b/>
          <w:sz w:val="24"/>
          <w:szCs w:val="24"/>
          <w:lang w:val="en-GB"/>
        </w:rPr>
        <w:t>DECISION MAKING IN PATIENTS WITH ANOREXIA NERVOSA, A CRITICAL DISCUSSION</w:t>
      </w:r>
    </w:p>
    <w:p w:rsidR="00637187" w:rsidRPr="00637187" w:rsidRDefault="00637187" w:rsidP="00637187">
      <w:pPr>
        <w:spacing w:after="0" w:line="480" w:lineRule="auto"/>
        <w:jc w:val="both"/>
        <w:rPr>
          <w:rFonts w:ascii="Times New Roman" w:hAnsi="Times New Roman" w:cs="Times New Roman"/>
          <w:sz w:val="24"/>
          <w:szCs w:val="24"/>
          <w:lang w:val="en-GB"/>
        </w:rPr>
      </w:pP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Sergio Ramos Pozón, MSc, PhD Associated lecturer at the University of Barcelona </w:t>
      </w:r>
      <w:hyperlink r:id="rId8" w:history="1">
        <w:r w:rsidRPr="00637187">
          <w:rPr>
            <w:rStyle w:val="Hyperlink"/>
            <w:sz w:val="24"/>
            <w:szCs w:val="24"/>
            <w:lang w:val="en-US"/>
          </w:rPr>
          <w:t>sergioramos@ub.edu</w:t>
        </w:r>
      </w:hyperlink>
      <w:r w:rsidRPr="00637187">
        <w:rPr>
          <w:rFonts w:ascii="Times New Roman" w:hAnsi="Times New Roman" w:cs="Times New Roman"/>
          <w:sz w:val="24"/>
          <w:szCs w:val="24"/>
          <w:lang w:val="en-US"/>
        </w:rPr>
        <w:t xml:space="preserve"> </w:t>
      </w: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Bernabé Robles del Olmo, MSc Head of the Neurology Service at Parc Sanitari Sant Joan de Déu (PSSJD) Chairman of the Clinical Ethics Committee PSSJD. Permanent Commission of the Bioethics Committee of Catalonia. Associated lecturer at the University of Vic. </w:t>
      </w:r>
      <w:hyperlink r:id="rId9" w:history="1">
        <w:r w:rsidRPr="00637187">
          <w:rPr>
            <w:rStyle w:val="Hyperlink"/>
            <w:sz w:val="24"/>
            <w:szCs w:val="24"/>
            <w:lang w:val="en-US"/>
          </w:rPr>
          <w:t>bernabe.robles@uvic.cat</w:t>
        </w:r>
      </w:hyperlink>
      <w:r w:rsidRPr="00637187">
        <w:rPr>
          <w:rFonts w:ascii="Times New Roman" w:hAnsi="Times New Roman" w:cs="Times New Roman"/>
          <w:sz w:val="24"/>
          <w:szCs w:val="24"/>
          <w:lang w:val="en-US"/>
        </w:rPr>
        <w:t xml:space="preserve"> </w:t>
      </w: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Sonia Sevilla Guerra, MSc, PhD Consultant Nurse of the Hospital Clinic Barcelona. Associated lecturer at the University of Barcelona. </w:t>
      </w:r>
      <w:hyperlink r:id="rId10" w:history="1">
        <w:r w:rsidRPr="00637187">
          <w:rPr>
            <w:rStyle w:val="Hyperlink"/>
            <w:sz w:val="24"/>
            <w:szCs w:val="24"/>
            <w:lang w:val="en-US"/>
          </w:rPr>
          <w:t>soniasevillaguerra@ub.edu</w:t>
        </w:r>
      </w:hyperlink>
      <w:r w:rsidRPr="00637187">
        <w:rPr>
          <w:rFonts w:ascii="Times New Roman" w:hAnsi="Times New Roman" w:cs="Times New Roman"/>
          <w:sz w:val="24"/>
          <w:szCs w:val="24"/>
          <w:lang w:val="en-US"/>
        </w:rPr>
        <w:t xml:space="preserve"> </w:t>
      </w:r>
    </w:p>
    <w:p w:rsidR="00637187" w:rsidRPr="00637187" w:rsidRDefault="00637187" w:rsidP="0051413D">
      <w:pPr>
        <w:spacing w:after="0" w:line="480" w:lineRule="auto"/>
        <w:jc w:val="both"/>
        <w:rPr>
          <w:rFonts w:ascii="Times New Roman" w:hAnsi="Times New Roman" w:cs="Times New Roman"/>
          <w:b/>
          <w:sz w:val="24"/>
          <w:szCs w:val="24"/>
          <w:lang w:val="en-GB"/>
        </w:rPr>
      </w:pPr>
    </w:p>
    <w:p w:rsidR="00637187" w:rsidRPr="00637187" w:rsidRDefault="00637187" w:rsidP="0051413D">
      <w:pPr>
        <w:spacing w:after="0" w:line="480" w:lineRule="auto"/>
        <w:jc w:val="both"/>
        <w:rPr>
          <w:rFonts w:ascii="Times New Roman" w:hAnsi="Times New Roman" w:cs="Times New Roman"/>
          <w:b/>
          <w:sz w:val="24"/>
          <w:szCs w:val="24"/>
          <w:lang w:val="en-GB"/>
        </w:rPr>
      </w:pPr>
    </w:p>
    <w:p w:rsidR="00637187" w:rsidRPr="00637187" w:rsidRDefault="00637187" w:rsidP="0051413D">
      <w:pPr>
        <w:spacing w:after="0" w:line="480" w:lineRule="auto"/>
        <w:jc w:val="both"/>
        <w:rPr>
          <w:rFonts w:ascii="Times New Roman" w:hAnsi="Times New Roman" w:cs="Times New Roman"/>
          <w:b/>
          <w:sz w:val="24"/>
          <w:szCs w:val="24"/>
          <w:lang w:val="en-GB"/>
        </w:rPr>
      </w:pPr>
    </w:p>
    <w:p w:rsidR="005431EE" w:rsidRPr="00637187" w:rsidRDefault="0051413D"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Abstract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refusal of patients with anorexia to undergo medical treatment may create strong ethical dilemmas for health professionals, obliging them either to accept decisions that leave patients at risk or to apply treatment against their patients’ will. In this paper, we discuss the issue of mental capacity in patients with anorexia who consent to or refuse a specific treatment. We also review personal identity as the main factor in decision-making and discuss three decision-making styles: the</w:t>
      </w:r>
      <w:r w:rsidRPr="00637187">
        <w:rPr>
          <w:rFonts w:ascii="Times New Roman" w:hAnsi="Times New Roman" w:cs="Times New Roman"/>
          <w:i/>
          <w:sz w:val="24"/>
          <w:szCs w:val="24"/>
          <w:lang w:val="en-GB"/>
        </w:rPr>
        <w:t xml:space="preserve"> subjective criterion</w:t>
      </w:r>
      <w:r w:rsidRPr="00637187">
        <w:rPr>
          <w:rFonts w:ascii="Times New Roman" w:hAnsi="Times New Roman" w:cs="Times New Roman"/>
          <w:sz w:val="24"/>
          <w:szCs w:val="24"/>
          <w:lang w:val="en-GB"/>
        </w:rPr>
        <w:t>,</w:t>
      </w:r>
      <w:r w:rsidRPr="00637187">
        <w:rPr>
          <w:rFonts w:ascii="Times New Roman" w:hAnsi="Times New Roman" w:cs="Times New Roman"/>
          <w:i/>
          <w:sz w:val="24"/>
          <w:szCs w:val="24"/>
          <w:lang w:val="en-GB"/>
        </w:rPr>
        <w:t xml:space="preserve"> substituted judgment</w:t>
      </w:r>
      <w:r w:rsidRPr="00637187">
        <w:rPr>
          <w:rFonts w:ascii="Times New Roman" w:hAnsi="Times New Roman" w:cs="Times New Roman"/>
          <w:sz w:val="24"/>
          <w:szCs w:val="24"/>
          <w:lang w:val="en-GB"/>
        </w:rPr>
        <w:t>, and</w:t>
      </w:r>
      <w:r w:rsidRPr="00637187">
        <w:rPr>
          <w:rFonts w:ascii="Times New Roman" w:hAnsi="Times New Roman" w:cs="Times New Roman"/>
          <w:i/>
          <w:sz w:val="24"/>
          <w:szCs w:val="24"/>
          <w:lang w:val="en-GB"/>
        </w:rPr>
        <w:t xml:space="preserve"> the best interest principle</w:t>
      </w:r>
      <w:r w:rsidRPr="00637187">
        <w:rPr>
          <w:rFonts w:ascii="Times New Roman" w:hAnsi="Times New Roman" w:cs="Times New Roman"/>
          <w:sz w:val="24"/>
          <w:szCs w:val="24"/>
          <w:lang w:val="en-GB"/>
        </w:rPr>
        <w:t xml:space="preserve">, and highlight the serious challenges associated with each one. </w:t>
      </w:r>
    </w:p>
    <w:p w:rsidR="00C8194C" w:rsidRPr="00637187" w:rsidRDefault="0051413D"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Key words: </w:t>
      </w:r>
      <w:r w:rsidR="00C8194C" w:rsidRPr="00637187">
        <w:rPr>
          <w:rFonts w:ascii="Times New Roman" w:hAnsi="Times New Roman" w:cs="Times New Roman"/>
          <w:sz w:val="24"/>
          <w:szCs w:val="24"/>
          <w:lang w:val="en-GB"/>
        </w:rPr>
        <w:t xml:space="preserve">Anorexia; </w:t>
      </w:r>
      <w:r w:rsidRPr="00637187">
        <w:rPr>
          <w:rFonts w:ascii="Times New Roman" w:hAnsi="Times New Roman" w:cs="Times New Roman"/>
          <w:sz w:val="24"/>
          <w:szCs w:val="24"/>
          <w:lang w:val="en-GB"/>
        </w:rPr>
        <w:t>psychiatry</w:t>
      </w:r>
      <w:r w:rsidR="00C8194C" w:rsidRPr="00637187">
        <w:rPr>
          <w:rFonts w:ascii="Times New Roman" w:hAnsi="Times New Roman" w:cs="Times New Roman"/>
          <w:sz w:val="24"/>
          <w:szCs w:val="24"/>
          <w:lang w:val="en-GB"/>
        </w:rPr>
        <w:t>; bioethics; decision-making</w:t>
      </w:r>
    </w:p>
    <w:p w:rsidR="00C8194C" w:rsidRPr="00637187" w:rsidRDefault="00C8194C" w:rsidP="0051413D">
      <w:pPr>
        <w:spacing w:after="0" w:line="480" w:lineRule="auto"/>
        <w:jc w:val="both"/>
        <w:rPr>
          <w:rFonts w:ascii="Times New Roman" w:hAnsi="Times New Roman" w:cs="Times New Roman"/>
          <w:sz w:val="24"/>
          <w:szCs w:val="24"/>
          <w:lang w:val="en-GB"/>
        </w:rPr>
      </w:pPr>
    </w:p>
    <w:p w:rsidR="00C8194C" w:rsidRPr="00637187" w:rsidRDefault="00C8194C" w:rsidP="0051413D">
      <w:pPr>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lastRenderedPageBreak/>
        <w:t>Introduction</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Decisions made by patients with anorexia nervosa which could put their life at risk are ethically controversial. For example, their refusal to undergo treatment may leave them vulnerable to potentially life-threatening events.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On the one hand, the values and desires of patients justify the idea that it is more important to prioritize quality of life over biological life. Patients may prioritize autonomy, liberty and dignity over specific medical treatment. In this case, personal identity plays an important role in patients’ decisions whether to accept or decline treatment. On the other hand, in controversial circumstances, health professionals may disregard patients’ decisions and choose the principles of beneficence and non-maleficence over other ethical principles.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Not everyone with a mental disorder is unable to make reasonable and appropriate decisions about their health. There is an assumption that all patients with mental health disorders lack capacity: that is, the psychological ability to make valid decisions. However, this is clearly wrong. Unfortunately, serious mental health disorders still widely attract stigma and discrimination and the paternalistic attitudes often adopted by health professionals represent an additional difficulty. At the heart of the issue is the fact that patients may be unable to determine the best therapeutic option for them. This may mean that their opinions are ignored, and as a result they may refuse treatment. A paternalistic approach should only be applied when there is sufficient evidence to indicate that the patient does not have capacity, as will be discussed below. Moreover, professionals should not accept each decision as it comes or systematically ignore patients’ opinions.  Decision-making in the context of health always depends on the specific situation, while also evaluating the degree of autonomy of each individual patient. Taking everything into </w:t>
      </w:r>
      <w:r w:rsidRPr="00637187">
        <w:rPr>
          <w:rFonts w:ascii="Times New Roman" w:hAnsi="Times New Roman" w:cs="Times New Roman"/>
          <w:sz w:val="24"/>
          <w:szCs w:val="24"/>
          <w:lang w:val="en-GB"/>
        </w:rPr>
        <w:lastRenderedPageBreak/>
        <w:t xml:space="preserve">account, practitioners may adopt either a paternalistic approach or a position that prioritizes the patient’s autonomy.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The aim of this paper is to identify the potential issues when making decisions for patients with eating disorders who refuse treatment, analyzing the concept of capacity to determine when patients can decide for themselves. We will also review personal identity, as it may help to better understand decisions made by patients with anorexia. In some cases, health decisions can be based on substituted decision-making, due to the patient’s incapacity. Thus, it is important to review both the limitations and implications of substituted decision-making. </w:t>
      </w:r>
    </w:p>
    <w:p w:rsidR="00C8194C" w:rsidRPr="00637187" w:rsidRDefault="00C8194C" w:rsidP="0051413D">
      <w:pPr>
        <w:spacing w:after="0" w:line="480" w:lineRule="auto"/>
        <w:jc w:val="both"/>
        <w:rPr>
          <w:rFonts w:ascii="Times New Roman" w:hAnsi="Times New Roman" w:cs="Times New Roman"/>
          <w:sz w:val="24"/>
          <w:szCs w:val="24"/>
          <w:lang w:val="en-GB"/>
        </w:rPr>
      </w:pPr>
    </w:p>
    <w:p w:rsidR="00C8194C" w:rsidRPr="00637187" w:rsidRDefault="00C8194C" w:rsidP="0051413D">
      <w:pPr>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The capacity to accept or refuse treatment in anorexia nervosa</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An adult is considered to have the capacity to consent to or refuse a specific treatment unless there are indications to the contrary. In other words, patients have an absolute right to refuse treatment as long as they have the capacity to do so. To determine the degree of capacity in patients, healthcare professionals should evaluate their autonomous and voluntary decision-making, and assess whether they have the information they need to make an informed decision. Additionally, patients should retain the necessary cognitive capacities to evaluate clinical processes.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There are many tools for evaluating the capacity of patients to make decisions. Perhaps the most widely used instrument is Mac-CAT (MacCAT-T), created by Appelbaum</w:t>
      </w:r>
      <w:r w:rsidR="005431EE" w:rsidRPr="00637187">
        <w:rPr>
          <w:rStyle w:val="EndnoteReference"/>
          <w:rFonts w:ascii="Times New Roman" w:hAnsi="Times New Roman" w:cs="Times New Roman"/>
          <w:sz w:val="24"/>
          <w:szCs w:val="24"/>
          <w:lang w:val="en-GB"/>
        </w:rPr>
        <w:endnoteReference w:id="1"/>
      </w:r>
      <w:r w:rsidRPr="00637187">
        <w:rPr>
          <w:rFonts w:ascii="Times New Roman" w:hAnsi="Times New Roman" w:cs="Times New Roman"/>
          <w:sz w:val="24"/>
          <w:szCs w:val="24"/>
          <w:lang w:val="en-GB"/>
        </w:rPr>
        <w:t xml:space="preserve">, which examines four aspects: (1) the ability to </w:t>
      </w:r>
      <w:r w:rsidRPr="00637187">
        <w:rPr>
          <w:rFonts w:ascii="Times New Roman" w:hAnsi="Times New Roman" w:cs="Times New Roman"/>
          <w:i/>
          <w:sz w:val="24"/>
          <w:szCs w:val="24"/>
          <w:lang w:val="en-GB"/>
        </w:rPr>
        <w:t>understand</w:t>
      </w:r>
      <w:r w:rsidRPr="00637187">
        <w:rPr>
          <w:rFonts w:ascii="Times New Roman" w:hAnsi="Times New Roman" w:cs="Times New Roman"/>
          <w:sz w:val="24"/>
          <w:szCs w:val="24"/>
          <w:lang w:val="en-GB"/>
        </w:rPr>
        <w:t xml:space="preserve"> information related to treatment decision (different treatments, disease, and the pros and cons of the treatment); (2) the ability to </w:t>
      </w:r>
      <w:r w:rsidRPr="00637187">
        <w:rPr>
          <w:rFonts w:ascii="Times New Roman" w:hAnsi="Times New Roman" w:cs="Times New Roman"/>
          <w:i/>
          <w:sz w:val="24"/>
          <w:szCs w:val="24"/>
          <w:lang w:val="en-GB"/>
        </w:rPr>
        <w:t>appreciate</w:t>
      </w:r>
      <w:r w:rsidRPr="00637187">
        <w:rPr>
          <w:rFonts w:ascii="Times New Roman" w:hAnsi="Times New Roman" w:cs="Times New Roman"/>
          <w:sz w:val="24"/>
          <w:szCs w:val="24"/>
          <w:lang w:val="en-GB"/>
        </w:rPr>
        <w:t xml:space="preserve"> the significance of the information on the treatment for one’s own situation; (3) the ability to </w:t>
      </w:r>
      <w:r w:rsidRPr="00637187">
        <w:rPr>
          <w:rFonts w:ascii="Times New Roman" w:hAnsi="Times New Roman" w:cs="Times New Roman"/>
          <w:i/>
          <w:sz w:val="24"/>
          <w:szCs w:val="24"/>
          <w:lang w:val="en-GB"/>
        </w:rPr>
        <w:t>reason</w:t>
      </w:r>
      <w:r w:rsidRPr="00637187">
        <w:rPr>
          <w:rFonts w:ascii="Times New Roman" w:hAnsi="Times New Roman" w:cs="Times New Roman"/>
          <w:sz w:val="24"/>
          <w:szCs w:val="24"/>
          <w:lang w:val="en-GB"/>
        </w:rPr>
        <w:t xml:space="preserve"> with relevant information so as to engage in a logical process of assessing several options; and (4) the ability to express their treatment </w:t>
      </w:r>
      <w:r w:rsidRPr="00637187">
        <w:rPr>
          <w:rFonts w:ascii="Times New Roman" w:hAnsi="Times New Roman" w:cs="Times New Roman"/>
          <w:sz w:val="24"/>
          <w:szCs w:val="24"/>
          <w:lang w:val="en-GB"/>
        </w:rPr>
        <w:lastRenderedPageBreak/>
        <w:t>choice. In addition to formally assessing capacity, we strongly believe that the assessment of a patient’s capacity to consent to treatment should be guided by the following basic rules: (1) capacity to consent is not established by clinical diagnosis; (2) formal evaluation should focus on a specific task in a particular moment and at a precise time; (3) mental capacity can fluctuate with time (lucid moments); (4) the severity of the situation will determine the level of capacity required; and (5) the option chosen should not be considered as lacking capacity or not because it is the person who has (or lacks) capacity.</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Although Mac-CAT is used in patients with a wide range of mental disorders such as schizophrenia and depression, it is important to note that patients with mental illnesses can have decisional capacity, as shown in the literature</w:t>
      </w:r>
      <w:r w:rsidR="005431EE" w:rsidRPr="00637187">
        <w:rPr>
          <w:rStyle w:val="EndnoteReference"/>
          <w:rFonts w:ascii="Times New Roman" w:hAnsi="Times New Roman" w:cs="Times New Roman"/>
          <w:sz w:val="24"/>
          <w:szCs w:val="24"/>
          <w:lang w:val="en-GB"/>
        </w:rPr>
        <w:endnoteReference w:id="2"/>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3"/>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4"/>
      </w:r>
      <w:r w:rsidRPr="00637187">
        <w:rPr>
          <w:rFonts w:ascii="Times New Roman" w:hAnsi="Times New Roman" w:cs="Times New Roman"/>
          <w:sz w:val="24"/>
          <w:szCs w:val="24"/>
          <w:lang w:val="en-US"/>
        </w:rPr>
        <w:t>.</w:t>
      </w:r>
      <w:r w:rsidRPr="00637187">
        <w:rPr>
          <w:rFonts w:ascii="Times New Roman" w:hAnsi="Times New Roman" w:cs="Times New Roman"/>
          <w:sz w:val="24"/>
          <w:szCs w:val="24"/>
          <w:lang w:val="en-GB"/>
        </w:rPr>
        <w:t xml:space="preserve"> However, recent meta-analysis studies have suggested that patients with anorexia nervosa may have some mental capacity affected</w:t>
      </w:r>
      <w:r w:rsidR="005431EE" w:rsidRPr="00637187">
        <w:rPr>
          <w:rStyle w:val="EndnoteReference"/>
          <w:rFonts w:ascii="Times New Roman" w:hAnsi="Times New Roman" w:cs="Times New Roman"/>
          <w:sz w:val="24"/>
          <w:szCs w:val="24"/>
          <w:lang w:val="en-GB"/>
        </w:rPr>
        <w:endnoteReference w:id="5"/>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6"/>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7"/>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8"/>
      </w:r>
      <w:r w:rsidR="00792048"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9"/>
      </w:r>
      <w:r w:rsidRPr="00637187">
        <w:rPr>
          <w:rFonts w:ascii="Times New Roman" w:hAnsi="Times New Roman" w:cs="Times New Roman"/>
          <w:sz w:val="24"/>
          <w:szCs w:val="24"/>
          <w:lang w:val="en-GB"/>
        </w:rPr>
        <w:t>. For instance, it has been reported that cognitive problems in decisions made under uncertainty (e.g., long-term decisions) could complicate the recognition of arguments for and against making decisions. Moreover, poor decision-making was observed to be more marked during the acute phase of the condition than in the recovered state. It could also be argued that the nutritional status of the patient during the acute phase could affect decision-making skills</w:t>
      </w:r>
      <w:r w:rsidR="000C0DF5" w:rsidRPr="00637187">
        <w:rPr>
          <w:rFonts w:ascii="Times New Roman" w:hAnsi="Times New Roman" w:cs="Times New Roman"/>
          <w:sz w:val="24"/>
          <w:szCs w:val="24"/>
          <w:vertAlign w:val="superscript"/>
          <w:lang w:val="en-GB"/>
        </w:rPr>
        <w:t>5</w:t>
      </w:r>
      <w:r w:rsidRPr="00637187">
        <w:rPr>
          <w:rFonts w:ascii="Times New Roman" w:hAnsi="Times New Roman" w:cs="Times New Roman"/>
          <w:sz w:val="24"/>
          <w:szCs w:val="24"/>
          <w:lang w:val="en-GB"/>
        </w:rPr>
        <w:t xml:space="preserve">.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These observations make it harder to determine whether patients with anorexia nervosa can make decisions autonomously. Furthermore, results from a Mac-CAT assessment of patients with anorexia</w:t>
      </w:r>
      <w:r w:rsidR="00792048" w:rsidRPr="00637187">
        <w:rPr>
          <w:rFonts w:ascii="Times New Roman" w:hAnsi="Times New Roman" w:cs="Times New Roman"/>
          <w:sz w:val="24"/>
          <w:szCs w:val="24"/>
          <w:vertAlign w:val="superscript"/>
          <w:lang w:val="en-GB"/>
        </w:rPr>
        <w:t>6-9</w:t>
      </w:r>
      <w:r w:rsidRPr="00637187">
        <w:rPr>
          <w:rFonts w:ascii="Times New Roman" w:hAnsi="Times New Roman" w:cs="Times New Roman"/>
          <w:sz w:val="24"/>
          <w:szCs w:val="24"/>
          <w:lang w:val="en-US"/>
        </w:rPr>
        <w:t xml:space="preserve"> </w:t>
      </w:r>
      <w:r w:rsidRPr="00637187">
        <w:rPr>
          <w:rFonts w:ascii="Times New Roman" w:hAnsi="Times New Roman" w:cs="Times New Roman"/>
          <w:sz w:val="24"/>
          <w:szCs w:val="24"/>
          <w:lang w:val="en-GB"/>
        </w:rPr>
        <w:t xml:space="preserve">revealed that although patients may have some difficulties in concentrating and usually present with a distorted self-perception of reality (specifically their bodies) and values, they often have a very good understanding of the facts of their pathology and the risks involved, as well as good reasoning skills. Thus, if taking all of these characteristics into consideration, health professionals face a significant challenge in deciding whether to respect the patient´s decision or, on the contrary, adopt </w:t>
      </w:r>
      <w:r w:rsidRPr="00637187">
        <w:rPr>
          <w:rFonts w:ascii="Times New Roman" w:hAnsi="Times New Roman" w:cs="Times New Roman"/>
          <w:sz w:val="24"/>
          <w:szCs w:val="24"/>
          <w:lang w:val="en-GB"/>
        </w:rPr>
        <w:lastRenderedPageBreak/>
        <w:t xml:space="preserve">substituted decision-making. For this reason, it is very important to properly evaluate the degree of capacity of a patient to accept or refuse treatment.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 potential problem in this evaluation is the methodology used. Mac-CAT is traditionally used to assess capacity; however, serious difficulties have been reported for its use in patients with anorexia. Tan et al.</w:t>
      </w:r>
      <w:r w:rsidR="00792048" w:rsidRPr="00637187">
        <w:rPr>
          <w:rFonts w:ascii="Times New Roman" w:hAnsi="Times New Roman" w:cs="Times New Roman"/>
          <w:sz w:val="24"/>
          <w:szCs w:val="24"/>
          <w:vertAlign w:val="superscript"/>
          <w:lang w:val="en-GB"/>
        </w:rPr>
        <w:t>7</w:t>
      </w:r>
      <w:r w:rsidRPr="00637187">
        <w:rPr>
          <w:rFonts w:ascii="Times New Roman" w:hAnsi="Times New Roman" w:cs="Times New Roman"/>
          <w:sz w:val="24"/>
          <w:szCs w:val="24"/>
          <w:lang w:val="en-GB"/>
        </w:rPr>
        <w:t xml:space="preserve"> criticized the sole and strict use of Mac-CAT in assessing capacity in individuals with anorexia. They strongly believed that the patient’s values and beliefs were distorted because of their condition despite scoring well on </w:t>
      </w:r>
      <w:r w:rsidRPr="00637187">
        <w:rPr>
          <w:rFonts w:ascii="Times New Roman" w:hAnsi="Times New Roman" w:cs="Times New Roman"/>
          <w:i/>
          <w:sz w:val="24"/>
          <w:szCs w:val="24"/>
          <w:lang w:val="en-GB"/>
        </w:rPr>
        <w:t>understanding</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reasoning</w:t>
      </w:r>
      <w:r w:rsidRPr="00637187">
        <w:rPr>
          <w:rFonts w:ascii="Times New Roman" w:hAnsi="Times New Roman" w:cs="Times New Roman"/>
          <w:sz w:val="24"/>
          <w:szCs w:val="24"/>
          <w:lang w:val="en-GB"/>
        </w:rPr>
        <w:t>. This point is of particular importance because Mac-CAT should add the same weight to values and beliefs as it does to the other domains, as these are used in decision-making. Tan et al. considered that such distorted values and beliefs are “pathological values”, such as: (1) values attached to fatness, which was generally observed by the patients to be a mark of laziness, lack of self-care, or lack of self-control; (2) depressive values linked to the lack of danger of dying that was felt by the patients, even when life was generally very difficult and painful because of the disorder; (3) t</w:t>
      </w:r>
      <w:r w:rsidRPr="00637187">
        <w:rPr>
          <w:rFonts w:ascii="Times New Roman" w:hAnsi="Times New Roman" w:cs="Times New Roman"/>
          <w:bCs/>
          <w:iCs/>
          <w:sz w:val="24"/>
          <w:szCs w:val="24"/>
          <w:lang w:val="en-GB"/>
        </w:rPr>
        <w:t xml:space="preserve">he paramount importance of being thin, with patients considering a low weight to be more important than other aspects such as family, friendships, health and academic achievement; and (4) the issue of personal identity.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necessity of introducing values in Mac-CAT was defended by Breden and Vollmann</w:t>
      </w:r>
      <w:r w:rsidR="00792048" w:rsidRPr="00637187">
        <w:rPr>
          <w:rStyle w:val="EndnoteReference"/>
          <w:rFonts w:ascii="Times New Roman" w:hAnsi="Times New Roman" w:cs="Times New Roman"/>
          <w:sz w:val="24"/>
          <w:szCs w:val="24"/>
          <w:lang w:val="en-GB"/>
        </w:rPr>
        <w:endnoteReference w:id="10"/>
      </w:r>
      <w:r w:rsidRPr="00637187">
        <w:rPr>
          <w:rFonts w:ascii="Times New Roman" w:hAnsi="Times New Roman" w:cs="Times New Roman"/>
          <w:sz w:val="24"/>
          <w:szCs w:val="24"/>
          <w:lang w:val="en-GB"/>
        </w:rPr>
        <w:t xml:space="preserve"> and supported by Grisso and Appelbaum</w:t>
      </w:r>
      <w:r w:rsidR="00792048" w:rsidRPr="00637187">
        <w:rPr>
          <w:rFonts w:ascii="Times New Roman" w:hAnsi="Times New Roman" w:cs="Times New Roman"/>
          <w:sz w:val="24"/>
          <w:szCs w:val="24"/>
          <w:vertAlign w:val="superscript"/>
          <w:lang w:val="en-GB"/>
        </w:rPr>
        <w:t>9</w:t>
      </w:r>
      <w:r w:rsidRPr="00637187">
        <w:rPr>
          <w:rFonts w:ascii="Times New Roman" w:hAnsi="Times New Roman" w:cs="Times New Roman"/>
          <w:sz w:val="24"/>
          <w:szCs w:val="24"/>
          <w:lang w:val="en-GB"/>
        </w:rPr>
        <w:t>. Grisso and Appelbaum reported that the underlying problem was the way in which the term “appreciation” was conceived because it already introduced values and beliefs. Hence, one could now think, as Vollmann</w:t>
      </w:r>
      <w:r w:rsidR="00792048" w:rsidRPr="00637187">
        <w:rPr>
          <w:rFonts w:ascii="Times New Roman" w:hAnsi="Times New Roman" w:cs="Times New Roman"/>
          <w:sz w:val="24"/>
          <w:szCs w:val="24"/>
          <w:vertAlign w:val="superscript"/>
          <w:lang w:val="en-GB"/>
        </w:rPr>
        <w:t>8</w:t>
      </w:r>
      <w:r w:rsidRPr="00637187">
        <w:rPr>
          <w:rFonts w:ascii="Times New Roman" w:hAnsi="Times New Roman" w:cs="Times New Roman"/>
          <w:sz w:val="24"/>
          <w:szCs w:val="24"/>
          <w:lang w:val="en-GB"/>
        </w:rPr>
        <w:t xml:space="preserve"> did, that “authenticity” in decision-making could be a key aspect when evaluating patients with Mac-CAT. As such, values and beliefs must be introduced consistently. Values identified in several steps (pre, during and post) could indicate whether a decision is “authentic” or not. At the same time, we should evaluate values and </w:t>
      </w:r>
      <w:r w:rsidRPr="00637187">
        <w:rPr>
          <w:rFonts w:ascii="Times New Roman" w:hAnsi="Times New Roman" w:cs="Times New Roman"/>
          <w:sz w:val="24"/>
          <w:szCs w:val="24"/>
          <w:lang w:val="en-GB"/>
        </w:rPr>
        <w:lastRenderedPageBreak/>
        <w:t xml:space="preserve">beliefs “before”, “in the course of”, and “after” the pathology because they may change significantly, as has been previously indicated.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It is important to reach consensus on the types of values and beliefs that should be considered when evaluating capacity because they may come under the category of “preference” or “will”. The concepts should be analyzed in detail, as Szmukler</w:t>
      </w:r>
      <w:r w:rsidR="00792048" w:rsidRPr="00637187">
        <w:rPr>
          <w:rStyle w:val="EndnoteReference"/>
          <w:rFonts w:ascii="Times New Roman" w:hAnsi="Times New Roman" w:cs="Times New Roman"/>
          <w:sz w:val="24"/>
          <w:szCs w:val="24"/>
          <w:lang w:val="en-GB"/>
        </w:rPr>
        <w:endnoteReference w:id="11"/>
      </w:r>
      <w:r w:rsidRPr="00637187">
        <w:rPr>
          <w:rFonts w:ascii="Times New Roman" w:hAnsi="Times New Roman" w:cs="Times New Roman"/>
          <w:sz w:val="24"/>
          <w:szCs w:val="24"/>
          <w:lang w:val="en-GB"/>
        </w:rPr>
        <w:t xml:space="preserve"> highlights, but in any case preferences and will are not the same. A “preference” is made at a specific moment and with a precise aim, while a “will” is a combination of consistent decisions made during a significant time period because they are reasonably meaningful and established within personal values. An example of a “preference” is when a person refuses treatment in their last hospital admission because they do not want to suffer a specific side effect, while an example of a “will” is when a person refuses the same treatment over four years because they do not want to suffer a side effect that can interfere with their life project. Both of these concepts are closely linked to personal identity. </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With regard to anorexia patients’ “appreciation” of the significance of the information given and its influence on the evaluation of capacity, it may not be adequately assessed by the Mac-CAT because “appreciation” plays a key role for patients as they have an altered perception of their body image. Thus, it could be argued that patients with anorexia nervosa lack capacity for making specific decisions – for example, refusing nasogastric feeding because they fail to “appreciate” the importance of the treatment. However, it could also be argued that the patient does have this appreciation, but has a different motivation that is not shared by most people with the disorder. This kind of incongruity could be compared with Jehovah’s Witnesses who refuse blood transfusions because of their religious beliefs. Of course, not many people share these beliefs, but most people accept and respect these decisions. </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The clinical assessment of capacity should not only focus on </w:t>
      </w:r>
      <w:r w:rsidRPr="00637187">
        <w:rPr>
          <w:rFonts w:ascii="Times New Roman" w:hAnsi="Times New Roman" w:cs="Times New Roman"/>
          <w:i/>
          <w:sz w:val="24"/>
          <w:szCs w:val="24"/>
          <w:lang w:val="en-GB"/>
        </w:rPr>
        <w:t>appreciation</w:t>
      </w:r>
      <w:r w:rsidRPr="00637187">
        <w:rPr>
          <w:rFonts w:ascii="Times New Roman" w:hAnsi="Times New Roman" w:cs="Times New Roman"/>
          <w:sz w:val="24"/>
          <w:szCs w:val="24"/>
          <w:lang w:val="en-GB"/>
        </w:rPr>
        <w:t xml:space="preserve">, </w:t>
      </w:r>
      <w:r w:rsidRPr="00637187">
        <w:rPr>
          <w:rFonts w:ascii="Times New Roman" w:hAnsi="Times New Roman" w:cs="Times New Roman"/>
          <w:i/>
          <w:sz w:val="24"/>
          <w:szCs w:val="24"/>
          <w:lang w:val="en-GB"/>
        </w:rPr>
        <w:t>understanding</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reasoning</w:t>
      </w:r>
      <w:r w:rsidRPr="00637187">
        <w:rPr>
          <w:rFonts w:ascii="Times New Roman" w:hAnsi="Times New Roman" w:cs="Times New Roman"/>
          <w:sz w:val="24"/>
          <w:szCs w:val="24"/>
          <w:lang w:val="en-GB"/>
        </w:rPr>
        <w:t xml:space="preserve">. Another central aspect to consider is </w:t>
      </w:r>
      <w:r w:rsidRPr="00637187">
        <w:rPr>
          <w:rFonts w:ascii="Times New Roman" w:hAnsi="Times New Roman" w:cs="Times New Roman"/>
          <w:i/>
          <w:sz w:val="24"/>
          <w:szCs w:val="24"/>
          <w:lang w:val="en-GB"/>
        </w:rPr>
        <w:t>whether the patients might regret their own decision in the future.</w:t>
      </w:r>
      <w:r w:rsidRPr="00637187">
        <w:rPr>
          <w:rFonts w:ascii="Times New Roman" w:hAnsi="Times New Roman" w:cs="Times New Roman"/>
          <w:sz w:val="24"/>
          <w:szCs w:val="24"/>
          <w:lang w:val="en-GB"/>
        </w:rPr>
        <w:t xml:space="preserve"> Therefore, professionals should also consider whether their patients are being represented correctly. In this case, values and beliefs “before”, “in the middle of”, and “after” the pathology play a key role, as well as “preferences” and “will”.</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Among the challenges identified is the fundamental role played by appreciation, values and beliefs in patients with anorexia. </w:t>
      </w:r>
      <w:r w:rsidRPr="00637187">
        <w:rPr>
          <w:rFonts w:ascii="Times New Roman" w:hAnsi="Times New Roman" w:cs="Times New Roman"/>
          <w:sz w:val="24"/>
          <w:szCs w:val="24"/>
          <w:lang w:val="en-US"/>
        </w:rPr>
        <w:t xml:space="preserve">The assessment </w:t>
      </w:r>
      <w:r w:rsidRPr="00637187">
        <w:rPr>
          <w:rFonts w:ascii="Times New Roman" w:hAnsi="Times New Roman" w:cs="Times New Roman"/>
          <w:sz w:val="24"/>
          <w:szCs w:val="24"/>
          <w:lang w:val="en-GB"/>
        </w:rPr>
        <w:t>of capacity from a qualitative point of view is of paramount importance so that beliefs and values can be taken into consideration, as well as the question of how patients and their families perceive the treatment and other specific issues. Moreover, it is important to note that when a patient lacks capacity, professionals and families should take into account what the patient would have wanted. Therefore, it helps to consider values and beliefs in the evaluation of capacity. This involves a considerable amount of information that should be evaluated in light of the norms of practical rationalities, as described by Craigie</w:t>
      </w:r>
      <w:r w:rsidR="00EE6F7C" w:rsidRPr="00637187">
        <w:rPr>
          <w:rStyle w:val="EndnoteReference"/>
          <w:rFonts w:ascii="Times New Roman" w:hAnsi="Times New Roman" w:cs="Times New Roman"/>
          <w:sz w:val="24"/>
          <w:szCs w:val="24"/>
          <w:lang w:val="en-GB"/>
        </w:rPr>
        <w:endnoteReference w:id="12"/>
      </w:r>
      <w:r w:rsidRPr="00637187">
        <w:rPr>
          <w:rFonts w:ascii="Times New Roman" w:hAnsi="Times New Roman" w:cs="Times New Roman"/>
          <w:sz w:val="24"/>
          <w:szCs w:val="24"/>
          <w:lang w:val="en-GB"/>
        </w:rPr>
        <w:t xml:space="preserve">. Thus, it is important to discuss personal identity, since it is the essence of values and beliefs.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Personal identity: a cornerstone in decision-making</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Patients with anorexia show a good understanding of the disease; they are aware of the possible consequences of refusing treatment, and present consistent reasoning. However, people who suffer from an eating disorder often have an altered perception of their body image that might also affect their own identity. By comparing this identity “after” and “during” the disease, we may be able to identify meaningful changes that are critical in assessing the different motivations for accepting or refusing treatment. From the point of view of psychology and sociology, personal identity can be defined as the way in which </w:t>
      </w:r>
      <w:r w:rsidRPr="00637187">
        <w:rPr>
          <w:rFonts w:ascii="Times New Roman" w:hAnsi="Times New Roman" w:cs="Times New Roman"/>
          <w:sz w:val="24"/>
          <w:szCs w:val="24"/>
          <w:lang w:val="en-GB"/>
        </w:rPr>
        <w:lastRenderedPageBreak/>
        <w:t>people observe themselves. Thus, such a view is identified with a specific style of life such as wishes, beliefs, and so on. However, Buchanan and Brock</w:t>
      </w:r>
      <w:r w:rsidR="00EE6F7C" w:rsidRPr="00637187">
        <w:rPr>
          <w:rStyle w:val="EndnoteReference"/>
          <w:rFonts w:ascii="Times New Roman" w:hAnsi="Times New Roman" w:cs="Times New Roman"/>
          <w:sz w:val="24"/>
          <w:szCs w:val="24"/>
          <w:lang w:val="en-GB"/>
        </w:rPr>
        <w:endnoteReference w:id="13"/>
      </w:r>
      <w:r w:rsidR="00EE6F7C" w:rsidRPr="00637187">
        <w:rPr>
          <w:rFonts w:ascii="Times New Roman" w:hAnsi="Times New Roman" w:cs="Times New Roman"/>
          <w:sz w:val="24"/>
          <w:szCs w:val="24"/>
          <w:vertAlign w:val="superscript"/>
          <w:lang w:val="en-GB"/>
        </w:rPr>
        <w:t>, p.154-155</w:t>
      </w:r>
      <w:r w:rsidRPr="00637187">
        <w:rPr>
          <w:rFonts w:ascii="Times New Roman" w:hAnsi="Times New Roman" w:cs="Times New Roman"/>
          <w:sz w:val="24"/>
          <w:szCs w:val="24"/>
          <w:lang w:val="en-GB"/>
        </w:rPr>
        <w:t xml:space="preserve"> consider personal identity to </w:t>
      </w:r>
    </w:p>
    <w:p w:rsidR="00EE6F7C" w:rsidRPr="00637187" w:rsidRDefault="00EE6F7C" w:rsidP="0051413D">
      <w:pPr>
        <w:autoSpaceDE w:val="0"/>
        <w:autoSpaceDN w:val="0"/>
        <w:adjustRightInd w:val="0"/>
        <w:spacing w:after="0" w:line="480" w:lineRule="auto"/>
        <w:ind w:left="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“denotes those conditions which constitute an individual as the particular person her or she is and that make a person existing at one time, and a person existing at a later or earlier time, the same person. The criteria for personal identity, then, will be a set of </w:t>
      </w:r>
      <w:r w:rsidRPr="00637187">
        <w:rPr>
          <w:rFonts w:ascii="Times New Roman" w:hAnsi="Times New Roman" w:cs="Times New Roman"/>
          <w:i/>
          <w:sz w:val="24"/>
          <w:szCs w:val="24"/>
          <w:lang w:val="en-GB"/>
        </w:rPr>
        <w:t>necessary</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sufficient conditions</w:t>
      </w:r>
      <w:r w:rsidRPr="00637187">
        <w:rPr>
          <w:rFonts w:ascii="Times New Roman" w:hAnsi="Times New Roman" w:cs="Times New Roman"/>
          <w:sz w:val="24"/>
          <w:szCs w:val="24"/>
          <w:lang w:val="en-GB"/>
        </w:rPr>
        <w:t xml:space="preserve"> for this “unity relation” or, as we shall say, necessary and sufficient conditions for personal identity”.</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Personal identity should be evaluated in a gradual way; it is not an “all or nothing” idea. In other words, the evolution of personal identity should be observed over a significant and substantial period of time rather than at a particular moment. This could help to understand accurately the beliefs and values of patients with eating disorders when they confront certain situations. Such motivations could indicate how the person values their decisions, and may also help to recognize if the person can choose autonomously or not.</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In this connection, in a qualitative study of patients with anorexia and their families to identify how the pathology affected the patients’ identity, Tan et al.</w:t>
      </w:r>
      <w:r w:rsidR="00EE6F7C" w:rsidRPr="00637187">
        <w:rPr>
          <w:rStyle w:val="EndnoteReference"/>
          <w:rFonts w:ascii="Times New Roman" w:hAnsi="Times New Roman" w:cs="Times New Roman"/>
          <w:sz w:val="24"/>
          <w:szCs w:val="24"/>
          <w:lang w:val="en-GB"/>
        </w:rPr>
        <w:endnoteReference w:id="14"/>
      </w:r>
      <w:r w:rsidRPr="00637187">
        <w:rPr>
          <w:rFonts w:ascii="Times New Roman" w:hAnsi="Times New Roman" w:cs="Times New Roman"/>
          <w:sz w:val="24"/>
          <w:szCs w:val="24"/>
          <w:lang w:val="en-GB"/>
        </w:rPr>
        <w:t xml:space="preserve"> reported alterations in personal identity because anorexia was identified as a part of the patients’ self. These authors concluded that anorexia is not a “simple disorder” as it substantially reshapes the personality and style of the patients. This is an important feature of these patients who have great difficulty in visualizing themselves in the future without anorexia; they conceptualize anorexia nervosa as an entity inside themselves.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Several studies have reported obsession, perfectionism, and compulsion in patients with eating disorders, using psychological constructs such as “locus of control” and “clinical perfectionism”. In other words, the literature has focused on clinicians’ interpretations</w:t>
      </w:r>
      <w:r w:rsidR="00EE6F7C" w:rsidRPr="00637187">
        <w:rPr>
          <w:rFonts w:ascii="Times New Roman" w:hAnsi="Times New Roman" w:cs="Times New Roman"/>
          <w:sz w:val="24"/>
          <w:szCs w:val="24"/>
          <w:vertAlign w:val="superscript"/>
          <w:lang w:val="en-GB"/>
        </w:rPr>
        <w:t>14</w:t>
      </w:r>
      <w:r w:rsidRPr="00637187">
        <w:rPr>
          <w:rFonts w:ascii="Times New Roman" w:hAnsi="Times New Roman" w:cs="Times New Roman"/>
          <w:sz w:val="24"/>
          <w:szCs w:val="24"/>
          <w:lang w:val="en-GB"/>
        </w:rPr>
        <w:t xml:space="preserve">. </w:t>
      </w:r>
      <w:r w:rsidRPr="00637187">
        <w:rPr>
          <w:rFonts w:ascii="Times New Roman" w:hAnsi="Times New Roman" w:cs="Times New Roman"/>
          <w:sz w:val="24"/>
          <w:szCs w:val="24"/>
          <w:lang w:val="en-GB"/>
        </w:rPr>
        <w:lastRenderedPageBreak/>
        <w:t>Tan et al.</w:t>
      </w:r>
      <w:r w:rsidR="00EE6F7C" w:rsidRPr="00637187">
        <w:rPr>
          <w:rFonts w:ascii="Times New Roman" w:hAnsi="Times New Roman" w:cs="Times New Roman"/>
          <w:sz w:val="24"/>
          <w:szCs w:val="24"/>
          <w:vertAlign w:val="superscript"/>
          <w:lang w:val="en-GB"/>
        </w:rPr>
        <w:t>14</w:t>
      </w:r>
      <w:r w:rsidRPr="00637187">
        <w:rPr>
          <w:rFonts w:ascii="Times New Roman" w:hAnsi="Times New Roman" w:cs="Times New Roman"/>
          <w:sz w:val="24"/>
          <w:szCs w:val="24"/>
          <w:lang w:val="en-GB"/>
        </w:rPr>
        <w:t xml:space="preserve"> explored the views of patients and their families on compulsory treatment, and also examined capacity in the patients. This approach provided a deeper understanding of the reasons (values, beliefs and wishes) why patients accept or refuse treatment. These authors reported that compulsory treatment was only conceivable for patients and families in life-threatening situations, regardless of whether the patients had capacity or not. Both patients and their families recognized that if the anorexia nervosa had become chronic and non-responsive to treatment, it could be life-threatening, and patients who refuse treatment should be permitted to die. The results of this study also showed that patients associated compulsory treatment with suffering, imprisonment, and punishment.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As has already been discussed, administering treatment without consent faces significant challenges, although it is very difficult to clearly identify capacity in patients with anorexia. Additionally, there are great difficulties in evaluating and determining whether the patients’ wishes are consistent with their personal identity or not.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Recognizing and introducing personal identity into the assessment of capacity could cause serious issues. For example, it could be argued that a person with advanced dementia is not the same person they were before the disease (due to their depressed mood, memory loss, cognitive deficits, etc.). Furthermore, there will be issues in determining which arguments and values (present or future) that relatives should apply when substituted judgment is adopted.</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Depending on the capacity to accept or refuse treatment and the personal identity of patients with anorexia nervosa, families and health professionals may eventually be obliged to make decisions on behalf of the patients. Some types of surrogate decision-making could be of vital importance here.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lastRenderedPageBreak/>
        <w:t>Surrogate decision-making</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 xml:space="preserve">It is widely accepted that an adult is considered to have the capacity to consent to or refuse a specific treatment unless proven otherwise. Furthermore, patients should be able to retain information, understand the information relevant to the decision making, retain that information, and act without any deprivation of liberty. Based on these attributes, patients can accept or refuse treatment or make serious life-changing decisions in advance, such as advance directives. Health professionals should accept individual decisions; this is a </w:t>
      </w:r>
      <w:r w:rsidRPr="00637187">
        <w:rPr>
          <w:rFonts w:ascii="Times New Roman" w:hAnsi="Times New Roman" w:cs="Times New Roman"/>
          <w:i/>
          <w:sz w:val="24"/>
          <w:szCs w:val="24"/>
          <w:lang w:val="en-GB"/>
        </w:rPr>
        <w:t>subjective criterion</w:t>
      </w:r>
      <w:r w:rsidRPr="00637187">
        <w:rPr>
          <w:rFonts w:ascii="Times New Roman" w:hAnsi="Times New Roman" w:cs="Times New Roman"/>
          <w:sz w:val="24"/>
          <w:szCs w:val="24"/>
          <w:lang w:val="en-GB"/>
        </w:rPr>
        <w:t xml:space="preserve">, based foremost on the principle of autonomy. However, in patients with anorexia, this </w:t>
      </w:r>
      <w:r w:rsidRPr="00637187">
        <w:rPr>
          <w:rFonts w:ascii="Times New Roman" w:hAnsi="Times New Roman" w:cs="Times New Roman"/>
          <w:i/>
          <w:sz w:val="24"/>
          <w:szCs w:val="24"/>
          <w:lang w:val="en-GB"/>
        </w:rPr>
        <w:t>subjective criterion</w:t>
      </w:r>
      <w:r w:rsidRPr="00637187" w:rsidDel="00F60C1F">
        <w:rPr>
          <w:rFonts w:ascii="Times New Roman" w:hAnsi="Times New Roman" w:cs="Times New Roman"/>
          <w:sz w:val="24"/>
          <w:szCs w:val="24"/>
          <w:lang w:val="en-GB"/>
        </w:rPr>
        <w:t xml:space="preserve"> </w:t>
      </w:r>
      <w:r w:rsidRPr="00637187">
        <w:rPr>
          <w:rFonts w:ascii="Times New Roman" w:hAnsi="Times New Roman" w:cs="Times New Roman"/>
          <w:sz w:val="24"/>
          <w:szCs w:val="24"/>
          <w:lang w:val="en-GB"/>
        </w:rPr>
        <w:t>may represent a serious challenge due to the fact that the patients have an altered body image, as well as other “pathological values”</w:t>
      </w:r>
      <w:r w:rsidR="00EE6F7C" w:rsidRPr="00637187">
        <w:rPr>
          <w:rFonts w:ascii="Times New Roman" w:hAnsi="Times New Roman" w:cs="Times New Roman"/>
          <w:sz w:val="24"/>
          <w:szCs w:val="24"/>
          <w:vertAlign w:val="superscript"/>
          <w:lang w:val="en-GB"/>
        </w:rPr>
        <w:t>6-9,</w:t>
      </w:r>
      <w:r w:rsidR="00EE6F7C" w:rsidRPr="00637187">
        <w:rPr>
          <w:rStyle w:val="EndnoteReference"/>
          <w:rFonts w:ascii="Times New Roman" w:hAnsi="Times New Roman" w:cs="Times New Roman"/>
          <w:sz w:val="24"/>
          <w:szCs w:val="24"/>
          <w:lang w:val="en-GB"/>
        </w:rPr>
        <w:endnoteReference w:id="15"/>
      </w:r>
      <w:r w:rsidRPr="00637187">
        <w:rPr>
          <w:rFonts w:ascii="Times New Roman" w:hAnsi="Times New Roman" w:cs="Times New Roman"/>
          <w:sz w:val="24"/>
          <w:szCs w:val="24"/>
          <w:lang w:val="en-US"/>
        </w:rPr>
        <w:t>, which affect</w:t>
      </w:r>
      <w:r w:rsidRPr="00637187">
        <w:rPr>
          <w:rFonts w:ascii="Times New Roman" w:hAnsi="Times New Roman" w:cs="Times New Roman"/>
          <w:sz w:val="24"/>
          <w:szCs w:val="24"/>
          <w:lang w:val="en-GB"/>
        </w:rPr>
        <w:t xml:space="preserve"> the legitimacy of the approach. However, a generalized refusal of such decisions could cast serious doubts on the claim that personal identity has no validity in decision-making. Moreover, when “pathological values” are assumed to be a “general rule”, this clearly contradicts the idea that patients have the right to consent to or refuse a specific treatment unless there are indications to the contrary, since “pathological values” are not a clear sign of incapacity. Therefore, the subjective criterion presents serious challenges in decision-making as there are great difficulties in defining and evaluating capacity.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 xml:space="preserve">When it has been established that a person cannot decide by themselves, another person must decide on their behalf. When a specific person with capacity decides on behalf of another whom lacks capacity, decision-making is guided by </w:t>
      </w:r>
      <w:r w:rsidRPr="00637187">
        <w:rPr>
          <w:rFonts w:ascii="Times New Roman" w:hAnsi="Times New Roman" w:cs="Times New Roman"/>
          <w:i/>
          <w:sz w:val="24"/>
          <w:szCs w:val="24"/>
          <w:lang w:val="en-GB"/>
        </w:rPr>
        <w:t>substituted judgment</w:t>
      </w:r>
      <w:r w:rsidRPr="00637187">
        <w:rPr>
          <w:rFonts w:ascii="Times New Roman" w:hAnsi="Times New Roman" w:cs="Times New Roman"/>
          <w:sz w:val="24"/>
          <w:szCs w:val="24"/>
          <w:lang w:val="en-GB"/>
        </w:rPr>
        <w:t xml:space="preserve">. This person has power of attorney and may be an advocate or next of kin. However, as a general rule, even in cases in which the patient has no capacity, some degree of authorship can be retained and participation is encouraged. The surrogate decision maker should know the patient’s views and consider his/her wishes and </w:t>
      </w:r>
      <w:r w:rsidRPr="00637187">
        <w:rPr>
          <w:rFonts w:ascii="Times New Roman" w:hAnsi="Times New Roman" w:cs="Times New Roman"/>
          <w:sz w:val="24"/>
          <w:szCs w:val="24"/>
          <w:lang w:val="en-GB"/>
        </w:rPr>
        <w:lastRenderedPageBreak/>
        <w:t>preferences during decision making. The health care proxy should identify all relevant circumstances, reconstruct such preferences, and identify the things that the patient would consider if they were making the decision themselves. The main aim of substituted judgment is to guarantee the patient’s life project and to find the least restrictive option.</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In substituted judgment, the surrogate decision maker should ponder what decisions a “reasonable person” would make in that specific situation after receiving objective information. The surrogate must also consider the decisions the patient lacking capacity would have made if they still had capacity, prioritizing the patient’s wishes, values, and beliefs. Although substituted judgment is an extraordinary criterion for decision-making, five main problems with its use have been reported</w:t>
      </w:r>
      <w:r w:rsidR="005C51AA" w:rsidRPr="00637187">
        <w:rPr>
          <w:rStyle w:val="EndnoteReference"/>
          <w:rFonts w:ascii="Times New Roman" w:hAnsi="Times New Roman" w:cs="Times New Roman"/>
          <w:sz w:val="24"/>
          <w:szCs w:val="24"/>
          <w:lang w:val="en-GB"/>
        </w:rPr>
        <w:endnoteReference w:id="16"/>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7"/>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8"/>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9"/>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20"/>
      </w:r>
      <w:r w:rsidRPr="00637187">
        <w:rPr>
          <w:rFonts w:ascii="Times New Roman" w:hAnsi="Times New Roman" w:cs="Times New Roman"/>
          <w:sz w:val="24"/>
          <w:szCs w:val="24"/>
          <w:lang w:val="en-GB"/>
        </w:rPr>
        <w:t>:</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Substituted judgment is strongly based on the views of the surrogate making the decisions, rather than on the values of the patient.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It does not preserve the autonomy of the patient on whose behalf decisions are being made.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In some cases, substituted judgment has been used inappropriately: for example, in cases where the patient has never been autonomous and, therefore, has never had values and preferences for the surrogate to use for decision-making.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It is extraordinarily difficult to determine the preferences, values, and wishes of a patient. It is also important to realize that wishes and preferences are constantly changing, with a considerable number of individuals changing their own wishes regarding treatment options over time.</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Several studies have reported that surrogates incorrectly predict the preferences and values of patients.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serious limitations of substituted judgment mentioned above</w:t>
      </w:r>
      <w:r w:rsidRPr="00637187" w:rsidDel="00CF7AF2">
        <w:rPr>
          <w:rFonts w:ascii="Times New Roman" w:hAnsi="Times New Roman" w:cs="Times New Roman"/>
          <w:sz w:val="24"/>
          <w:szCs w:val="24"/>
          <w:lang w:val="en-GB"/>
        </w:rPr>
        <w:t xml:space="preserve"> </w:t>
      </w:r>
      <w:r w:rsidRPr="00637187">
        <w:rPr>
          <w:rFonts w:ascii="Times New Roman" w:hAnsi="Times New Roman" w:cs="Times New Roman"/>
          <w:sz w:val="24"/>
          <w:szCs w:val="24"/>
          <w:lang w:val="en-GB"/>
        </w:rPr>
        <w:t xml:space="preserve">could be more pronounced in patients with eating disorders. For instance, it is difficult to determine </w:t>
      </w:r>
      <w:r w:rsidRPr="00637187">
        <w:rPr>
          <w:rFonts w:ascii="Times New Roman" w:hAnsi="Times New Roman" w:cs="Times New Roman"/>
          <w:sz w:val="24"/>
          <w:szCs w:val="24"/>
          <w:lang w:val="en-GB"/>
        </w:rPr>
        <w:lastRenderedPageBreak/>
        <w:t xml:space="preserve">whether refusing treatment is the result of an “authentic decision” or due to the symptomatology of the disorder. Personal identity issues may also affect the way surrogates consider the “previous” wishes and preferences of the patient or values detected “in the course of pathology”. Hence, when health professionals reject a decision made by a patient with anorexia, they are discrediting the personality and identity of the patient because they do not share and accept such beliefs and preferences.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Furthermore, in substituted judgment, a “reasonable person” is unlikely to have the same or similar beliefs and values as a person with an eating disorder, given that a person with anorexia most probably has distorted appreciation and “pathological values”. Other challenges have been discussed in the literature. For example, Shalowitz et al.</w:t>
      </w:r>
      <w:r w:rsidR="005C51AA" w:rsidRPr="00637187">
        <w:rPr>
          <w:rFonts w:ascii="Times New Roman" w:hAnsi="Times New Roman" w:cs="Times New Roman"/>
          <w:sz w:val="24"/>
          <w:szCs w:val="24"/>
          <w:vertAlign w:val="superscript"/>
          <w:lang w:val="en-GB"/>
        </w:rPr>
        <w:t>20</w:t>
      </w:r>
      <w:r w:rsidRPr="00637187">
        <w:rPr>
          <w:rFonts w:ascii="Times New Roman" w:hAnsi="Times New Roman" w:cs="Times New Roman"/>
          <w:sz w:val="24"/>
          <w:szCs w:val="24"/>
          <w:lang w:val="en-GB"/>
        </w:rPr>
        <w:t xml:space="preserve"> showed that when making decisions for incapacitated patients regarding end of life treatment, surrogates predicted the patients’ treatment preferences with 68% accuracy, indicating that they incorrectly predicted and made poor decisions in a third of the cases – a substantial proportion.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Overall, then, substituted judgment may be an important criterion, but it faces serious obstacles when applied to patients with eating disorders, as it is difficult to protect vulnerable patients without capacity. Consequently, other approaches such as “the best interest principle” should be explored. The best interest principle consists of excluding patients from decision making in order to maximize benefits and reduce harm to patients lacking capacity. Buchanan and Brock</w:t>
      </w:r>
      <w:r w:rsidR="005C51AA" w:rsidRPr="00637187">
        <w:rPr>
          <w:rFonts w:ascii="Times New Roman" w:hAnsi="Times New Roman" w:cs="Times New Roman"/>
          <w:sz w:val="24"/>
          <w:szCs w:val="24"/>
          <w:vertAlign w:val="superscript"/>
          <w:lang w:val="en-GB"/>
        </w:rPr>
        <w:t xml:space="preserve"> 13, p. 128</w:t>
      </w:r>
      <w:r w:rsidRPr="00637187">
        <w:rPr>
          <w:rFonts w:ascii="Times New Roman" w:hAnsi="Times New Roman" w:cs="Times New Roman"/>
          <w:sz w:val="24"/>
          <w:szCs w:val="24"/>
          <w:lang w:val="en-GB"/>
        </w:rPr>
        <w:t xml:space="preserve"> stated that  </w:t>
      </w:r>
    </w:p>
    <w:p w:rsidR="00C8194C" w:rsidRPr="00637187" w:rsidRDefault="00C8194C" w:rsidP="0051413D">
      <w:pPr>
        <w:autoSpaceDE w:val="0"/>
        <w:autoSpaceDN w:val="0"/>
        <w:adjustRightInd w:val="0"/>
        <w:spacing w:after="0" w:line="480" w:lineRule="auto"/>
        <w:ind w:left="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“the best interest principle, however, is a principle that expresses a </w:t>
      </w:r>
      <w:r w:rsidRPr="00637187">
        <w:rPr>
          <w:rFonts w:ascii="Times New Roman" w:hAnsi="Times New Roman" w:cs="Times New Roman"/>
          <w:i/>
          <w:sz w:val="24"/>
          <w:szCs w:val="24"/>
          <w:lang w:val="en-GB"/>
        </w:rPr>
        <w:t>positive obligation</w:t>
      </w:r>
      <w:r w:rsidRPr="00637187">
        <w:rPr>
          <w:rFonts w:ascii="Times New Roman" w:hAnsi="Times New Roman" w:cs="Times New Roman"/>
          <w:sz w:val="24"/>
          <w:szCs w:val="24"/>
          <w:lang w:val="en-GB"/>
        </w:rPr>
        <w:t>, a duty to do what best promotes someone’s interest or is most conducive to his or her good”.</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ab/>
        <w:t xml:space="preserve">However, this approach is justified only when the patient has never had capacity or when it is practically impossible to define his or her wishes and values. Examples include people in a long-term coma who have never provided serious and consistent arguments, or situations in which health professionals do not know the patient’s degree of autonomy and no relatives are available to provide this information.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Although this approach may be a good strategy for making decisions on behalf of patients who cannot decide, several studies have raised doubts about its validity. For example, Kopelman</w:t>
      </w:r>
      <w:r w:rsidR="005C51AA" w:rsidRPr="00637187">
        <w:rPr>
          <w:rStyle w:val="EndnoteReference"/>
          <w:rFonts w:ascii="Times New Roman" w:hAnsi="Times New Roman" w:cs="Times New Roman"/>
          <w:sz w:val="24"/>
          <w:szCs w:val="24"/>
          <w:lang w:val="en-GB"/>
        </w:rPr>
        <w:endnoteReference w:id="21"/>
      </w:r>
      <w:r w:rsidR="005C51AA" w:rsidRPr="00637187">
        <w:rPr>
          <w:rFonts w:ascii="Times New Roman" w:hAnsi="Times New Roman" w:cs="Times New Roman"/>
          <w:sz w:val="24"/>
          <w:szCs w:val="24"/>
          <w:lang w:val="en-GB"/>
        </w:rPr>
        <w:t xml:space="preserve"> </w:t>
      </w:r>
      <w:r w:rsidR="005C51AA" w:rsidRPr="00637187">
        <w:rPr>
          <w:rFonts w:ascii="Times New Roman" w:hAnsi="Times New Roman" w:cs="Times New Roman"/>
          <w:sz w:val="24"/>
          <w:szCs w:val="24"/>
          <w:vertAlign w:val="superscript"/>
          <w:lang w:val="en-GB"/>
        </w:rPr>
        <w:t>p.282-287</w:t>
      </w:r>
      <w:r w:rsidRPr="00637187">
        <w:rPr>
          <w:rFonts w:ascii="Times New Roman" w:hAnsi="Times New Roman" w:cs="Times New Roman"/>
          <w:sz w:val="24"/>
          <w:szCs w:val="24"/>
          <w:lang w:val="en-GB"/>
        </w:rPr>
        <w:t xml:space="preserve"> considered it to be </w:t>
      </w:r>
      <w:r w:rsidRPr="00637187">
        <w:rPr>
          <w:rFonts w:ascii="Times New Roman" w:hAnsi="Times New Roman" w:cs="Times New Roman"/>
          <w:i/>
          <w:sz w:val="24"/>
          <w:szCs w:val="24"/>
          <w:lang w:val="en-GB"/>
        </w:rPr>
        <w:t>self-defeating</w:t>
      </w:r>
      <w:r w:rsidRPr="00637187">
        <w:rPr>
          <w:rFonts w:ascii="Times New Roman" w:hAnsi="Times New Roman" w:cs="Times New Roman"/>
          <w:sz w:val="24"/>
          <w:szCs w:val="24"/>
          <w:lang w:val="en-GB"/>
        </w:rPr>
        <w:t xml:space="preserve"> (it requires surrogates to do their absolute best for each patient), </w:t>
      </w:r>
      <w:r w:rsidRPr="00637187">
        <w:rPr>
          <w:rFonts w:ascii="Times New Roman" w:hAnsi="Times New Roman" w:cs="Times New Roman"/>
          <w:i/>
          <w:sz w:val="24"/>
          <w:szCs w:val="24"/>
          <w:lang w:val="en-GB"/>
        </w:rPr>
        <w:t>too individualistic</w:t>
      </w:r>
      <w:r w:rsidRPr="00637187">
        <w:rPr>
          <w:rFonts w:ascii="Times New Roman" w:hAnsi="Times New Roman" w:cs="Times New Roman"/>
          <w:sz w:val="24"/>
          <w:szCs w:val="24"/>
          <w:lang w:val="en-GB"/>
        </w:rPr>
        <w:t xml:space="preserve"> (it stipulates that surrogates should consider only one person's interest), </w:t>
      </w:r>
      <w:r w:rsidRPr="00637187">
        <w:rPr>
          <w:rFonts w:ascii="Times New Roman" w:hAnsi="Times New Roman" w:cs="Times New Roman"/>
          <w:i/>
          <w:sz w:val="24"/>
          <w:szCs w:val="24"/>
          <w:lang w:val="en-GB"/>
        </w:rPr>
        <w:t>unknowable</w:t>
      </w:r>
      <w:r w:rsidRPr="00637187">
        <w:rPr>
          <w:rFonts w:ascii="Times New Roman" w:hAnsi="Times New Roman" w:cs="Times New Roman"/>
          <w:sz w:val="24"/>
          <w:szCs w:val="24"/>
          <w:lang w:val="en-GB"/>
        </w:rPr>
        <w:t xml:space="preserve"> (it supposes that surrogates can always agree about what is best, deliberate all the options, calculate all their benefits and harms, and pick the alternative that maximizes benefits and minimizes harm, all of which is impossible), </w:t>
      </w:r>
      <w:r w:rsidRPr="00637187">
        <w:rPr>
          <w:rFonts w:ascii="Times New Roman" w:hAnsi="Times New Roman" w:cs="Times New Roman"/>
          <w:i/>
          <w:sz w:val="24"/>
          <w:szCs w:val="24"/>
          <w:lang w:val="en-GB"/>
        </w:rPr>
        <w:t xml:space="preserve">vague </w:t>
      </w:r>
      <w:r w:rsidRPr="00637187">
        <w:rPr>
          <w:rFonts w:ascii="Times New Roman" w:hAnsi="Times New Roman" w:cs="Times New Roman"/>
          <w:sz w:val="24"/>
          <w:szCs w:val="24"/>
          <w:lang w:val="en-GB"/>
        </w:rPr>
        <w:t xml:space="preserve">(due to the fact that sometimes it is unclear what values should be used to judge what is best), </w:t>
      </w:r>
      <w:r w:rsidRPr="00637187">
        <w:rPr>
          <w:rFonts w:ascii="Times New Roman" w:hAnsi="Times New Roman" w:cs="Times New Roman"/>
          <w:i/>
          <w:sz w:val="24"/>
          <w:szCs w:val="24"/>
          <w:lang w:val="en-GB"/>
        </w:rPr>
        <w:t>dangerous</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 xml:space="preserve">open to abuse </w:t>
      </w:r>
      <w:r w:rsidRPr="00637187">
        <w:rPr>
          <w:rFonts w:ascii="Times New Roman" w:hAnsi="Times New Roman" w:cs="Times New Roman"/>
          <w:sz w:val="24"/>
          <w:szCs w:val="24"/>
          <w:lang w:val="en-GB"/>
        </w:rPr>
        <w:t xml:space="preserve">(it is too easily misused).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When applying the best interest principle to patients with eating disorders, healthcare professionals can decide to administer involuntary treatments to protect the patient, especially at severe stages of the disorder</w:t>
      </w:r>
      <w:r w:rsidR="005C51AA" w:rsidRPr="00637187">
        <w:rPr>
          <w:rStyle w:val="EndnoteReference"/>
          <w:rFonts w:ascii="Times New Roman" w:hAnsi="Times New Roman" w:cs="Times New Roman"/>
          <w:sz w:val="24"/>
          <w:szCs w:val="24"/>
          <w:lang w:val="en-GB"/>
        </w:rPr>
        <w:endnoteReference w:id="22"/>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23"/>
      </w:r>
      <w:r w:rsidRPr="00637187">
        <w:rPr>
          <w:rFonts w:ascii="Times New Roman" w:hAnsi="Times New Roman" w:cs="Times New Roman"/>
          <w:sz w:val="24"/>
          <w:szCs w:val="24"/>
          <w:lang w:val="en-GB"/>
        </w:rPr>
        <w:t>. Tan et al.</w:t>
      </w:r>
      <w:r w:rsidR="005C51AA" w:rsidRPr="00637187">
        <w:rPr>
          <w:rStyle w:val="EndnoteReference"/>
          <w:rFonts w:ascii="Times New Roman" w:hAnsi="Times New Roman" w:cs="Times New Roman"/>
          <w:sz w:val="24"/>
          <w:szCs w:val="24"/>
          <w:lang w:val="en-GB"/>
        </w:rPr>
        <w:endnoteReference w:id="24"/>
      </w:r>
      <w:r w:rsidRPr="00637187">
        <w:rPr>
          <w:rFonts w:ascii="Times New Roman" w:hAnsi="Times New Roman" w:cs="Times New Roman"/>
          <w:sz w:val="24"/>
          <w:szCs w:val="24"/>
          <w:lang w:val="en-GB"/>
        </w:rPr>
        <w:t xml:space="preserve"> reported that some patients and their families thought that compulsory treatment was justified if, and only if, the patient’s life was in danger. The application of treatment should be identified in terms of protecting the patient’s best interests. However, such a justification may in fact be a paternalistic decision. In some cases, in their duty to protect patients with anorexia, healthcare professionals might conclude that patients are not capable of making decisions due to their distorted values and beliefs. This is linked to the problems of assessing capacity; since there are no clear and concise criteria for this evaluation, it is inevitably subjective rather than objective and may therefore lead to paternalistic decisions.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Moreover, it is assumed that patients with eating disorders do not provide a serious argument because they have different motivations (pathological values) that are not shared by most people. However, by this logic, it could be argued that people with religious beliefs do not have capacity because these beliefs “are not shared by most people”. Therefore, this assumption is wrong. To summarize, there is no clear justification for applying the best interest principle to patients with anorexia nervosa. It is not evident that patients with eating disorders lack capacity, and the use of pathological values to determine whether a person lacks capacity or not is controversial. Hence, strong justifications are required to apply this principle.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Conclusion</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In this article we have discussed the considerable challenges linked to decision-making in patients with anorexia. When health professionals doubt whether or not a patient should decide for themselves, they frequently assess their capacity. However, there are serious difficulties in determining when a patient with an eating disorder lacks capacity. There is not enough information in the literature to determine when patients with eating disorders have sufficient skills to decide responsibly, although some studies indicate that, in general, such patients have considerable difficulties in deciding about their treatment. Even formal evaluations with Mac-CAT indicate that patients with anorexia score correctly in some areas, but not in appreciation. Moreover, the assessment of capacity excludes values and beliefs and may lead to significant ethical and methodological errors.</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Personal identity might influence decision-making. While it might be reasonable to assume that values and preferences play a key role in decision-making, there is currently no evidence on what types of values and motivations healthcare professionals should consider relevant when dealing with patients refusing treatment. There is also the </w:t>
      </w:r>
      <w:r w:rsidRPr="00637187">
        <w:rPr>
          <w:rFonts w:ascii="Times New Roman" w:hAnsi="Times New Roman" w:cs="Times New Roman"/>
          <w:sz w:val="24"/>
          <w:szCs w:val="24"/>
          <w:lang w:val="en-GB"/>
        </w:rPr>
        <w:lastRenderedPageBreak/>
        <w:t xml:space="preserve">dilemma of introducing and prioritizing the patient’s “previous” or “current” values and desires.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Decision-making styles include </w:t>
      </w:r>
      <w:r w:rsidRPr="00637187">
        <w:rPr>
          <w:rFonts w:ascii="Times New Roman" w:hAnsi="Times New Roman" w:cs="Times New Roman"/>
          <w:i/>
          <w:sz w:val="24"/>
          <w:szCs w:val="24"/>
          <w:lang w:val="en-GB"/>
        </w:rPr>
        <w:t>the subjective criterion</w:t>
      </w:r>
      <w:r w:rsidRPr="00637187">
        <w:rPr>
          <w:rFonts w:ascii="Times New Roman" w:hAnsi="Times New Roman" w:cs="Times New Roman"/>
          <w:sz w:val="24"/>
          <w:szCs w:val="24"/>
          <w:lang w:val="en-GB"/>
        </w:rPr>
        <w:t>,</w:t>
      </w:r>
      <w:r w:rsidRPr="00637187">
        <w:rPr>
          <w:rFonts w:ascii="Times New Roman" w:hAnsi="Times New Roman" w:cs="Times New Roman"/>
          <w:i/>
          <w:sz w:val="24"/>
          <w:szCs w:val="24"/>
          <w:lang w:val="en-GB"/>
        </w:rPr>
        <w:t xml:space="preserve"> substituted judgment</w:t>
      </w:r>
      <w:r w:rsidRPr="00637187">
        <w:rPr>
          <w:rFonts w:ascii="Times New Roman" w:hAnsi="Times New Roman" w:cs="Times New Roman"/>
          <w:sz w:val="24"/>
          <w:szCs w:val="24"/>
          <w:lang w:val="en-GB"/>
        </w:rPr>
        <w:t>, and</w:t>
      </w:r>
      <w:r w:rsidRPr="00637187">
        <w:rPr>
          <w:rFonts w:ascii="Times New Roman" w:hAnsi="Times New Roman" w:cs="Times New Roman"/>
          <w:i/>
          <w:sz w:val="24"/>
          <w:szCs w:val="24"/>
          <w:lang w:val="en-GB"/>
        </w:rPr>
        <w:t xml:space="preserve"> the best interest principle</w:t>
      </w:r>
      <w:r w:rsidRPr="00637187">
        <w:rPr>
          <w:rFonts w:ascii="Times New Roman" w:hAnsi="Times New Roman" w:cs="Times New Roman"/>
          <w:sz w:val="24"/>
          <w:szCs w:val="24"/>
          <w:lang w:val="en-GB"/>
        </w:rPr>
        <w:t xml:space="preserve">. However, each approach has serious drawbacks and, therefore, the final decision should be the result of a collective deliberation about the pros and cons of each one in a particular situation.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In general, the question of whether patients with anorexia nervosa should decide for themselves should not be resolved </w:t>
      </w:r>
      <w:r w:rsidRPr="00637187">
        <w:rPr>
          <w:rFonts w:ascii="Times New Roman" w:hAnsi="Times New Roman" w:cs="Times New Roman"/>
          <w:i/>
          <w:sz w:val="24"/>
          <w:szCs w:val="24"/>
          <w:lang w:val="en-GB"/>
        </w:rPr>
        <w:t>a priori</w:t>
      </w:r>
      <w:r w:rsidRPr="00637187">
        <w:rPr>
          <w:rFonts w:ascii="Times New Roman" w:hAnsi="Times New Roman" w:cs="Times New Roman"/>
          <w:sz w:val="24"/>
          <w:szCs w:val="24"/>
          <w:lang w:val="en-GB"/>
        </w:rPr>
        <w:t xml:space="preserve">, perhaps due to the ethical reasons involved. The specific decision, the particular context, a rigorous evaluation of cognitive factors, and the patient’s values and desires should all be taken into consideration. Systematic acceptability of patients’ autonomy has been described as an ethical and clinical mistake, but it would also be wrong systematically disregard patients’ decisions merely because they have a mental disorder. Patients should be listened to carefully, and health professionals should always attempt to respect and protect them.  </w:t>
      </w:r>
    </w:p>
    <w:p w:rsidR="006B7FBB" w:rsidRPr="00637187" w:rsidRDefault="006B7FBB" w:rsidP="0051413D">
      <w:pPr>
        <w:spacing w:line="480" w:lineRule="auto"/>
        <w:rPr>
          <w:rFonts w:ascii="Times New Roman" w:hAnsi="Times New Roman" w:cs="Times New Roman"/>
          <w:sz w:val="24"/>
          <w:szCs w:val="24"/>
          <w:lang w:val="en-US"/>
        </w:rPr>
      </w:pPr>
    </w:p>
    <w:sectPr w:rsidR="006B7FBB" w:rsidRPr="00637187" w:rsidSect="0088279E">
      <w:footerReference w:type="default" r:id="rId11"/>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CD" w:rsidRDefault="004E5CCD">
      <w:pPr>
        <w:spacing w:after="0" w:line="240" w:lineRule="auto"/>
      </w:pPr>
      <w:r>
        <w:separator/>
      </w:r>
    </w:p>
  </w:endnote>
  <w:endnote w:type="continuationSeparator" w:id="0">
    <w:p w:rsidR="004E5CCD" w:rsidRDefault="004E5CCD">
      <w:pPr>
        <w:spacing w:after="0" w:line="240" w:lineRule="auto"/>
      </w:pPr>
      <w:r>
        <w:continuationSeparator/>
      </w:r>
    </w:p>
  </w:endnote>
  <w:endnote w:id="1">
    <w:p w:rsidR="00C77F2A" w:rsidRPr="00C77F2A" w:rsidRDefault="00C77F2A" w:rsidP="0051413D">
      <w:pPr>
        <w:autoSpaceDE w:val="0"/>
        <w:autoSpaceDN w:val="0"/>
        <w:adjustRightInd w:val="0"/>
        <w:spacing w:after="0" w:line="480" w:lineRule="auto"/>
        <w:jc w:val="both"/>
        <w:rPr>
          <w:rFonts w:ascii="Times New Roman" w:hAnsi="Times New Roman" w:cs="Times New Roman"/>
          <w:b/>
          <w:lang w:val="en-US"/>
        </w:rPr>
      </w:pPr>
      <w:r w:rsidRPr="00C77F2A">
        <w:rPr>
          <w:rFonts w:ascii="Times New Roman" w:hAnsi="Times New Roman" w:cs="Times New Roman"/>
          <w:b/>
          <w:lang w:val="en-US"/>
        </w:rPr>
        <w:t>Reference list</w:t>
      </w:r>
    </w:p>
    <w:p w:rsidR="005431EE" w:rsidRPr="00C77F2A" w:rsidRDefault="005431EE"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Appelbaum P. Assessment of patients’ competence to consent to treatment. N Engl J Med</w:t>
      </w:r>
      <w:r w:rsidR="005C29D3" w:rsidRPr="00C77F2A">
        <w:rPr>
          <w:rFonts w:ascii="Times New Roman" w:hAnsi="Times New Roman" w:cs="Times New Roman"/>
          <w:lang w:val="en-US"/>
        </w:rPr>
        <w:t>. 2007;</w:t>
      </w:r>
      <w:r w:rsidRPr="00C77F2A">
        <w:rPr>
          <w:rFonts w:ascii="Times New Roman" w:hAnsi="Times New Roman" w:cs="Times New Roman"/>
          <w:lang w:val="en-US"/>
        </w:rPr>
        <w:t xml:space="preserve">357:1834-40. </w:t>
      </w:r>
    </w:p>
  </w:endnote>
  <w:endnote w:id="2">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Grisso T., and Appelbaum P. The MacArthur treatment competence study. III: Abilities of patients to consent to psychiatric and medical treatments. Law and Human Behavior</w:t>
      </w:r>
      <w:r w:rsidR="005C29D3" w:rsidRPr="00C77F2A">
        <w:rPr>
          <w:rFonts w:ascii="Times New Roman" w:hAnsi="Times New Roman" w:cs="Times New Roman"/>
          <w:sz w:val="22"/>
          <w:szCs w:val="22"/>
          <w:lang w:val="en-US"/>
        </w:rPr>
        <w:t>. 1995;</w:t>
      </w:r>
      <w:r w:rsidRPr="00C77F2A">
        <w:rPr>
          <w:rFonts w:ascii="Times New Roman" w:hAnsi="Times New Roman" w:cs="Times New Roman"/>
          <w:sz w:val="22"/>
          <w:szCs w:val="22"/>
          <w:lang w:val="en-US"/>
        </w:rPr>
        <w:t>19(2):149–174.</w:t>
      </w:r>
    </w:p>
  </w:endnote>
  <w:endnote w:id="3">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Okai D., Owen G., McGuire H, et al. Mental Capacity in Psychiatric Patients: Systematic Review. British J Psychiatry</w:t>
      </w:r>
      <w:r w:rsidR="005C29D3" w:rsidRPr="00C77F2A">
        <w:rPr>
          <w:rFonts w:ascii="Times New Roman" w:hAnsi="Times New Roman" w:cs="Times New Roman"/>
          <w:sz w:val="22"/>
          <w:szCs w:val="22"/>
          <w:lang w:val="en-US"/>
        </w:rPr>
        <w:t>. 2007;</w:t>
      </w:r>
      <w:r w:rsidRPr="00C77F2A">
        <w:rPr>
          <w:rFonts w:ascii="Times New Roman" w:hAnsi="Times New Roman" w:cs="Times New Roman"/>
          <w:sz w:val="22"/>
          <w:szCs w:val="22"/>
          <w:lang w:val="en-US"/>
        </w:rPr>
        <w:t>191:291–7.</w:t>
      </w:r>
    </w:p>
  </w:endnote>
  <w:endnote w:id="4">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Owen G., Szmukler G., Richardson G., et al. Decision-making capacity for treatment in psychiatric and medical in-patients: crosssectional, comparative study. Br J Psychiatry</w:t>
      </w:r>
      <w:r w:rsidR="005C29D3" w:rsidRPr="00C77F2A">
        <w:rPr>
          <w:rFonts w:ascii="Times New Roman" w:hAnsi="Times New Roman" w:cs="Times New Roman"/>
          <w:sz w:val="22"/>
          <w:szCs w:val="22"/>
          <w:lang w:val="en-US"/>
        </w:rPr>
        <w:t>. 2013;</w:t>
      </w:r>
      <w:r w:rsidRPr="00C77F2A">
        <w:rPr>
          <w:rFonts w:ascii="Times New Roman" w:hAnsi="Times New Roman" w:cs="Times New Roman"/>
          <w:sz w:val="22"/>
          <w:szCs w:val="22"/>
          <w:lang w:val="en-US"/>
        </w:rPr>
        <w:t>203(6):461–7.</w:t>
      </w:r>
    </w:p>
  </w:endnote>
  <w:endnote w:id="5">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Guillaume S., Gorwood P., Jollant F, Van den Eynde F., et al. Impaired decision-making in symptomatic anorexia and bulimia nervosa patients: a meta-analysis. Psychological Medicine</w:t>
      </w:r>
      <w:r w:rsidR="005C29D3" w:rsidRPr="00C77F2A">
        <w:rPr>
          <w:rFonts w:ascii="Times New Roman" w:hAnsi="Times New Roman" w:cs="Times New Roman"/>
          <w:sz w:val="22"/>
          <w:szCs w:val="22"/>
          <w:lang w:val="en-US"/>
        </w:rPr>
        <w:t>. 2015;</w:t>
      </w:r>
      <w:r w:rsidRPr="00C77F2A">
        <w:rPr>
          <w:rFonts w:ascii="Times New Roman" w:hAnsi="Times New Roman" w:cs="Times New Roman"/>
          <w:sz w:val="22"/>
          <w:szCs w:val="22"/>
          <w:lang w:val="en-US"/>
        </w:rPr>
        <w:t>45:3377–3391.</w:t>
      </w:r>
    </w:p>
  </w:endnote>
  <w:endnote w:id="6">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and Stewart A. Competence to refuse treatment in anorexia nervosa. International Journal of Law and Psychiatry</w:t>
      </w:r>
      <w:r w:rsidR="005C29D3" w:rsidRPr="00C77F2A">
        <w:rPr>
          <w:rFonts w:ascii="Times New Roman" w:hAnsi="Times New Roman" w:cs="Times New Roman"/>
          <w:sz w:val="22"/>
          <w:szCs w:val="22"/>
          <w:lang w:val="en-US"/>
        </w:rPr>
        <w:t>. 2003;</w:t>
      </w:r>
      <w:r w:rsidRPr="00C77F2A">
        <w:rPr>
          <w:rFonts w:ascii="Times New Roman" w:hAnsi="Times New Roman" w:cs="Times New Roman"/>
          <w:sz w:val="22"/>
          <w:szCs w:val="22"/>
          <w:lang w:val="en-US"/>
        </w:rPr>
        <w:t>26:697- 707.</w:t>
      </w:r>
    </w:p>
  </w:endnote>
  <w:endnote w:id="7">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Stewart A., Fitzpatrick R., and Hope T. Competence to Make treatment decisions in anorexia nervosa: thinking processes and values. Philosophy, Psychiatry &amp; Psychology</w:t>
      </w:r>
      <w:r w:rsidR="005C29D3" w:rsidRPr="00C77F2A">
        <w:rPr>
          <w:rFonts w:ascii="Times New Roman" w:hAnsi="Times New Roman" w:cs="Times New Roman"/>
          <w:sz w:val="22"/>
          <w:szCs w:val="22"/>
          <w:lang w:val="en-US"/>
        </w:rPr>
        <w:t>. 2006;</w:t>
      </w:r>
      <w:r w:rsidRPr="00C77F2A">
        <w:rPr>
          <w:rFonts w:ascii="Times New Roman" w:hAnsi="Times New Roman" w:cs="Times New Roman"/>
          <w:sz w:val="22"/>
          <w:szCs w:val="22"/>
          <w:lang w:val="en-US"/>
        </w:rPr>
        <w:t>13(4):267– 282.</w:t>
      </w:r>
    </w:p>
  </w:endnote>
  <w:endnote w:id="8">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Vollmann J. "But I Don't Feel It": Values and Emotions in the Assessment of Competence in Patients With Anorexia Nervosa. Philosophy, Psychiatry &amp; Psychology</w:t>
      </w:r>
      <w:r w:rsidR="005C29D3" w:rsidRPr="00C77F2A">
        <w:rPr>
          <w:rFonts w:ascii="Times New Roman" w:hAnsi="Times New Roman" w:cs="Times New Roman"/>
          <w:sz w:val="22"/>
          <w:szCs w:val="22"/>
          <w:lang w:val="en-US"/>
        </w:rPr>
        <w:t>. 2006;</w:t>
      </w:r>
      <w:r w:rsidRPr="00C77F2A">
        <w:rPr>
          <w:rFonts w:ascii="Times New Roman" w:hAnsi="Times New Roman" w:cs="Times New Roman"/>
          <w:sz w:val="22"/>
          <w:szCs w:val="22"/>
          <w:lang w:val="en-US"/>
        </w:rPr>
        <w:t>13(4):289-291</w:t>
      </w:r>
    </w:p>
  </w:endnote>
  <w:endnote w:id="9">
    <w:p w:rsidR="005431EE" w:rsidRPr="00C77F2A" w:rsidRDefault="005431EE"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Grisso T., and Appelbaum P. Appreciating anorexia: Decisional capacity and the role of values. Philosophy, Psychiatry, and Psychology</w:t>
      </w:r>
      <w:r w:rsidR="005C29D3" w:rsidRPr="00C77F2A">
        <w:rPr>
          <w:rFonts w:ascii="Times New Roman" w:hAnsi="Times New Roman" w:cs="Times New Roman"/>
          <w:sz w:val="22"/>
          <w:szCs w:val="22"/>
          <w:lang w:val="en-US"/>
        </w:rPr>
        <w:t>. 2006;</w:t>
      </w:r>
      <w:r w:rsidRPr="00C77F2A">
        <w:rPr>
          <w:rFonts w:ascii="Times New Roman" w:hAnsi="Times New Roman" w:cs="Times New Roman"/>
          <w:sz w:val="22"/>
          <w:szCs w:val="22"/>
          <w:lang w:val="en-US"/>
        </w:rPr>
        <w:t>13:293-297.</w:t>
      </w:r>
    </w:p>
  </w:endnote>
  <w:endnote w:id="10">
    <w:p w:rsidR="00792048" w:rsidRPr="00C77F2A" w:rsidRDefault="0079204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Breden TM, and Vollmann J. The cognitive based approach of capacity assessment in psychiatry: a philosophical critique of the MacCAT-T. Health Care Anal</w:t>
      </w:r>
      <w:r w:rsidR="005C29D3" w:rsidRPr="00C77F2A">
        <w:rPr>
          <w:rFonts w:ascii="Times New Roman" w:hAnsi="Times New Roman" w:cs="Times New Roman"/>
          <w:lang w:val="en-US"/>
        </w:rPr>
        <w:t>. 2004;</w:t>
      </w:r>
      <w:r w:rsidRPr="00C77F2A">
        <w:rPr>
          <w:rFonts w:ascii="Times New Roman" w:hAnsi="Times New Roman" w:cs="Times New Roman"/>
          <w:lang w:val="en-US"/>
        </w:rPr>
        <w:t xml:space="preserve">12(4):273-83. </w:t>
      </w:r>
    </w:p>
  </w:endnote>
  <w:endnote w:id="11">
    <w:p w:rsidR="00792048" w:rsidRPr="00C77F2A" w:rsidRDefault="0079204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Szmukler G. The UN Convention on the Rights of Persons with Disabilities: ‘Rights, will and preferences’ in relation to mental health disabilities. International Journal of Law and Psychiatry</w:t>
      </w:r>
      <w:r w:rsidR="005C29D3" w:rsidRPr="00C77F2A">
        <w:rPr>
          <w:rFonts w:ascii="Times New Roman" w:hAnsi="Times New Roman" w:cs="Times New Roman"/>
          <w:lang w:val="en-US"/>
        </w:rPr>
        <w:t>. 2017;</w:t>
      </w:r>
      <w:r w:rsidRPr="00C77F2A">
        <w:rPr>
          <w:rFonts w:ascii="Times New Roman" w:hAnsi="Times New Roman" w:cs="Times New Roman"/>
          <w:lang w:val="en-US"/>
        </w:rPr>
        <w:t>54:90–97.</w:t>
      </w:r>
    </w:p>
  </w:endnote>
  <w:endnote w:id="12">
    <w:p w:rsidR="00EE6F7C" w:rsidRPr="00C77F2A" w:rsidRDefault="00EE6F7C"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Craigie J. Competence, practical rationality and what a patient values. Bioethics</w:t>
      </w:r>
      <w:r w:rsidR="005C29D3" w:rsidRPr="00C77F2A">
        <w:rPr>
          <w:rFonts w:ascii="Times New Roman" w:hAnsi="Times New Roman" w:cs="Times New Roman"/>
          <w:lang w:val="en-US"/>
        </w:rPr>
        <w:t>. 2011;</w:t>
      </w:r>
      <w:r w:rsidRPr="00C77F2A">
        <w:rPr>
          <w:rFonts w:ascii="Times New Roman" w:hAnsi="Times New Roman" w:cs="Times New Roman"/>
          <w:lang w:val="en-US"/>
        </w:rPr>
        <w:t xml:space="preserve">25(6):326–333. </w:t>
      </w:r>
    </w:p>
  </w:endnote>
  <w:endnote w:id="13">
    <w:p w:rsidR="00EE6F7C" w:rsidRPr="00C77F2A" w:rsidRDefault="00EE6F7C"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Buchanan A, and Brock D. Deciding for Others. The Ethics of Surrogate Decision Making. Cambridge: Cambridge University Press</w:t>
      </w:r>
      <w:r w:rsidR="005C29D3" w:rsidRPr="00C77F2A">
        <w:rPr>
          <w:rFonts w:ascii="Times New Roman" w:hAnsi="Times New Roman" w:cs="Times New Roman"/>
          <w:lang w:val="en-US"/>
        </w:rPr>
        <w:t>; 1989.</w:t>
      </w:r>
    </w:p>
  </w:endnote>
  <w:endnote w:id="14">
    <w:p w:rsidR="00EE6F7C" w:rsidRPr="00C77F2A" w:rsidRDefault="00EE6F7C"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Tan J., Hope T., and Stewart A. Anorexia nervosa and personal identity: The accounts of patients and their parents. International Journal of Law and Psychiatry</w:t>
      </w:r>
      <w:r w:rsidR="005C29D3" w:rsidRPr="00C77F2A">
        <w:rPr>
          <w:rFonts w:ascii="Times New Roman" w:hAnsi="Times New Roman" w:cs="Times New Roman"/>
          <w:lang w:val="en-US"/>
        </w:rPr>
        <w:t>. 2003;</w:t>
      </w:r>
      <w:r w:rsidRPr="00C77F2A">
        <w:rPr>
          <w:rFonts w:ascii="Times New Roman" w:hAnsi="Times New Roman" w:cs="Times New Roman"/>
          <w:lang w:val="en-US"/>
        </w:rPr>
        <w:t xml:space="preserve">26:533–548. </w:t>
      </w:r>
    </w:p>
  </w:endnote>
  <w:endnote w:id="15">
    <w:p w:rsidR="00EE6F7C" w:rsidRPr="00C77F2A" w:rsidRDefault="00EE6F7C"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Doll H., Fitzpatrick R., Stewart A., and Hope T. Psychiatrists' attitudes towards autonomy, best interests and compulsory treatment in anorexia nervosa: a questionnaire survey. Child and Adolescent Psychiatry and Mental Health</w:t>
      </w:r>
      <w:r w:rsidR="005C29D3" w:rsidRPr="00C77F2A">
        <w:rPr>
          <w:rFonts w:ascii="Times New Roman" w:hAnsi="Times New Roman" w:cs="Times New Roman"/>
          <w:sz w:val="22"/>
          <w:szCs w:val="22"/>
          <w:lang w:val="en-US"/>
        </w:rPr>
        <w:t>. 2008;</w:t>
      </w:r>
      <w:r w:rsidRPr="00C77F2A">
        <w:rPr>
          <w:rFonts w:ascii="Times New Roman" w:hAnsi="Times New Roman" w:cs="Times New Roman"/>
          <w:sz w:val="22"/>
          <w:szCs w:val="22"/>
          <w:lang w:val="en-US"/>
        </w:rPr>
        <w:t>2:40. 15</w:t>
      </w:r>
    </w:p>
  </w:endnote>
  <w:endnote w:id="16">
    <w:p w:rsidR="005C51AA" w:rsidRPr="00C77F2A" w:rsidRDefault="005C51AA"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Bailey S. Decision Making in Health Care: Limitations of the Substituted Judgement Principle. Nursing Ethics</w:t>
      </w:r>
      <w:r w:rsidR="005C29D3" w:rsidRPr="00C77F2A">
        <w:rPr>
          <w:rFonts w:ascii="Times New Roman" w:hAnsi="Times New Roman" w:cs="Times New Roman"/>
          <w:lang w:val="en-US"/>
        </w:rPr>
        <w:t>. 2002;</w:t>
      </w:r>
      <w:r w:rsidRPr="00C77F2A">
        <w:rPr>
          <w:rFonts w:ascii="Times New Roman" w:hAnsi="Times New Roman" w:cs="Times New Roman"/>
          <w:lang w:val="en-US"/>
        </w:rPr>
        <w:t xml:space="preserve">9(5):483-493. </w:t>
      </w:r>
    </w:p>
  </w:endnote>
  <w:endnote w:id="17">
    <w:p w:rsidR="005C51AA" w:rsidRPr="00C77F2A" w:rsidRDefault="005C51AA"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Welie J.Livings Wills and Substituted Judgment: A Critical Analysis. Medicine, Health Care and Philosophy</w:t>
      </w:r>
      <w:r w:rsidR="00C77F2A" w:rsidRPr="00C77F2A">
        <w:rPr>
          <w:rFonts w:ascii="Times New Roman" w:hAnsi="Times New Roman" w:cs="Times New Roman"/>
          <w:sz w:val="22"/>
          <w:szCs w:val="22"/>
          <w:lang w:val="en-US"/>
        </w:rPr>
        <w:t>. 2001;</w:t>
      </w:r>
      <w:r w:rsidRPr="00C77F2A">
        <w:rPr>
          <w:rFonts w:ascii="Times New Roman" w:hAnsi="Times New Roman" w:cs="Times New Roman"/>
          <w:sz w:val="22"/>
          <w:szCs w:val="22"/>
          <w:lang w:val="en-US"/>
        </w:rPr>
        <w:t>4:169-183</w:t>
      </w:r>
      <w:r w:rsidR="00C77F2A" w:rsidRPr="00C77F2A">
        <w:rPr>
          <w:rFonts w:ascii="Times New Roman" w:hAnsi="Times New Roman" w:cs="Times New Roman"/>
          <w:sz w:val="22"/>
          <w:szCs w:val="22"/>
          <w:lang w:val="en-US"/>
        </w:rPr>
        <w:t>.</w:t>
      </w:r>
    </w:p>
  </w:endnote>
  <w:endnote w:id="18">
    <w:p w:rsidR="005C51AA" w:rsidRPr="00C77F2A" w:rsidRDefault="005C51AA"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Broström L., Johansson M., and Nielsen M. “What the Patient Would Have Decided”: A Fundamental Problem with the Substituted Judgment Standard. Medicine, Health Care and Philosophy</w:t>
      </w:r>
      <w:r w:rsidR="00C77F2A" w:rsidRPr="00C77F2A">
        <w:rPr>
          <w:rFonts w:ascii="Times New Roman" w:hAnsi="Times New Roman" w:cs="Times New Roman"/>
          <w:lang w:val="en-US"/>
        </w:rPr>
        <w:t>. 2007;</w:t>
      </w:r>
      <w:r w:rsidRPr="00C77F2A">
        <w:rPr>
          <w:rFonts w:ascii="Times New Roman" w:hAnsi="Times New Roman" w:cs="Times New Roman"/>
          <w:lang w:val="en-US"/>
        </w:rPr>
        <w:t>10:265-278.</w:t>
      </w:r>
    </w:p>
  </w:endnote>
  <w:endnote w:id="19">
    <w:p w:rsidR="005C51AA" w:rsidRPr="00C77F2A" w:rsidRDefault="005C51AA"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Torke A., Alexander G., and Lantos J. Substituted Judgment: The Limitations of Autonomy in Surrogate Decision Making. J Gen Intern Med</w:t>
      </w:r>
      <w:r w:rsidR="00C77F2A" w:rsidRPr="00C77F2A">
        <w:rPr>
          <w:rFonts w:ascii="Times New Roman" w:hAnsi="Times New Roman" w:cs="Times New Roman"/>
          <w:lang w:val="en-US"/>
        </w:rPr>
        <w:t>. 2008;</w:t>
      </w:r>
      <w:r w:rsidRPr="00C77F2A">
        <w:rPr>
          <w:rFonts w:ascii="Times New Roman" w:hAnsi="Times New Roman" w:cs="Times New Roman"/>
          <w:lang w:val="en-US"/>
        </w:rPr>
        <w:t>23(9):1514-1517.</w:t>
      </w:r>
    </w:p>
  </w:endnote>
  <w:endnote w:id="20">
    <w:p w:rsidR="005C51AA" w:rsidRPr="00C77F2A" w:rsidRDefault="005C51AA"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Shalowitz D., Garret E., and Wendler D. The accuracy of surrogate decision makers. A systematic review. Arch Intern Med</w:t>
      </w:r>
      <w:r w:rsidR="00C77F2A" w:rsidRPr="00C77F2A">
        <w:rPr>
          <w:rFonts w:ascii="Times New Roman" w:hAnsi="Times New Roman" w:cs="Times New Roman"/>
          <w:lang w:val="en-US"/>
        </w:rPr>
        <w:t>. 2006;</w:t>
      </w:r>
      <w:r w:rsidRPr="00C77F2A">
        <w:rPr>
          <w:rFonts w:ascii="Times New Roman" w:hAnsi="Times New Roman" w:cs="Times New Roman"/>
          <w:lang w:val="en-US"/>
        </w:rPr>
        <w:t xml:space="preserve">166:493-497. </w:t>
      </w:r>
    </w:p>
  </w:endnote>
  <w:endnote w:id="21">
    <w:p w:rsidR="005C51AA" w:rsidRPr="00C77F2A" w:rsidRDefault="005C51AA"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Kopelman L. The Best Interests Standard for Incompetent or Incapacited Persons of All Ages. J Law Med Ethics</w:t>
      </w:r>
      <w:r w:rsidR="00C77F2A" w:rsidRPr="00C77F2A">
        <w:rPr>
          <w:rFonts w:ascii="Times New Roman" w:hAnsi="Times New Roman" w:cs="Times New Roman"/>
          <w:lang w:val="en-US"/>
        </w:rPr>
        <w:t>. 2007;</w:t>
      </w:r>
      <w:r w:rsidRPr="00C77F2A">
        <w:rPr>
          <w:rFonts w:ascii="Times New Roman" w:hAnsi="Times New Roman" w:cs="Times New Roman"/>
          <w:lang w:val="en-US"/>
        </w:rPr>
        <w:t>35(1):187-96.</w:t>
      </w:r>
    </w:p>
  </w:endnote>
  <w:endnote w:id="22">
    <w:p w:rsidR="005C51AA" w:rsidRPr="00C77F2A" w:rsidRDefault="005C51AA"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Tan J., Doll H., Fitzpatrick R., Stewart A., and Hope T. Psychiatrists' attitudes towards autonomy, best interests and compulsory treatment in anorexia nervosa: a questionnaire survey. Child and Adolescent Psychiatry and Mental Health</w:t>
      </w:r>
      <w:r w:rsidR="00C77F2A" w:rsidRPr="00C77F2A">
        <w:rPr>
          <w:rFonts w:ascii="Times New Roman" w:hAnsi="Times New Roman" w:cs="Times New Roman"/>
          <w:lang w:val="en-US"/>
        </w:rPr>
        <w:t>. 2008;</w:t>
      </w:r>
      <w:r w:rsidRPr="00C77F2A">
        <w:rPr>
          <w:rFonts w:ascii="Times New Roman" w:hAnsi="Times New Roman" w:cs="Times New Roman"/>
          <w:lang w:val="en-US"/>
        </w:rPr>
        <w:t>2:40. 15.</w:t>
      </w:r>
    </w:p>
  </w:endnote>
  <w:endnote w:id="23">
    <w:p w:rsidR="005C51AA" w:rsidRPr="00C77F2A" w:rsidRDefault="005C51AA"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Clough B. Anorexia, Capacity, and Best Interests: Developments in the Court of Protection Since the Mental Capacity Act 2005. Med Law Rev</w:t>
      </w:r>
      <w:r w:rsidR="00C77F2A" w:rsidRPr="00C77F2A">
        <w:rPr>
          <w:rFonts w:ascii="Times New Roman" w:hAnsi="Times New Roman" w:cs="Times New Roman"/>
          <w:lang w:val="en-US"/>
        </w:rPr>
        <w:t>. 2016;</w:t>
      </w:r>
      <w:r w:rsidRPr="00C77F2A">
        <w:rPr>
          <w:rFonts w:ascii="Times New Roman" w:hAnsi="Times New Roman" w:cs="Times New Roman"/>
          <w:lang w:val="en-US"/>
        </w:rPr>
        <w:t>24(3):434-445.</w:t>
      </w:r>
    </w:p>
  </w:endnote>
  <w:endnote w:id="24">
    <w:p w:rsidR="005C51AA" w:rsidRPr="00C77F2A" w:rsidRDefault="005C51AA" w:rsidP="0051413D">
      <w:pPr>
        <w:pStyle w:val="EndnoteText"/>
        <w:spacing w:line="480" w:lineRule="auto"/>
        <w:jc w:val="both"/>
        <w:rPr>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Stewart A., and Fitzpatrick R. Control and compulsory treatment in anorexia nervosa: The views of patients and parents. International Journal of Law and Psychiatry. 2003;26:627–645</w:t>
      </w:r>
      <w:r w:rsidR="0051413D" w:rsidRPr="00C77F2A">
        <w:rPr>
          <w:rFonts w:ascii="Times New Roman" w:hAnsi="Times New Roman" w:cs="Times New Roman"/>
          <w:sz w:val="22"/>
          <w:szCs w:val="22"/>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048072"/>
      <w:docPartObj>
        <w:docPartGallery w:val="Page Numbers (Bottom of Page)"/>
        <w:docPartUnique/>
      </w:docPartObj>
    </w:sdtPr>
    <w:sdtEndPr/>
    <w:sdtContent>
      <w:p w:rsidR="00933714" w:rsidRDefault="00B33C11">
        <w:pPr>
          <w:pStyle w:val="Footer"/>
          <w:jc w:val="center"/>
        </w:pPr>
        <w:r>
          <w:fldChar w:fldCharType="begin"/>
        </w:r>
        <w:r>
          <w:instrText>PAGE   \* MERGEFORMAT</w:instrText>
        </w:r>
        <w:r>
          <w:fldChar w:fldCharType="separate"/>
        </w:r>
        <w:r w:rsidR="00BB0E5C" w:rsidRPr="00BB0E5C">
          <w:rPr>
            <w:noProof/>
            <w:lang w:val="es-ES"/>
          </w:rPr>
          <w:t>1</w:t>
        </w:r>
        <w:r>
          <w:rPr>
            <w:noProof/>
            <w:lang w:val="es-ES"/>
          </w:rPr>
          <w:fldChar w:fldCharType="end"/>
        </w:r>
      </w:p>
    </w:sdtContent>
  </w:sdt>
  <w:p w:rsidR="00933714" w:rsidRDefault="004E5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CD" w:rsidRDefault="004E5CCD">
      <w:pPr>
        <w:spacing w:after="0" w:line="240" w:lineRule="auto"/>
      </w:pPr>
      <w:r>
        <w:separator/>
      </w:r>
    </w:p>
  </w:footnote>
  <w:footnote w:type="continuationSeparator" w:id="0">
    <w:p w:rsidR="004E5CCD" w:rsidRDefault="004E5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4A8B"/>
    <w:multiLevelType w:val="hybridMultilevel"/>
    <w:tmpl w:val="E4AE7886"/>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1">
    <w:nsid w:val="12BE2C4B"/>
    <w:multiLevelType w:val="hybridMultilevel"/>
    <w:tmpl w:val="E38CF5CC"/>
    <w:lvl w:ilvl="0" w:tplc="3DE4CD5C">
      <w:numFmt w:val="bullet"/>
      <w:lvlText w:val="-"/>
      <w:lvlJc w:val="left"/>
      <w:pPr>
        <w:ind w:left="720" w:hanging="360"/>
      </w:pPr>
      <w:rPr>
        <w:rFonts w:ascii="Times New Roman" w:eastAsia="Times New Roman" w:hAnsi="Times New Roman" w:cs="Times New Roman" w:hint="default"/>
        <w:b/>
        <w:color w:val="auto"/>
        <w:sz w:val="36"/>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26BA664A"/>
    <w:multiLevelType w:val="hybridMultilevel"/>
    <w:tmpl w:val="443C07B2"/>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3">
    <w:nsid w:val="2EF24704"/>
    <w:multiLevelType w:val="hybridMultilevel"/>
    <w:tmpl w:val="17266220"/>
    <w:lvl w:ilvl="0" w:tplc="07FA5A50">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CA3B79"/>
    <w:multiLevelType w:val="hybridMultilevel"/>
    <w:tmpl w:val="CBBA226E"/>
    <w:lvl w:ilvl="0" w:tplc="CEF4F530">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438A3A92"/>
    <w:multiLevelType w:val="hybridMultilevel"/>
    <w:tmpl w:val="D66EED90"/>
    <w:lvl w:ilvl="0" w:tplc="C152EDF8">
      <w:numFmt w:val="bullet"/>
      <w:lvlText w:val="-"/>
      <w:lvlJc w:val="left"/>
      <w:pPr>
        <w:ind w:left="720" w:hanging="360"/>
      </w:pPr>
      <w:rPr>
        <w:rFonts w:ascii="Times New Roman" w:eastAsiaTheme="minorHAnsi" w:hAnsi="Times New Roman" w:cs="Times New Roman" w:hint="default"/>
        <w:b w:val="0"/>
        <w:sz w:val="24"/>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4F65114A"/>
    <w:multiLevelType w:val="hybridMultilevel"/>
    <w:tmpl w:val="D80E2970"/>
    <w:lvl w:ilvl="0" w:tplc="04030001">
      <w:start w:val="1"/>
      <w:numFmt w:val="bullet"/>
      <w:lvlText w:val=""/>
      <w:lvlJc w:val="left"/>
      <w:pPr>
        <w:ind w:left="1428" w:hanging="360"/>
      </w:pPr>
      <w:rPr>
        <w:rFonts w:ascii="Symbol" w:hAnsi="Symbol" w:hint="default"/>
      </w:rPr>
    </w:lvl>
    <w:lvl w:ilvl="1" w:tplc="04030003" w:tentative="1">
      <w:start w:val="1"/>
      <w:numFmt w:val="bullet"/>
      <w:lvlText w:val="o"/>
      <w:lvlJc w:val="left"/>
      <w:pPr>
        <w:ind w:left="2148" w:hanging="360"/>
      </w:pPr>
      <w:rPr>
        <w:rFonts w:ascii="Courier New" w:hAnsi="Courier New" w:cs="Courier New" w:hint="default"/>
      </w:rPr>
    </w:lvl>
    <w:lvl w:ilvl="2" w:tplc="04030005" w:tentative="1">
      <w:start w:val="1"/>
      <w:numFmt w:val="bullet"/>
      <w:lvlText w:val=""/>
      <w:lvlJc w:val="left"/>
      <w:pPr>
        <w:ind w:left="2868" w:hanging="360"/>
      </w:pPr>
      <w:rPr>
        <w:rFonts w:ascii="Wingdings" w:hAnsi="Wingdings" w:hint="default"/>
      </w:rPr>
    </w:lvl>
    <w:lvl w:ilvl="3" w:tplc="04030001" w:tentative="1">
      <w:start w:val="1"/>
      <w:numFmt w:val="bullet"/>
      <w:lvlText w:val=""/>
      <w:lvlJc w:val="left"/>
      <w:pPr>
        <w:ind w:left="3588" w:hanging="360"/>
      </w:pPr>
      <w:rPr>
        <w:rFonts w:ascii="Symbol" w:hAnsi="Symbol" w:hint="default"/>
      </w:rPr>
    </w:lvl>
    <w:lvl w:ilvl="4" w:tplc="04030003" w:tentative="1">
      <w:start w:val="1"/>
      <w:numFmt w:val="bullet"/>
      <w:lvlText w:val="o"/>
      <w:lvlJc w:val="left"/>
      <w:pPr>
        <w:ind w:left="4308" w:hanging="360"/>
      </w:pPr>
      <w:rPr>
        <w:rFonts w:ascii="Courier New" w:hAnsi="Courier New" w:cs="Courier New" w:hint="default"/>
      </w:rPr>
    </w:lvl>
    <w:lvl w:ilvl="5" w:tplc="04030005" w:tentative="1">
      <w:start w:val="1"/>
      <w:numFmt w:val="bullet"/>
      <w:lvlText w:val=""/>
      <w:lvlJc w:val="left"/>
      <w:pPr>
        <w:ind w:left="5028" w:hanging="360"/>
      </w:pPr>
      <w:rPr>
        <w:rFonts w:ascii="Wingdings" w:hAnsi="Wingdings" w:hint="default"/>
      </w:rPr>
    </w:lvl>
    <w:lvl w:ilvl="6" w:tplc="04030001" w:tentative="1">
      <w:start w:val="1"/>
      <w:numFmt w:val="bullet"/>
      <w:lvlText w:val=""/>
      <w:lvlJc w:val="left"/>
      <w:pPr>
        <w:ind w:left="5748" w:hanging="360"/>
      </w:pPr>
      <w:rPr>
        <w:rFonts w:ascii="Symbol" w:hAnsi="Symbol" w:hint="default"/>
      </w:rPr>
    </w:lvl>
    <w:lvl w:ilvl="7" w:tplc="04030003" w:tentative="1">
      <w:start w:val="1"/>
      <w:numFmt w:val="bullet"/>
      <w:lvlText w:val="o"/>
      <w:lvlJc w:val="left"/>
      <w:pPr>
        <w:ind w:left="6468" w:hanging="360"/>
      </w:pPr>
      <w:rPr>
        <w:rFonts w:ascii="Courier New" w:hAnsi="Courier New" w:cs="Courier New" w:hint="default"/>
      </w:rPr>
    </w:lvl>
    <w:lvl w:ilvl="8" w:tplc="04030005" w:tentative="1">
      <w:start w:val="1"/>
      <w:numFmt w:val="bullet"/>
      <w:lvlText w:val=""/>
      <w:lvlJc w:val="left"/>
      <w:pPr>
        <w:ind w:left="7188" w:hanging="360"/>
      </w:pPr>
      <w:rPr>
        <w:rFonts w:ascii="Wingdings" w:hAnsi="Wingdings" w:hint="default"/>
      </w:rPr>
    </w:lvl>
  </w:abstractNum>
  <w:abstractNum w:abstractNumId="7">
    <w:nsid w:val="5B870A24"/>
    <w:multiLevelType w:val="hybridMultilevel"/>
    <w:tmpl w:val="443C07B2"/>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8">
    <w:nsid w:val="68990F9B"/>
    <w:multiLevelType w:val="hybridMultilevel"/>
    <w:tmpl w:val="33640D8A"/>
    <w:lvl w:ilvl="0" w:tplc="73D095EE">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758377FF"/>
    <w:multiLevelType w:val="hybridMultilevel"/>
    <w:tmpl w:val="750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5"/>
  </w:num>
  <w:num w:numId="5">
    <w:abstractNumId w:val="7"/>
  </w:num>
  <w:num w:numId="6">
    <w:abstractNumId w:val="1"/>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C"/>
    <w:rsid w:val="000C0DF5"/>
    <w:rsid w:val="00346ADE"/>
    <w:rsid w:val="003A4C9C"/>
    <w:rsid w:val="004E5CCD"/>
    <w:rsid w:val="0051413D"/>
    <w:rsid w:val="005431EE"/>
    <w:rsid w:val="005A1869"/>
    <w:rsid w:val="005A7FE1"/>
    <w:rsid w:val="005C29D3"/>
    <w:rsid w:val="005C51AA"/>
    <w:rsid w:val="00637187"/>
    <w:rsid w:val="006B7FBB"/>
    <w:rsid w:val="00792048"/>
    <w:rsid w:val="007D3BFD"/>
    <w:rsid w:val="00964AE0"/>
    <w:rsid w:val="00983E35"/>
    <w:rsid w:val="00B33C11"/>
    <w:rsid w:val="00BB0E5C"/>
    <w:rsid w:val="00C77F2A"/>
    <w:rsid w:val="00C8194C"/>
    <w:rsid w:val="00EE6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8C77-7329-4B11-B986-D72920A2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4C"/>
    <w:pPr>
      <w:spacing w:after="200" w:line="276" w:lineRule="auto"/>
    </w:pPr>
    <w:rPr>
      <w:lang w:val="es-ES_tradnl"/>
    </w:rPr>
  </w:style>
  <w:style w:type="paragraph" w:styleId="Heading2">
    <w:name w:val="heading 2"/>
    <w:basedOn w:val="Normal"/>
    <w:link w:val="Heading2Char"/>
    <w:uiPriority w:val="9"/>
    <w:qFormat/>
    <w:rsid w:val="00C8194C"/>
    <w:pPr>
      <w:spacing w:before="100" w:beforeAutospacing="1" w:after="100" w:afterAutospacing="1" w:line="240" w:lineRule="auto"/>
      <w:outlineLvl w:val="1"/>
    </w:pPr>
    <w:rPr>
      <w:rFonts w:ascii="Times New Roman" w:eastAsia="Times New Roman" w:hAnsi="Times New Roman" w:cs="Times New Roman"/>
      <w:b/>
      <w:bCs/>
      <w:sz w:val="36"/>
      <w:szCs w:val="36"/>
      <w:lang w:val="ca-ES" w:eastAsia="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4C"/>
    <w:rPr>
      <w:rFonts w:ascii="Times New Roman" w:eastAsia="Times New Roman" w:hAnsi="Times New Roman" w:cs="Times New Roman"/>
      <w:b/>
      <w:bCs/>
      <w:sz w:val="36"/>
      <w:szCs w:val="36"/>
      <w:lang w:val="ca-ES" w:eastAsia="ca-ES"/>
    </w:rPr>
  </w:style>
  <w:style w:type="paragraph" w:styleId="ListParagraph">
    <w:name w:val="List Paragraph"/>
    <w:basedOn w:val="Normal"/>
    <w:uiPriority w:val="34"/>
    <w:qFormat/>
    <w:rsid w:val="00C8194C"/>
    <w:pPr>
      <w:ind w:left="720"/>
      <w:contextualSpacing/>
    </w:pPr>
  </w:style>
  <w:style w:type="paragraph" w:styleId="Header">
    <w:name w:val="header"/>
    <w:basedOn w:val="Normal"/>
    <w:link w:val="HeaderChar"/>
    <w:uiPriority w:val="99"/>
    <w:unhideWhenUsed/>
    <w:rsid w:val="00C819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8194C"/>
    <w:rPr>
      <w:lang w:val="es-ES_tradnl"/>
    </w:rPr>
  </w:style>
  <w:style w:type="paragraph" w:styleId="Footer">
    <w:name w:val="footer"/>
    <w:basedOn w:val="Normal"/>
    <w:link w:val="FooterChar"/>
    <w:uiPriority w:val="99"/>
    <w:unhideWhenUsed/>
    <w:rsid w:val="00C819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8194C"/>
    <w:rPr>
      <w:lang w:val="es-ES_tradnl"/>
    </w:rPr>
  </w:style>
  <w:style w:type="character" w:styleId="Emphasis">
    <w:name w:val="Emphasis"/>
    <w:basedOn w:val="DefaultParagraphFont"/>
    <w:uiPriority w:val="20"/>
    <w:qFormat/>
    <w:rsid w:val="00C8194C"/>
    <w:rPr>
      <w:i/>
      <w:iCs/>
    </w:rPr>
  </w:style>
  <w:style w:type="character" w:styleId="Hyperlink">
    <w:name w:val="Hyperlink"/>
    <w:basedOn w:val="DefaultParagraphFont"/>
    <w:uiPriority w:val="99"/>
    <w:unhideWhenUsed/>
    <w:rsid w:val="00C8194C"/>
    <w:rPr>
      <w:color w:val="0000FF"/>
      <w:u w:val="single"/>
    </w:rPr>
  </w:style>
  <w:style w:type="character" w:styleId="Strong">
    <w:name w:val="Strong"/>
    <w:basedOn w:val="DefaultParagraphFont"/>
    <w:uiPriority w:val="22"/>
    <w:qFormat/>
    <w:rsid w:val="00C8194C"/>
    <w:rPr>
      <w:b/>
      <w:bCs/>
    </w:rPr>
  </w:style>
  <w:style w:type="paragraph" w:customStyle="1" w:styleId="desc">
    <w:name w:val="desc"/>
    <w:basedOn w:val="Normal"/>
    <w:rsid w:val="00C8194C"/>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jrnl">
    <w:name w:val="jrnl"/>
    <w:basedOn w:val="DefaultParagraphFont"/>
    <w:rsid w:val="00C8194C"/>
  </w:style>
  <w:style w:type="character" w:styleId="CommentReference">
    <w:name w:val="annotation reference"/>
    <w:basedOn w:val="DefaultParagraphFont"/>
    <w:uiPriority w:val="99"/>
    <w:semiHidden/>
    <w:unhideWhenUsed/>
    <w:rsid w:val="00C8194C"/>
    <w:rPr>
      <w:sz w:val="16"/>
      <w:szCs w:val="16"/>
    </w:rPr>
  </w:style>
  <w:style w:type="paragraph" w:styleId="CommentText">
    <w:name w:val="annotation text"/>
    <w:basedOn w:val="Normal"/>
    <w:link w:val="CommentTextChar"/>
    <w:uiPriority w:val="99"/>
    <w:semiHidden/>
    <w:unhideWhenUsed/>
    <w:rsid w:val="00C8194C"/>
    <w:pPr>
      <w:spacing w:line="240" w:lineRule="auto"/>
    </w:pPr>
    <w:rPr>
      <w:sz w:val="20"/>
      <w:szCs w:val="20"/>
    </w:rPr>
  </w:style>
  <w:style w:type="character" w:customStyle="1" w:styleId="CommentTextChar">
    <w:name w:val="Comment Text Char"/>
    <w:basedOn w:val="DefaultParagraphFont"/>
    <w:link w:val="CommentText"/>
    <w:uiPriority w:val="99"/>
    <w:semiHidden/>
    <w:rsid w:val="00C8194C"/>
    <w:rPr>
      <w:sz w:val="20"/>
      <w:szCs w:val="20"/>
      <w:lang w:val="es-ES_tradnl"/>
    </w:rPr>
  </w:style>
  <w:style w:type="paragraph" w:styleId="CommentSubject">
    <w:name w:val="annotation subject"/>
    <w:basedOn w:val="CommentText"/>
    <w:next w:val="CommentText"/>
    <w:link w:val="CommentSubjectChar"/>
    <w:uiPriority w:val="99"/>
    <w:semiHidden/>
    <w:unhideWhenUsed/>
    <w:rsid w:val="00C8194C"/>
    <w:rPr>
      <w:b/>
      <w:bCs/>
    </w:rPr>
  </w:style>
  <w:style w:type="character" w:customStyle="1" w:styleId="CommentSubjectChar">
    <w:name w:val="Comment Subject Char"/>
    <w:basedOn w:val="CommentTextChar"/>
    <w:link w:val="CommentSubject"/>
    <w:uiPriority w:val="99"/>
    <w:semiHidden/>
    <w:rsid w:val="00C8194C"/>
    <w:rPr>
      <w:b/>
      <w:bCs/>
      <w:sz w:val="20"/>
      <w:szCs w:val="20"/>
      <w:lang w:val="es-ES_tradnl"/>
    </w:rPr>
  </w:style>
  <w:style w:type="paragraph" w:styleId="BalloonText">
    <w:name w:val="Balloon Text"/>
    <w:basedOn w:val="Normal"/>
    <w:link w:val="BalloonTextChar"/>
    <w:uiPriority w:val="99"/>
    <w:semiHidden/>
    <w:unhideWhenUsed/>
    <w:rsid w:val="00C8194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194C"/>
    <w:rPr>
      <w:rFonts w:ascii="Times New Roman" w:hAnsi="Times New Roman" w:cs="Times New Roman"/>
      <w:sz w:val="18"/>
      <w:szCs w:val="18"/>
      <w:lang w:val="es-ES_tradnl"/>
    </w:rPr>
  </w:style>
  <w:style w:type="paragraph" w:styleId="EndnoteText">
    <w:name w:val="endnote text"/>
    <w:basedOn w:val="Normal"/>
    <w:link w:val="EndnoteTextChar"/>
    <w:uiPriority w:val="99"/>
    <w:semiHidden/>
    <w:unhideWhenUsed/>
    <w:rsid w:val="0054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31EE"/>
    <w:rPr>
      <w:sz w:val="20"/>
      <w:szCs w:val="20"/>
      <w:lang w:val="es-ES_tradnl"/>
    </w:rPr>
  </w:style>
  <w:style w:type="character" w:styleId="EndnoteReference">
    <w:name w:val="endnote reference"/>
    <w:basedOn w:val="DefaultParagraphFont"/>
    <w:uiPriority w:val="99"/>
    <w:semiHidden/>
    <w:unhideWhenUsed/>
    <w:rsid w:val="005431EE"/>
    <w:rPr>
      <w:vertAlign w:val="superscript"/>
    </w:rPr>
  </w:style>
  <w:style w:type="character" w:customStyle="1" w:styleId="UnresolvedMention">
    <w:name w:val="Unresolved Mention"/>
    <w:basedOn w:val="DefaultParagraphFont"/>
    <w:uiPriority w:val="99"/>
    <w:semiHidden/>
    <w:unhideWhenUsed/>
    <w:rsid w:val="003A4C9C"/>
    <w:rPr>
      <w:color w:val="605E5C"/>
      <w:shd w:val="clear" w:color="auto" w:fill="E1DFDD"/>
    </w:rPr>
  </w:style>
  <w:style w:type="paragraph" w:styleId="HTMLPreformatted">
    <w:name w:val="HTML Preformatted"/>
    <w:basedOn w:val="Normal"/>
    <w:link w:val="HTMLPreformattedChar"/>
    <w:uiPriority w:val="99"/>
    <w:semiHidden/>
    <w:unhideWhenUsed/>
    <w:rsid w:val="003A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A4C9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12653">
      <w:bodyDiv w:val="1"/>
      <w:marLeft w:val="0"/>
      <w:marRight w:val="0"/>
      <w:marTop w:val="0"/>
      <w:marBottom w:val="0"/>
      <w:divBdr>
        <w:top w:val="none" w:sz="0" w:space="0" w:color="auto"/>
        <w:left w:val="none" w:sz="0" w:space="0" w:color="auto"/>
        <w:bottom w:val="none" w:sz="0" w:space="0" w:color="auto"/>
        <w:right w:val="none" w:sz="0" w:space="0" w:color="auto"/>
      </w:divBdr>
    </w:div>
    <w:div w:id="10257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ramos@u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oniasevillaguerra@ub.edu" TargetMode="External"/><Relationship Id="rId4" Type="http://schemas.openxmlformats.org/officeDocument/2006/relationships/settings" Target="settings.xml"/><Relationship Id="rId9" Type="http://schemas.openxmlformats.org/officeDocument/2006/relationships/hyperlink" Target="mailto:bernabe.robles@uvic.c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C73B-D5B7-4AB2-9446-1490454F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4260</Words>
  <Characters>24288</Characters>
  <Application>Microsoft Office Word</Application>
  <DocSecurity>0</DocSecurity>
  <Lines>202</Lines>
  <Paragraphs>56</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pozon</dc:creator>
  <cp:keywords/>
  <dc:description/>
  <cp:lastModifiedBy>Reviewer 1</cp:lastModifiedBy>
  <cp:revision>2</cp:revision>
  <dcterms:created xsi:type="dcterms:W3CDTF">2020-03-27T13:41:00Z</dcterms:created>
  <dcterms:modified xsi:type="dcterms:W3CDTF">2020-03-27T13:41:00Z</dcterms:modified>
</cp:coreProperties>
</file>