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DBF" w:rsidRDefault="00FE6DBF" w:rsidP="000242CD">
      <w:pPr>
        <w:spacing w:before="60" w:line="240" w:lineRule="auto"/>
        <w:jc w:val="both"/>
        <w:outlineLvl w:val="0"/>
        <w:rPr>
          <w:rStyle w:val="Strong"/>
          <w:b w:val="0"/>
          <w:color w:val="1C1E29"/>
        </w:rPr>
      </w:pPr>
      <w:bookmarkStart w:id="0" w:name="_GoBack"/>
      <w:bookmarkEnd w:id="0"/>
      <w:r w:rsidRPr="000242CD">
        <w:rPr>
          <w:b/>
          <w:noProof/>
          <w:color w:val="000000"/>
        </w:rPr>
        <w:t>Title of the article</w:t>
      </w:r>
      <w:r w:rsidRPr="000242CD">
        <w:rPr>
          <w:noProof/>
          <w:color w:val="000000"/>
        </w:rPr>
        <w:t xml:space="preserve">: </w:t>
      </w:r>
      <w:r w:rsidRPr="000242CD">
        <w:rPr>
          <w:rStyle w:val="Strong"/>
          <w:b w:val="0"/>
          <w:color w:val="1C1E29"/>
        </w:rPr>
        <w:t>An Assessment of the Public Healthcare System by Measuring Patients’ Experience about Healthcare in Alipurduar District, India</w:t>
      </w:r>
    </w:p>
    <w:p w:rsidR="00516098" w:rsidRPr="00516098" w:rsidRDefault="00516098" w:rsidP="00516098">
      <w:pPr>
        <w:spacing w:before="60" w:line="360" w:lineRule="auto"/>
        <w:outlineLvl w:val="0"/>
        <w:rPr>
          <w:color w:val="000000"/>
          <w:szCs w:val="20"/>
        </w:rPr>
      </w:pPr>
      <w:r w:rsidRPr="00516098">
        <w:rPr>
          <w:b/>
          <w:color w:val="000000"/>
          <w:szCs w:val="20"/>
        </w:rPr>
        <w:t>Type of article:</w:t>
      </w:r>
      <w:r w:rsidRPr="00516098">
        <w:rPr>
          <w:color w:val="000000"/>
          <w:szCs w:val="20"/>
        </w:rPr>
        <w:t xml:space="preserve"> Original </w:t>
      </w:r>
    </w:p>
    <w:p w:rsidR="00516098" w:rsidRPr="00516098" w:rsidRDefault="00516098" w:rsidP="00516098">
      <w:pPr>
        <w:spacing w:before="60" w:line="240" w:lineRule="auto"/>
        <w:outlineLvl w:val="0"/>
        <w:rPr>
          <w:b/>
          <w:color w:val="000000"/>
        </w:rPr>
      </w:pPr>
      <w:r w:rsidRPr="00516098">
        <w:rPr>
          <w:b/>
          <w:color w:val="000000"/>
        </w:rPr>
        <w:t>Corresponding Author</w:t>
      </w:r>
      <w:r w:rsidRPr="00516098">
        <w:rPr>
          <w:b/>
        </w:rPr>
        <w:t xml:space="preserve"> </w:t>
      </w:r>
    </w:p>
    <w:p w:rsidR="00516098" w:rsidRPr="00516098" w:rsidRDefault="00516098" w:rsidP="00516098">
      <w:pPr>
        <w:spacing w:before="60" w:line="240" w:lineRule="auto"/>
        <w:ind w:firstLine="720"/>
        <w:rPr>
          <w:color w:val="000000"/>
        </w:rPr>
      </w:pPr>
      <w:r w:rsidRPr="00516098">
        <w:rPr>
          <w:color w:val="000000"/>
        </w:rPr>
        <w:t xml:space="preserve">Name: </w:t>
      </w:r>
      <w:r w:rsidRPr="00516098">
        <w:t xml:space="preserve">Barnali Biswas  </w:t>
      </w:r>
    </w:p>
    <w:p w:rsidR="00516098" w:rsidRPr="00516098" w:rsidRDefault="00516098" w:rsidP="00516098">
      <w:pPr>
        <w:tabs>
          <w:tab w:val="left" w:pos="2662"/>
        </w:tabs>
        <w:spacing w:line="240" w:lineRule="auto"/>
        <w:ind w:left="720"/>
      </w:pPr>
      <w:r w:rsidRPr="00516098">
        <w:rPr>
          <w:color w:val="000000"/>
        </w:rPr>
        <w:t>Address:</w:t>
      </w:r>
      <w:r w:rsidRPr="00516098">
        <w:t xml:space="preserve"> Department of Geography, Cooch Behar Panchanan Barma University, Vivekananda Street, Cooch Behar-736101, West Bengal, India</w:t>
      </w:r>
    </w:p>
    <w:p w:rsidR="00516098" w:rsidRPr="00516098" w:rsidRDefault="00516098" w:rsidP="00516098">
      <w:pPr>
        <w:spacing w:before="60" w:line="240" w:lineRule="auto"/>
        <w:ind w:firstLine="720"/>
        <w:rPr>
          <w:color w:val="000000"/>
        </w:rPr>
      </w:pPr>
      <w:r w:rsidRPr="00516098">
        <w:rPr>
          <w:color w:val="000000"/>
        </w:rPr>
        <w:t>Phone numbers: +91 8346014715</w:t>
      </w:r>
    </w:p>
    <w:p w:rsidR="00516098" w:rsidRPr="00516098" w:rsidRDefault="00516098" w:rsidP="00516098">
      <w:pPr>
        <w:spacing w:before="60" w:line="240" w:lineRule="auto"/>
        <w:ind w:firstLine="720"/>
        <w:rPr>
          <w:color w:val="000000"/>
        </w:rPr>
      </w:pPr>
      <w:r w:rsidRPr="00516098">
        <w:rPr>
          <w:color w:val="000000"/>
        </w:rPr>
        <w:t xml:space="preserve">E-mail address: </w:t>
      </w:r>
      <w:r w:rsidRPr="00516098">
        <w:t>barnalibiswas@002gmail.com</w:t>
      </w:r>
    </w:p>
    <w:p w:rsidR="00516098" w:rsidRPr="00516098" w:rsidRDefault="00516098" w:rsidP="00516098">
      <w:pPr>
        <w:spacing w:before="60" w:line="240" w:lineRule="auto"/>
        <w:outlineLvl w:val="0"/>
        <w:rPr>
          <w:noProof/>
          <w:color w:val="000000"/>
        </w:rPr>
      </w:pPr>
      <w:r w:rsidRPr="00516098">
        <w:rPr>
          <w:b/>
          <w:noProof/>
          <w:color w:val="000000"/>
        </w:rPr>
        <w:t>Total number of pages:</w:t>
      </w:r>
      <w:r w:rsidRPr="00516098">
        <w:rPr>
          <w:noProof/>
          <w:color w:val="000000"/>
        </w:rPr>
        <w:t xml:space="preserve"> 12</w:t>
      </w:r>
    </w:p>
    <w:p w:rsidR="00516098" w:rsidRPr="00516098" w:rsidRDefault="00516098" w:rsidP="00516098">
      <w:pPr>
        <w:spacing w:before="60" w:line="240" w:lineRule="auto"/>
        <w:outlineLvl w:val="0"/>
        <w:rPr>
          <w:noProof/>
          <w:color w:val="000000"/>
        </w:rPr>
      </w:pPr>
      <w:r w:rsidRPr="00516098">
        <w:rPr>
          <w:b/>
          <w:noProof/>
          <w:color w:val="000000"/>
        </w:rPr>
        <w:t xml:space="preserve">Total number of Tables: </w:t>
      </w:r>
      <w:r w:rsidRPr="00516098">
        <w:rPr>
          <w:noProof/>
          <w:color w:val="000000"/>
        </w:rPr>
        <w:t>06</w:t>
      </w:r>
    </w:p>
    <w:p w:rsidR="00516098" w:rsidRPr="00516098" w:rsidRDefault="00516098" w:rsidP="00516098">
      <w:pPr>
        <w:spacing w:line="360" w:lineRule="auto"/>
        <w:jc w:val="both"/>
        <w:rPr>
          <w:b/>
        </w:rPr>
      </w:pPr>
      <w:r w:rsidRPr="00516098">
        <w:rPr>
          <w:b/>
          <w:noProof/>
          <w:color w:val="000000"/>
        </w:rPr>
        <w:t>Source(s) of support:</w:t>
      </w:r>
      <w:r w:rsidRPr="00516098">
        <w:rPr>
          <w:noProof/>
          <w:color w:val="000000"/>
        </w:rPr>
        <w:t xml:space="preserve"> </w:t>
      </w:r>
      <w:r w:rsidRPr="00516098">
        <w:rPr>
          <w:color w:val="0D0D0D"/>
        </w:rPr>
        <w:t xml:space="preserve">This study has not received any </w:t>
      </w:r>
      <w:r w:rsidRPr="00516098">
        <w:rPr>
          <w:noProof/>
          <w:color w:val="0D0D0D"/>
        </w:rPr>
        <w:t>grant</w:t>
      </w:r>
      <w:r w:rsidRPr="00516098">
        <w:rPr>
          <w:color w:val="0D0D0D"/>
        </w:rPr>
        <w:t xml:space="preserve"> from any funding agency.</w:t>
      </w:r>
    </w:p>
    <w:p w:rsidR="00516098" w:rsidRPr="00516098" w:rsidRDefault="00516098" w:rsidP="00516098">
      <w:pPr>
        <w:pStyle w:val="Default"/>
        <w:spacing w:line="360" w:lineRule="auto"/>
        <w:jc w:val="both"/>
      </w:pPr>
      <w:r w:rsidRPr="00516098">
        <w:rPr>
          <w:b/>
          <w:noProof/>
        </w:rPr>
        <w:t xml:space="preserve">Conflicting Interest: </w:t>
      </w:r>
      <w:r w:rsidRPr="00516098">
        <w:rPr>
          <w:noProof/>
        </w:rPr>
        <w:t xml:space="preserve">Conflicting Interest does not exist in this study. </w:t>
      </w:r>
    </w:p>
    <w:p w:rsidR="00516098" w:rsidRDefault="00516098" w:rsidP="00516098">
      <w:pPr>
        <w:autoSpaceDE w:val="0"/>
        <w:autoSpaceDN w:val="0"/>
        <w:adjustRightInd w:val="0"/>
        <w:spacing w:line="240" w:lineRule="auto"/>
        <w:jc w:val="both"/>
        <w:rPr>
          <w:rFonts w:eastAsiaTheme="minorHAnsi"/>
        </w:rPr>
      </w:pPr>
      <w:r w:rsidRPr="00516098">
        <w:rPr>
          <w:rFonts w:eastAsiaTheme="minorHAnsi"/>
          <w:b/>
        </w:rPr>
        <w:t>Patient consent for publication:</w:t>
      </w:r>
      <w:r w:rsidRPr="00516098">
        <w:rPr>
          <w:rFonts w:eastAsiaTheme="minorHAnsi"/>
        </w:rPr>
        <w:t xml:space="preserve"> Not required for this study. There is no experiment on Animal and Human subject. This study fully based on the experience of the patients after taking an official permission from CMOH (Chief Medical Office of Health), Alipurduar, India and this study don’t disclose any personal information of the patients.  </w:t>
      </w:r>
    </w:p>
    <w:p w:rsidR="00516098" w:rsidRPr="00516098" w:rsidRDefault="00516098" w:rsidP="00516098">
      <w:pPr>
        <w:autoSpaceDE w:val="0"/>
        <w:autoSpaceDN w:val="0"/>
        <w:adjustRightInd w:val="0"/>
        <w:spacing w:line="240" w:lineRule="auto"/>
        <w:jc w:val="both"/>
        <w:rPr>
          <w:rFonts w:eastAsiaTheme="minorHAnsi"/>
        </w:rPr>
      </w:pPr>
    </w:p>
    <w:p w:rsidR="000242CD" w:rsidRDefault="00516098" w:rsidP="00516098">
      <w:pPr>
        <w:autoSpaceDE w:val="0"/>
        <w:autoSpaceDN w:val="0"/>
        <w:adjustRightInd w:val="0"/>
        <w:spacing w:line="240" w:lineRule="auto"/>
        <w:jc w:val="both"/>
        <w:rPr>
          <w:rFonts w:eastAsiaTheme="minorHAnsi"/>
        </w:rPr>
      </w:pPr>
      <w:r w:rsidRPr="00516098">
        <w:rPr>
          <w:rFonts w:eastAsiaTheme="minorHAnsi"/>
          <w:b/>
        </w:rPr>
        <w:t>Data availability statement:</w:t>
      </w:r>
      <w:r w:rsidRPr="00516098">
        <w:rPr>
          <w:rFonts w:eastAsiaTheme="minorHAnsi"/>
        </w:rPr>
        <w:t xml:space="preserve"> Data will be available on request and this article consists all relevant data.  </w:t>
      </w:r>
    </w:p>
    <w:p w:rsidR="00516098" w:rsidRPr="00516098" w:rsidRDefault="00516098" w:rsidP="00516098">
      <w:pPr>
        <w:autoSpaceDE w:val="0"/>
        <w:autoSpaceDN w:val="0"/>
        <w:adjustRightInd w:val="0"/>
        <w:spacing w:line="240" w:lineRule="auto"/>
        <w:jc w:val="both"/>
        <w:rPr>
          <w:rStyle w:val="Strong"/>
          <w:rFonts w:eastAsiaTheme="minorHAnsi"/>
          <w:b w:val="0"/>
          <w:bCs w:val="0"/>
        </w:rPr>
      </w:pPr>
    </w:p>
    <w:p w:rsidR="005A1A63" w:rsidRDefault="005A1A63" w:rsidP="000242CD">
      <w:pPr>
        <w:spacing w:line="240" w:lineRule="auto"/>
        <w:jc w:val="both"/>
        <w:rPr>
          <w:rFonts w:eastAsia="Times New Roman"/>
          <w:b/>
          <w:bCs/>
          <w:color w:val="0E101A"/>
        </w:rPr>
      </w:pPr>
      <w:r w:rsidRPr="000242CD">
        <w:rPr>
          <w:rFonts w:eastAsia="Times New Roman"/>
          <w:b/>
          <w:bCs/>
          <w:color w:val="0E101A"/>
        </w:rPr>
        <w:t>Abstract</w:t>
      </w:r>
    </w:p>
    <w:p w:rsidR="000242CD" w:rsidRPr="000242CD" w:rsidRDefault="000242CD" w:rsidP="000242CD">
      <w:pPr>
        <w:spacing w:line="240" w:lineRule="auto"/>
        <w:jc w:val="both"/>
        <w:rPr>
          <w:rFonts w:eastAsia="Times New Roman"/>
          <w:color w:val="0E101A"/>
        </w:rPr>
      </w:pPr>
    </w:p>
    <w:p w:rsidR="005A1A63" w:rsidRPr="000242CD" w:rsidRDefault="005A1A63" w:rsidP="000242CD">
      <w:pPr>
        <w:spacing w:line="240" w:lineRule="auto"/>
        <w:jc w:val="both"/>
        <w:rPr>
          <w:rFonts w:eastAsia="Times New Roman"/>
          <w:color w:val="0E101A"/>
        </w:rPr>
      </w:pPr>
      <w:r w:rsidRPr="000242CD">
        <w:rPr>
          <w:rFonts w:eastAsia="Times New Roman"/>
          <w:b/>
          <w:bCs/>
          <w:color w:val="0E101A"/>
        </w:rPr>
        <w:t>Introduction: </w:t>
      </w:r>
      <w:r w:rsidRPr="000242CD">
        <w:rPr>
          <w:rFonts w:eastAsia="Times New Roman"/>
          <w:color w:val="0E101A"/>
        </w:rPr>
        <w:t> Measuring the experience of patients is an essential step to develop patient-centered care and to identify the effectiveness of the public healthcare system.</w:t>
      </w:r>
    </w:p>
    <w:p w:rsidR="005A1A63" w:rsidRPr="000242CD" w:rsidRDefault="005A1A63" w:rsidP="000242CD">
      <w:pPr>
        <w:spacing w:line="240" w:lineRule="auto"/>
        <w:jc w:val="both"/>
        <w:rPr>
          <w:rFonts w:eastAsia="Times New Roman"/>
          <w:color w:val="0E101A"/>
        </w:rPr>
      </w:pPr>
      <w:r w:rsidRPr="000242CD">
        <w:rPr>
          <w:rFonts w:eastAsia="Times New Roman"/>
          <w:b/>
          <w:bCs/>
          <w:color w:val="0E101A"/>
        </w:rPr>
        <w:t>Objectives:</w:t>
      </w:r>
      <w:r w:rsidRPr="000242CD">
        <w:rPr>
          <w:rFonts w:eastAsia="Times New Roman"/>
          <w:color w:val="0E101A"/>
        </w:rPr>
        <w:t> This paper tries to measure the experience of the patients about the care they have received in order to analyze the status of healthcare services in the three levels of the public healthcare system.</w:t>
      </w:r>
    </w:p>
    <w:p w:rsidR="005A1A63" w:rsidRPr="000242CD" w:rsidRDefault="005A1A63" w:rsidP="000242CD">
      <w:pPr>
        <w:spacing w:line="240" w:lineRule="auto"/>
        <w:jc w:val="both"/>
        <w:rPr>
          <w:rFonts w:eastAsia="Times New Roman"/>
          <w:color w:val="0E101A"/>
        </w:rPr>
      </w:pPr>
      <w:r w:rsidRPr="000242CD">
        <w:rPr>
          <w:rFonts w:eastAsia="Times New Roman"/>
          <w:b/>
          <w:bCs/>
          <w:color w:val="0E101A"/>
        </w:rPr>
        <w:t>Methodology:</w:t>
      </w:r>
      <w:r w:rsidRPr="000242CD">
        <w:rPr>
          <w:rFonts w:eastAsia="Times New Roman"/>
          <w:color w:val="0E101A"/>
        </w:rPr>
        <w:t> To conduct this study, a systematic random sampling technique has been applied and seven points Likert scale has been used to collect the primary data from the patients with the sample size 300. Data have been analyzed by applying Exploratory Factor Analysis and ANOVA. In addition, a perception study has been conducted in order to collect information about patients’ experiences.</w:t>
      </w:r>
    </w:p>
    <w:p w:rsidR="005A1A63" w:rsidRPr="000242CD" w:rsidRDefault="005A1A63" w:rsidP="000242CD">
      <w:pPr>
        <w:spacing w:line="240" w:lineRule="auto"/>
        <w:jc w:val="both"/>
        <w:rPr>
          <w:rFonts w:eastAsia="Times New Roman"/>
          <w:color w:val="0E101A"/>
        </w:rPr>
      </w:pPr>
      <w:r w:rsidRPr="000242CD">
        <w:rPr>
          <w:rFonts w:eastAsia="Times New Roman"/>
          <w:b/>
          <w:bCs/>
          <w:color w:val="0E101A"/>
        </w:rPr>
        <w:t>Results:</w:t>
      </w:r>
      <w:r w:rsidRPr="000242CD">
        <w:rPr>
          <w:rFonts w:eastAsia="Times New Roman"/>
          <w:color w:val="0E101A"/>
        </w:rPr>
        <w:t> This study identifies that the services delivered in these centers are not suitable to fulfill the needs of the patients and also highlights that the experience of the patients is varied among different levels of the public healthcare system.</w:t>
      </w:r>
    </w:p>
    <w:p w:rsidR="005A1A63" w:rsidRPr="000242CD" w:rsidRDefault="005A1A63" w:rsidP="000242CD">
      <w:pPr>
        <w:spacing w:line="240" w:lineRule="auto"/>
        <w:jc w:val="both"/>
        <w:rPr>
          <w:rFonts w:eastAsia="Times New Roman"/>
          <w:color w:val="0E101A"/>
        </w:rPr>
      </w:pPr>
      <w:r w:rsidRPr="000242CD">
        <w:rPr>
          <w:rFonts w:eastAsia="Times New Roman"/>
          <w:b/>
          <w:bCs/>
          <w:color w:val="0E101A"/>
        </w:rPr>
        <w:t>Conclusion:</w:t>
      </w:r>
      <w:r w:rsidRPr="000242CD">
        <w:rPr>
          <w:rFonts w:eastAsia="Times New Roman"/>
          <w:color w:val="0E101A"/>
        </w:rPr>
        <w:t> Patients from the centers under the primary and secondary levels are mostly satisfied than those patients who have received care from the center under the tertiary level. The different tiers in healthcare have some different hidden problems which can’t be measured quantitatively.</w:t>
      </w:r>
    </w:p>
    <w:p w:rsidR="005A1A63" w:rsidRPr="000242CD" w:rsidRDefault="005A1A63" w:rsidP="000242CD">
      <w:pPr>
        <w:spacing w:line="240" w:lineRule="auto"/>
        <w:jc w:val="both"/>
        <w:rPr>
          <w:rFonts w:eastAsia="Times New Roman"/>
          <w:color w:val="0E101A"/>
        </w:rPr>
      </w:pPr>
    </w:p>
    <w:p w:rsidR="000B0914" w:rsidRPr="00516098" w:rsidRDefault="00BD557E" w:rsidP="000242CD">
      <w:pPr>
        <w:spacing w:line="240" w:lineRule="auto"/>
        <w:jc w:val="both"/>
        <w:rPr>
          <w:rFonts w:eastAsia="Times New Roman"/>
          <w:color w:val="0E101A"/>
        </w:rPr>
      </w:pPr>
      <w:r w:rsidRPr="000242CD">
        <w:rPr>
          <w:rFonts w:eastAsia="Times New Roman"/>
          <w:b/>
          <w:bCs/>
          <w:color w:val="0E101A"/>
        </w:rPr>
        <w:t>Key-words:</w:t>
      </w:r>
      <w:r w:rsidRPr="000242CD">
        <w:rPr>
          <w:rFonts w:eastAsia="Times New Roman"/>
          <w:color w:val="0E101A"/>
        </w:rPr>
        <w:t> Healthcare, Patients’ Experience, Variation in Services</w:t>
      </w:r>
    </w:p>
    <w:p w:rsidR="00E82CE6" w:rsidRDefault="00E82CE6" w:rsidP="000242CD">
      <w:pPr>
        <w:spacing w:line="240" w:lineRule="auto"/>
        <w:jc w:val="both"/>
        <w:rPr>
          <w:rFonts w:eastAsia="Times New Roman"/>
          <w:b/>
          <w:bCs/>
          <w:color w:val="0E101A"/>
        </w:rPr>
      </w:pPr>
    </w:p>
    <w:p w:rsidR="00E5311B" w:rsidRDefault="00E5311B" w:rsidP="000242CD">
      <w:pPr>
        <w:spacing w:line="240" w:lineRule="auto"/>
        <w:jc w:val="both"/>
        <w:rPr>
          <w:rFonts w:eastAsia="Times New Roman"/>
          <w:b/>
          <w:bCs/>
          <w:color w:val="0E101A"/>
        </w:rPr>
      </w:pPr>
    </w:p>
    <w:p w:rsidR="00E5311B" w:rsidRDefault="00E5311B" w:rsidP="000242CD">
      <w:pPr>
        <w:spacing w:line="240" w:lineRule="auto"/>
        <w:jc w:val="both"/>
        <w:rPr>
          <w:rFonts w:eastAsia="Times New Roman"/>
          <w:b/>
          <w:bCs/>
          <w:color w:val="0E101A"/>
        </w:rPr>
      </w:pPr>
    </w:p>
    <w:p w:rsidR="00E5311B" w:rsidRDefault="00E5311B" w:rsidP="000242CD">
      <w:pPr>
        <w:spacing w:line="240" w:lineRule="auto"/>
        <w:jc w:val="both"/>
        <w:rPr>
          <w:rFonts w:eastAsia="Times New Roman"/>
          <w:b/>
          <w:bCs/>
          <w:color w:val="0E101A"/>
        </w:rPr>
      </w:pPr>
    </w:p>
    <w:p w:rsidR="00E5311B" w:rsidRDefault="00E5311B" w:rsidP="000242CD">
      <w:pPr>
        <w:spacing w:line="240" w:lineRule="auto"/>
        <w:jc w:val="both"/>
        <w:rPr>
          <w:rFonts w:eastAsia="Times New Roman"/>
          <w:b/>
          <w:bCs/>
          <w:color w:val="0E101A"/>
        </w:rPr>
      </w:pPr>
    </w:p>
    <w:p w:rsidR="00BD557E" w:rsidRPr="00C63BDA" w:rsidRDefault="00BD557E" w:rsidP="000242CD">
      <w:pPr>
        <w:spacing w:line="240" w:lineRule="auto"/>
        <w:jc w:val="both"/>
        <w:rPr>
          <w:rFonts w:eastAsia="Times New Roman"/>
          <w:b/>
          <w:bCs/>
          <w:color w:val="0E101A"/>
        </w:rPr>
      </w:pPr>
      <w:r w:rsidRPr="00C63BDA">
        <w:rPr>
          <w:rFonts w:eastAsia="Times New Roman"/>
          <w:b/>
          <w:bCs/>
          <w:color w:val="0E101A"/>
        </w:rPr>
        <w:lastRenderedPageBreak/>
        <w:t>Introduction</w:t>
      </w:r>
    </w:p>
    <w:p w:rsidR="000242CD" w:rsidRPr="00C63BDA" w:rsidRDefault="000242CD" w:rsidP="000242CD">
      <w:pPr>
        <w:spacing w:line="240" w:lineRule="auto"/>
        <w:jc w:val="both"/>
        <w:rPr>
          <w:rFonts w:eastAsia="Times New Roman"/>
          <w:color w:val="0E101A"/>
        </w:rPr>
      </w:pPr>
    </w:p>
    <w:p w:rsidR="00BD557E" w:rsidRPr="00C63BDA" w:rsidRDefault="00BD557E" w:rsidP="000242CD">
      <w:pPr>
        <w:spacing w:line="240" w:lineRule="auto"/>
        <w:jc w:val="both"/>
        <w:rPr>
          <w:rFonts w:eastAsia="Times New Roman"/>
          <w:color w:val="0E101A"/>
        </w:rPr>
      </w:pPr>
      <w:r w:rsidRPr="00C63BDA">
        <w:rPr>
          <w:rFonts w:eastAsia="Times New Roman"/>
          <w:color w:val="0E101A"/>
        </w:rPr>
        <w:t xml:space="preserve">The report of the Bhore Committee, 1946 </w:t>
      </w:r>
      <w:r w:rsidR="000B4A43" w:rsidRPr="00C63BDA">
        <w:rPr>
          <w:rFonts w:eastAsia="Times New Roman"/>
          <w:color w:val="0E101A"/>
        </w:rPr>
        <w:t xml:space="preserve">was </w:t>
      </w:r>
      <w:r w:rsidRPr="00C63BDA">
        <w:rPr>
          <w:rFonts w:eastAsia="Times New Roman"/>
          <w:color w:val="0E101A"/>
        </w:rPr>
        <w:t>considered as a landmark for India’s current healt</w:t>
      </w:r>
      <w:r w:rsidR="000F0946" w:rsidRPr="00C63BDA">
        <w:rPr>
          <w:rFonts w:eastAsia="Times New Roman"/>
          <w:color w:val="0E101A"/>
        </w:rPr>
        <w:t>hcare system [1] which divided</w:t>
      </w:r>
      <w:r w:rsidRPr="00C63BDA">
        <w:rPr>
          <w:rFonts w:eastAsia="Times New Roman"/>
          <w:color w:val="0E101A"/>
        </w:rPr>
        <w:t xml:space="preserve"> the healthcare system into three tiers on the basis of the services delivered. But India’s h</w:t>
      </w:r>
      <w:r w:rsidR="000F0946" w:rsidRPr="00C63BDA">
        <w:rPr>
          <w:rFonts w:eastAsia="Times New Roman"/>
          <w:color w:val="0E101A"/>
        </w:rPr>
        <w:t>ealth system was designed</w:t>
      </w:r>
      <w:r w:rsidR="00724114" w:rsidRPr="00C63BDA">
        <w:rPr>
          <w:rFonts w:eastAsia="Times New Roman"/>
          <w:color w:val="0E101A"/>
        </w:rPr>
        <w:t xml:space="preserve"> a</w:t>
      </w:r>
      <w:r w:rsidR="000F0946" w:rsidRPr="00C63BDA">
        <w:rPr>
          <w:rFonts w:eastAsia="Times New Roman"/>
          <w:color w:val="0E101A"/>
        </w:rPr>
        <w:t xml:space="preserve"> long time back </w:t>
      </w:r>
      <w:r w:rsidRPr="00C63BDA">
        <w:rPr>
          <w:rFonts w:eastAsia="Times New Roman"/>
          <w:color w:val="0E101A"/>
        </w:rPr>
        <w:t>when expectations of the public sectors were quite different</w:t>
      </w:r>
      <w:r w:rsidR="00D1741E" w:rsidRPr="00C63BDA">
        <w:rPr>
          <w:rFonts w:eastAsia="Times New Roman"/>
          <w:color w:val="0E101A"/>
        </w:rPr>
        <w:t>.</w:t>
      </w:r>
      <w:r w:rsidRPr="00C63BDA">
        <w:rPr>
          <w:rFonts w:eastAsia="Times New Roman"/>
          <w:color w:val="0E101A"/>
        </w:rPr>
        <w:t xml:space="preserve"> [2] Over the last few decades, while the economic development of India </w:t>
      </w:r>
      <w:r w:rsidR="000B4A43" w:rsidRPr="00C63BDA">
        <w:rPr>
          <w:rFonts w:eastAsia="Times New Roman"/>
          <w:color w:val="0E101A"/>
        </w:rPr>
        <w:t>has been</w:t>
      </w:r>
      <w:r w:rsidRPr="00C63BDA">
        <w:rPr>
          <w:rFonts w:eastAsia="Times New Roman"/>
          <w:color w:val="0E101A"/>
        </w:rPr>
        <w:t xml:space="preserve"> gaining momentum</w:t>
      </w:r>
      <w:r w:rsidR="00D1741E" w:rsidRPr="00C63BDA">
        <w:rPr>
          <w:rFonts w:eastAsia="Times New Roman"/>
          <w:color w:val="0E101A"/>
        </w:rPr>
        <w:t>,</w:t>
      </w:r>
      <w:r w:rsidRPr="00C63BDA">
        <w:rPr>
          <w:rFonts w:eastAsia="Times New Roman"/>
          <w:color w:val="0E101A"/>
        </w:rPr>
        <w:t xml:space="preserve"> [3] India’s </w:t>
      </w:r>
      <w:r w:rsidR="000F0946" w:rsidRPr="00C63BDA">
        <w:rPr>
          <w:rFonts w:eastAsia="Times New Roman"/>
          <w:color w:val="0E101A"/>
        </w:rPr>
        <w:t>public healthcare system is at</w:t>
      </w:r>
      <w:r w:rsidRPr="00C63BDA">
        <w:rPr>
          <w:rFonts w:eastAsia="Times New Roman"/>
          <w:color w:val="0E101A"/>
        </w:rPr>
        <w:t xml:space="preserve"> crossroads. Private healthcare services</w:t>
      </w:r>
      <w:r w:rsidR="000F0946" w:rsidRPr="00C63BDA">
        <w:rPr>
          <w:rFonts w:eastAsia="Times New Roman"/>
          <w:color w:val="0E101A"/>
        </w:rPr>
        <w:t xml:space="preserve"> </w:t>
      </w:r>
      <w:r w:rsidR="00C121E7" w:rsidRPr="00C63BDA">
        <w:rPr>
          <w:rFonts w:eastAsia="Times New Roman"/>
          <w:color w:val="0E101A"/>
        </w:rPr>
        <w:t>have expanded</w:t>
      </w:r>
      <w:r w:rsidRPr="00C63BDA">
        <w:rPr>
          <w:rFonts w:eastAsia="Times New Roman"/>
          <w:color w:val="0E101A"/>
        </w:rPr>
        <w:t xml:space="preserve"> rapidly due to the failure of the public healthcare system to provide accessible and equitable quality healthcare. </w:t>
      </w:r>
    </w:p>
    <w:p w:rsidR="00BD557E" w:rsidRPr="00C63BDA" w:rsidRDefault="00BD557E" w:rsidP="000242CD">
      <w:pPr>
        <w:spacing w:line="240" w:lineRule="auto"/>
        <w:jc w:val="both"/>
        <w:rPr>
          <w:rFonts w:eastAsia="Times New Roman"/>
          <w:color w:val="0E101A"/>
        </w:rPr>
      </w:pPr>
      <w:r w:rsidRPr="00C63BDA">
        <w:rPr>
          <w:rFonts w:eastAsia="Times New Roman"/>
          <w:color w:val="0E101A"/>
        </w:rPr>
        <w:t xml:space="preserve">At present, to ensure the standards for health facilities and </w:t>
      </w:r>
      <w:r w:rsidR="0083301F" w:rsidRPr="00C63BDA">
        <w:rPr>
          <w:rFonts w:eastAsia="Times New Roman"/>
          <w:color w:val="0E101A"/>
        </w:rPr>
        <w:t xml:space="preserve">to </w:t>
      </w:r>
      <w:r w:rsidRPr="00C63BDA">
        <w:rPr>
          <w:rFonts w:eastAsia="Times New Roman"/>
          <w:color w:val="0E101A"/>
        </w:rPr>
        <w:t xml:space="preserve">assess the quality of care, </w:t>
      </w:r>
      <w:r w:rsidR="000F0946" w:rsidRPr="00C63BDA">
        <w:rPr>
          <w:rFonts w:eastAsia="Times New Roman"/>
          <w:color w:val="0E101A"/>
        </w:rPr>
        <w:t xml:space="preserve">several methods have </w:t>
      </w:r>
      <w:r w:rsidR="00C121E7" w:rsidRPr="00C63BDA">
        <w:rPr>
          <w:rFonts w:eastAsia="Times New Roman"/>
          <w:color w:val="0E101A"/>
        </w:rPr>
        <w:t>been introduced in</w:t>
      </w:r>
      <w:r w:rsidRPr="00C63BDA">
        <w:rPr>
          <w:rFonts w:eastAsia="Times New Roman"/>
          <w:color w:val="0E101A"/>
        </w:rPr>
        <w:t xml:space="preserve"> India</w:t>
      </w:r>
      <w:r w:rsidR="00D1741E" w:rsidRPr="00C63BDA">
        <w:rPr>
          <w:rFonts w:eastAsia="Times New Roman"/>
          <w:color w:val="0E101A"/>
        </w:rPr>
        <w:t>. [4, 5]</w:t>
      </w:r>
      <w:r w:rsidRPr="00C63BDA">
        <w:rPr>
          <w:rFonts w:eastAsia="Times New Roman"/>
          <w:color w:val="0E101A"/>
        </w:rPr>
        <w:t xml:space="preserve"> But</w:t>
      </w:r>
      <w:r w:rsidR="000B4A43" w:rsidRPr="00C63BDA">
        <w:rPr>
          <w:rFonts w:eastAsia="Times New Roman"/>
          <w:color w:val="0E101A"/>
        </w:rPr>
        <w:t>,</w:t>
      </w:r>
      <w:r w:rsidRPr="00C63BDA">
        <w:rPr>
          <w:rFonts w:eastAsia="Times New Roman"/>
          <w:color w:val="0E101A"/>
        </w:rPr>
        <w:t xml:space="preserve"> the measurement of quality of healthcare is a complicated phenomenon due to its intangible nature. Now</w:t>
      </w:r>
      <w:r w:rsidR="000F0946" w:rsidRPr="00C63BDA">
        <w:rPr>
          <w:rFonts w:eastAsia="Times New Roman"/>
          <w:color w:val="0E101A"/>
        </w:rPr>
        <w:t xml:space="preserve"> </w:t>
      </w:r>
      <w:r w:rsidRPr="00C63BDA">
        <w:rPr>
          <w:rFonts w:eastAsia="Times New Roman"/>
          <w:color w:val="0E101A"/>
        </w:rPr>
        <w:t>a</w:t>
      </w:r>
      <w:r w:rsidR="000F0946" w:rsidRPr="00C63BDA">
        <w:rPr>
          <w:rFonts w:eastAsia="Times New Roman"/>
          <w:color w:val="0E101A"/>
        </w:rPr>
        <w:t xml:space="preserve"> </w:t>
      </w:r>
      <w:r w:rsidRPr="00C63BDA">
        <w:rPr>
          <w:rFonts w:eastAsia="Times New Roman"/>
          <w:color w:val="0E101A"/>
        </w:rPr>
        <w:t>days</w:t>
      </w:r>
      <w:r w:rsidR="000B4A43" w:rsidRPr="00C63BDA">
        <w:rPr>
          <w:rFonts w:eastAsia="Times New Roman"/>
          <w:color w:val="0E101A"/>
        </w:rPr>
        <w:t>,</w:t>
      </w:r>
      <w:r w:rsidRPr="00C63BDA">
        <w:rPr>
          <w:rFonts w:eastAsia="Times New Roman"/>
          <w:color w:val="0E101A"/>
        </w:rPr>
        <w:t xml:space="preserve"> the experience of patients has </w:t>
      </w:r>
      <w:r w:rsidR="000B4A43" w:rsidRPr="00C63BDA">
        <w:rPr>
          <w:rFonts w:eastAsia="Times New Roman"/>
          <w:color w:val="0E101A"/>
        </w:rPr>
        <w:t xml:space="preserve">been </w:t>
      </w:r>
      <w:r w:rsidRPr="00C63BDA">
        <w:rPr>
          <w:rFonts w:eastAsia="Times New Roman"/>
          <w:color w:val="0E101A"/>
        </w:rPr>
        <w:t xml:space="preserve">given more importance as it helps to measure the quality </w:t>
      </w:r>
      <w:r w:rsidR="000F0946" w:rsidRPr="00C63BDA">
        <w:rPr>
          <w:rFonts w:eastAsia="Times New Roman"/>
          <w:color w:val="0E101A"/>
        </w:rPr>
        <w:t xml:space="preserve">of the healthcare system </w:t>
      </w:r>
      <w:r w:rsidR="000B4A43" w:rsidRPr="00C63BDA">
        <w:rPr>
          <w:rFonts w:eastAsia="Times New Roman"/>
          <w:color w:val="0E101A"/>
        </w:rPr>
        <w:t>as</w:t>
      </w:r>
      <w:r w:rsidRPr="00C63BDA">
        <w:rPr>
          <w:rFonts w:eastAsia="Times New Roman"/>
          <w:color w:val="0E101A"/>
        </w:rPr>
        <w:t xml:space="preserve"> an important step to establish patient-centered care. [6] To identify </w:t>
      </w:r>
      <w:r w:rsidR="000B4A43" w:rsidRPr="00C63BDA">
        <w:rPr>
          <w:rFonts w:eastAsia="Times New Roman"/>
          <w:color w:val="0E101A"/>
        </w:rPr>
        <w:t xml:space="preserve">the </w:t>
      </w:r>
      <w:r w:rsidRPr="00C63BDA">
        <w:rPr>
          <w:rFonts w:eastAsia="Times New Roman"/>
          <w:color w:val="0E101A"/>
        </w:rPr>
        <w:t>inequality in h</w:t>
      </w:r>
      <w:r w:rsidR="0083301F" w:rsidRPr="00C63BDA">
        <w:rPr>
          <w:rFonts w:eastAsia="Times New Roman"/>
          <w:color w:val="0E101A"/>
        </w:rPr>
        <w:t>ealthcare services, th</w:t>
      </w:r>
      <w:r w:rsidR="000B4A43" w:rsidRPr="00C63BDA">
        <w:rPr>
          <w:rFonts w:eastAsia="Times New Roman"/>
          <w:color w:val="0E101A"/>
        </w:rPr>
        <w:t>e</w:t>
      </w:r>
      <w:r w:rsidR="0083301F" w:rsidRPr="00C63BDA">
        <w:rPr>
          <w:rFonts w:eastAsia="Times New Roman"/>
          <w:color w:val="0E101A"/>
        </w:rPr>
        <w:t xml:space="preserve"> paper trie</w:t>
      </w:r>
      <w:r w:rsidRPr="00C63BDA">
        <w:rPr>
          <w:rFonts w:eastAsia="Times New Roman"/>
          <w:color w:val="0E101A"/>
        </w:rPr>
        <w:t>s to measure the experience of patients about healthcare among three different levels of the Public healthcare system</w:t>
      </w:r>
      <w:r w:rsidR="0052783F" w:rsidRPr="00C63BDA">
        <w:rPr>
          <w:rFonts w:eastAsia="Times New Roman"/>
          <w:color w:val="0E101A"/>
        </w:rPr>
        <w:t xml:space="preserve">. </w:t>
      </w:r>
      <w:r w:rsidRPr="00C63BDA">
        <w:rPr>
          <w:rFonts w:eastAsia="Times New Roman"/>
          <w:color w:val="0E101A"/>
        </w:rPr>
        <w:t> </w:t>
      </w:r>
    </w:p>
    <w:p w:rsidR="000242CD" w:rsidRPr="00C63BDA" w:rsidRDefault="000242CD" w:rsidP="000242CD">
      <w:pPr>
        <w:spacing w:line="240" w:lineRule="auto"/>
        <w:jc w:val="both"/>
        <w:rPr>
          <w:rFonts w:eastAsia="Times New Roman"/>
          <w:color w:val="0E101A"/>
        </w:rPr>
      </w:pPr>
    </w:p>
    <w:p w:rsidR="00BD557E" w:rsidRPr="00C63BDA" w:rsidRDefault="00BD557E" w:rsidP="000242CD">
      <w:pPr>
        <w:spacing w:line="240" w:lineRule="auto"/>
        <w:jc w:val="both"/>
        <w:rPr>
          <w:rFonts w:eastAsia="Times New Roman"/>
          <w:color w:val="0E101A"/>
        </w:rPr>
      </w:pPr>
      <w:r w:rsidRPr="00C63BDA">
        <w:rPr>
          <w:rFonts w:eastAsia="Times New Roman"/>
          <w:b/>
          <w:bCs/>
          <w:color w:val="0E101A"/>
        </w:rPr>
        <w:t>Material and Methods </w:t>
      </w:r>
    </w:p>
    <w:p w:rsidR="000242CD" w:rsidRPr="00C63BDA" w:rsidRDefault="00BD557E" w:rsidP="000242CD">
      <w:pPr>
        <w:pStyle w:val="Heading1"/>
        <w:shd w:val="clear" w:color="auto" w:fill="FFFFFF"/>
        <w:spacing w:before="255" w:beforeAutospacing="0" w:after="120" w:afterAutospacing="0"/>
        <w:jc w:val="both"/>
        <w:rPr>
          <w:b w:val="0"/>
          <w:color w:val="0E101A"/>
          <w:sz w:val="24"/>
          <w:szCs w:val="24"/>
        </w:rPr>
      </w:pPr>
      <w:r w:rsidRPr="00C63BDA">
        <w:rPr>
          <w:color w:val="0E101A"/>
          <w:sz w:val="24"/>
          <w:szCs w:val="24"/>
        </w:rPr>
        <w:t>Questionnaire design:</w:t>
      </w:r>
      <w:r w:rsidRPr="00C63BDA">
        <w:rPr>
          <w:b w:val="0"/>
          <w:color w:val="0E101A"/>
          <w:sz w:val="24"/>
          <w:szCs w:val="24"/>
        </w:rPr>
        <w:t> PREM (Patient Report Experience Measure) method has been applied wh</w:t>
      </w:r>
      <w:r w:rsidR="00724114" w:rsidRPr="00C63BDA">
        <w:rPr>
          <w:b w:val="0"/>
          <w:color w:val="0E101A"/>
          <w:sz w:val="24"/>
          <w:szCs w:val="24"/>
        </w:rPr>
        <w:t>ich is a measurement of patient</w:t>
      </w:r>
      <w:r w:rsidRPr="00C63BDA">
        <w:rPr>
          <w:b w:val="0"/>
          <w:color w:val="0E101A"/>
          <w:sz w:val="24"/>
          <w:szCs w:val="24"/>
        </w:rPr>
        <w:t>s</w:t>
      </w:r>
      <w:r w:rsidR="00724114" w:rsidRPr="00C63BDA">
        <w:rPr>
          <w:b w:val="0"/>
          <w:color w:val="0E101A"/>
          <w:sz w:val="24"/>
          <w:szCs w:val="24"/>
        </w:rPr>
        <w:t>’</w:t>
      </w:r>
      <w:r w:rsidRPr="00C63BDA">
        <w:rPr>
          <w:b w:val="0"/>
          <w:color w:val="0E101A"/>
          <w:sz w:val="24"/>
          <w:szCs w:val="24"/>
        </w:rPr>
        <w:t xml:space="preserve"> perception</w:t>
      </w:r>
      <w:r w:rsidR="00B6423A" w:rsidRPr="00C63BDA">
        <w:rPr>
          <w:b w:val="0"/>
          <w:color w:val="0E101A"/>
          <w:sz w:val="24"/>
          <w:szCs w:val="24"/>
        </w:rPr>
        <w:t xml:space="preserve"> of their personal experience to</w:t>
      </w:r>
      <w:r w:rsidRPr="00C63BDA">
        <w:rPr>
          <w:b w:val="0"/>
          <w:color w:val="0E101A"/>
          <w:sz w:val="24"/>
          <w:szCs w:val="24"/>
        </w:rPr>
        <w:t xml:space="preserve"> </w:t>
      </w:r>
      <w:r w:rsidR="00BF3566" w:rsidRPr="00C63BDA">
        <w:rPr>
          <w:b w:val="0"/>
          <w:color w:val="0E101A"/>
          <w:sz w:val="24"/>
          <w:szCs w:val="24"/>
        </w:rPr>
        <w:t xml:space="preserve">the </w:t>
      </w:r>
      <w:r w:rsidRPr="00C63BDA">
        <w:rPr>
          <w:b w:val="0"/>
          <w:color w:val="0E101A"/>
          <w:sz w:val="24"/>
          <w:szCs w:val="24"/>
        </w:rPr>
        <w:t>care they have received</w:t>
      </w:r>
      <w:r w:rsidR="009D7C8E" w:rsidRPr="00C63BDA">
        <w:rPr>
          <w:b w:val="0"/>
          <w:color w:val="0E101A"/>
          <w:sz w:val="24"/>
          <w:szCs w:val="24"/>
        </w:rPr>
        <w:t xml:space="preserve">. [7] </w:t>
      </w:r>
      <w:r w:rsidRPr="00C63BDA">
        <w:rPr>
          <w:b w:val="0"/>
          <w:color w:val="0E101A"/>
          <w:sz w:val="24"/>
          <w:szCs w:val="24"/>
        </w:rPr>
        <w:t>To measure the experience of the patients</w:t>
      </w:r>
      <w:r w:rsidR="00B6423A" w:rsidRPr="00C63BDA">
        <w:rPr>
          <w:b w:val="0"/>
          <w:color w:val="0E101A"/>
          <w:sz w:val="24"/>
          <w:szCs w:val="24"/>
        </w:rPr>
        <w:t>,</w:t>
      </w:r>
      <w:r w:rsidRPr="00C63BDA">
        <w:rPr>
          <w:b w:val="0"/>
          <w:color w:val="0E101A"/>
          <w:sz w:val="24"/>
          <w:szCs w:val="24"/>
        </w:rPr>
        <w:t xml:space="preserve"> 20 questions have been taken into consideration by adopting </w:t>
      </w:r>
      <w:r w:rsidR="008979AF" w:rsidRPr="00C63BDA">
        <w:rPr>
          <w:rStyle w:val="field"/>
          <w:b w:val="0"/>
          <w:color w:val="000000"/>
          <w:sz w:val="24"/>
          <w:szCs w:val="24"/>
        </w:rPr>
        <w:t xml:space="preserve">Consumer Assessment of Healthcare Providers &amp; Systems </w:t>
      </w:r>
      <w:r w:rsidR="008979AF" w:rsidRPr="00C63BDA">
        <w:rPr>
          <w:rStyle w:val="field"/>
          <w:b w:val="0"/>
          <w:sz w:val="24"/>
          <w:szCs w:val="24"/>
        </w:rPr>
        <w:t>(</w:t>
      </w:r>
      <w:r w:rsidRPr="00C63BDA">
        <w:rPr>
          <w:b w:val="0"/>
          <w:sz w:val="24"/>
          <w:szCs w:val="24"/>
        </w:rPr>
        <w:t>CAHPS</w:t>
      </w:r>
      <w:r w:rsidR="008979AF" w:rsidRPr="00C63BDA">
        <w:rPr>
          <w:b w:val="0"/>
          <w:sz w:val="24"/>
          <w:szCs w:val="24"/>
        </w:rPr>
        <w:t xml:space="preserve">) </w:t>
      </w:r>
      <w:r w:rsidR="008979AF" w:rsidRPr="00C63BDA">
        <w:rPr>
          <w:b w:val="0"/>
          <w:color w:val="0E101A"/>
          <w:sz w:val="24"/>
          <w:szCs w:val="24"/>
        </w:rPr>
        <w:t>survey</w:t>
      </w:r>
      <w:r w:rsidRPr="00C63BDA">
        <w:rPr>
          <w:b w:val="0"/>
          <w:color w:val="0E101A"/>
          <w:sz w:val="24"/>
          <w:szCs w:val="24"/>
        </w:rPr>
        <w:t xml:space="preserve"> Questions (2018)</w:t>
      </w:r>
      <w:r w:rsidR="009D7C8E" w:rsidRPr="00C63BDA">
        <w:rPr>
          <w:b w:val="0"/>
          <w:color w:val="0E101A"/>
          <w:sz w:val="24"/>
          <w:szCs w:val="24"/>
        </w:rPr>
        <w:t>.</w:t>
      </w:r>
      <w:r w:rsidR="00F81A70" w:rsidRPr="00C63BDA">
        <w:rPr>
          <w:b w:val="0"/>
          <w:color w:val="0E101A"/>
          <w:sz w:val="24"/>
          <w:szCs w:val="24"/>
        </w:rPr>
        <w:t xml:space="preserve"> [8]</w:t>
      </w:r>
      <w:r w:rsidRPr="00C63BDA">
        <w:rPr>
          <w:b w:val="0"/>
          <w:color w:val="0E101A"/>
          <w:sz w:val="24"/>
          <w:szCs w:val="24"/>
        </w:rPr>
        <w:t xml:space="preserve"> This questionnaire is suitable for both indoor and outdoor patients</w:t>
      </w:r>
      <w:r w:rsidR="00BF3566" w:rsidRPr="00C63BDA">
        <w:rPr>
          <w:b w:val="0"/>
          <w:color w:val="0E101A"/>
          <w:sz w:val="24"/>
          <w:szCs w:val="24"/>
        </w:rPr>
        <w:t xml:space="preserve"> and </w:t>
      </w:r>
      <w:r w:rsidRPr="00C63BDA">
        <w:rPr>
          <w:b w:val="0"/>
          <w:color w:val="0E101A"/>
          <w:sz w:val="24"/>
          <w:szCs w:val="24"/>
        </w:rPr>
        <w:t xml:space="preserve">has been written in two languages Bengali and English so that respondents </w:t>
      </w:r>
      <w:r w:rsidR="00B6423A" w:rsidRPr="00C63BDA">
        <w:rPr>
          <w:b w:val="0"/>
          <w:color w:val="0E101A"/>
          <w:sz w:val="24"/>
          <w:szCs w:val="24"/>
        </w:rPr>
        <w:t>feel comfort</w:t>
      </w:r>
      <w:r w:rsidR="00FE0374" w:rsidRPr="00C63BDA">
        <w:rPr>
          <w:b w:val="0"/>
          <w:color w:val="0E101A"/>
          <w:sz w:val="24"/>
          <w:szCs w:val="24"/>
        </w:rPr>
        <w:t>able</w:t>
      </w:r>
      <w:r w:rsidRPr="00C63BDA">
        <w:rPr>
          <w:b w:val="0"/>
          <w:color w:val="0E101A"/>
          <w:sz w:val="24"/>
          <w:szCs w:val="24"/>
        </w:rPr>
        <w:t xml:space="preserve"> with the questions. Seven points Likert scale has been used to evaluate the experience of the respondents</w:t>
      </w:r>
      <w:r w:rsidR="00BF3566" w:rsidRPr="00C63BDA">
        <w:rPr>
          <w:b w:val="0"/>
          <w:color w:val="0E101A"/>
          <w:sz w:val="24"/>
          <w:szCs w:val="24"/>
        </w:rPr>
        <w:t xml:space="preserve">. </w:t>
      </w:r>
      <w:r w:rsidRPr="00C63BDA">
        <w:rPr>
          <w:b w:val="0"/>
          <w:color w:val="0E101A"/>
          <w:sz w:val="24"/>
          <w:szCs w:val="24"/>
        </w:rPr>
        <w:t>To conduct this study</w:t>
      </w:r>
      <w:r w:rsidR="00B6423A" w:rsidRPr="00C63BDA">
        <w:rPr>
          <w:b w:val="0"/>
          <w:color w:val="0E101A"/>
          <w:sz w:val="24"/>
          <w:szCs w:val="24"/>
        </w:rPr>
        <w:t>,</w:t>
      </w:r>
      <w:r w:rsidRPr="00C63BDA">
        <w:rPr>
          <w:b w:val="0"/>
          <w:color w:val="0E101A"/>
          <w:sz w:val="24"/>
          <w:szCs w:val="24"/>
        </w:rPr>
        <w:t xml:space="preserve"> permission has been taken from CMOH (Chief Medical Officer of Health)</w:t>
      </w:r>
      <w:r w:rsidR="00B6423A" w:rsidRPr="00C63BDA">
        <w:rPr>
          <w:b w:val="0"/>
          <w:color w:val="0E101A"/>
          <w:sz w:val="24"/>
          <w:szCs w:val="24"/>
        </w:rPr>
        <w:t>,</w:t>
      </w:r>
      <w:r w:rsidRPr="00C63BDA">
        <w:rPr>
          <w:b w:val="0"/>
          <w:color w:val="0E101A"/>
          <w:sz w:val="24"/>
          <w:szCs w:val="24"/>
        </w:rPr>
        <w:t xml:space="preserve"> Alipurduar District </w:t>
      </w:r>
      <w:r w:rsidR="00B6423A" w:rsidRPr="00C63BDA">
        <w:rPr>
          <w:b w:val="0"/>
          <w:color w:val="0E101A"/>
          <w:sz w:val="24"/>
          <w:szCs w:val="24"/>
        </w:rPr>
        <w:t>for field survey.</w:t>
      </w:r>
    </w:p>
    <w:p w:rsidR="00B60BBF" w:rsidRPr="00C63BDA" w:rsidRDefault="00BD557E" w:rsidP="000242CD">
      <w:pPr>
        <w:spacing w:line="240" w:lineRule="auto"/>
        <w:jc w:val="both"/>
        <w:rPr>
          <w:rFonts w:eastAsia="Times New Roman"/>
          <w:color w:val="0E101A"/>
        </w:rPr>
      </w:pPr>
      <w:r w:rsidRPr="00C63BDA">
        <w:rPr>
          <w:rFonts w:eastAsia="Times New Roman"/>
          <w:b/>
          <w:bCs/>
          <w:color w:val="0E101A"/>
        </w:rPr>
        <w:t>Selection of Health Centers:</w:t>
      </w:r>
      <w:r w:rsidRPr="00C63BDA">
        <w:rPr>
          <w:rFonts w:eastAsia="Times New Roman"/>
          <w:color w:val="0E101A"/>
        </w:rPr>
        <w:t xml:space="preserve"> The public health care system in India </w:t>
      </w:r>
      <w:r w:rsidR="00710C67" w:rsidRPr="00C63BDA">
        <w:rPr>
          <w:rFonts w:eastAsia="Times New Roman"/>
          <w:color w:val="0E101A"/>
        </w:rPr>
        <w:t xml:space="preserve">is of </w:t>
      </w:r>
      <w:r w:rsidR="00FE0374" w:rsidRPr="00C63BDA">
        <w:rPr>
          <w:rFonts w:eastAsia="Times New Roman"/>
          <w:color w:val="0E101A"/>
        </w:rPr>
        <w:t xml:space="preserve">the </w:t>
      </w:r>
      <w:r w:rsidRPr="00C63BDA">
        <w:rPr>
          <w:rFonts w:eastAsia="Times New Roman"/>
          <w:color w:val="0E101A"/>
        </w:rPr>
        <w:t>three-ti</w:t>
      </w:r>
      <w:r w:rsidR="00846ED7" w:rsidRPr="00C63BDA">
        <w:rPr>
          <w:rFonts w:eastAsia="Times New Roman"/>
          <w:color w:val="0E101A"/>
        </w:rPr>
        <w:t>er system, namely Tertiary, Secondary</w:t>
      </w:r>
      <w:r w:rsidR="00710C67" w:rsidRPr="00C63BDA">
        <w:rPr>
          <w:rFonts w:eastAsia="Times New Roman"/>
          <w:color w:val="0E101A"/>
        </w:rPr>
        <w:t xml:space="preserve"> and Primary</w:t>
      </w:r>
      <w:r w:rsidR="00F81A70" w:rsidRPr="00C63BDA">
        <w:rPr>
          <w:rFonts w:eastAsia="Times New Roman"/>
          <w:color w:val="0E101A"/>
        </w:rPr>
        <w:t xml:space="preserve"> [9</w:t>
      </w:r>
      <w:r w:rsidRPr="00C63BDA">
        <w:rPr>
          <w:rFonts w:eastAsia="Times New Roman"/>
          <w:color w:val="0E101A"/>
        </w:rPr>
        <w:t>] and in every level</w:t>
      </w:r>
      <w:r w:rsidR="00710C67" w:rsidRPr="00C63BDA">
        <w:rPr>
          <w:rFonts w:eastAsia="Times New Roman"/>
          <w:color w:val="0E101A"/>
        </w:rPr>
        <w:t>,</w:t>
      </w:r>
      <w:r w:rsidRPr="00C63BDA">
        <w:rPr>
          <w:rFonts w:eastAsia="Times New Roman"/>
          <w:color w:val="0E101A"/>
        </w:rPr>
        <w:t xml:space="preserve"> different types of facility centers are available. This study mainly measures the patients’ experience among three different levels of the Public healthcare system and for this purpose, </w:t>
      </w:r>
      <w:r w:rsidR="00710C67" w:rsidRPr="00C63BDA">
        <w:rPr>
          <w:rFonts w:eastAsia="Times New Roman"/>
          <w:color w:val="0E101A"/>
        </w:rPr>
        <w:t xml:space="preserve">one </w:t>
      </w:r>
      <w:r w:rsidR="00413C80" w:rsidRPr="00C63BDA">
        <w:rPr>
          <w:rFonts w:eastAsia="Times New Roman"/>
          <w:color w:val="0E101A"/>
        </w:rPr>
        <w:t xml:space="preserve">single </w:t>
      </w:r>
      <w:r w:rsidRPr="00C63BDA">
        <w:rPr>
          <w:rFonts w:eastAsia="Times New Roman"/>
          <w:color w:val="0E101A"/>
        </w:rPr>
        <w:t xml:space="preserve">center has been purposively chosen from </w:t>
      </w:r>
      <w:r w:rsidR="00413C80" w:rsidRPr="00C63BDA">
        <w:rPr>
          <w:rFonts w:eastAsia="Times New Roman"/>
          <w:color w:val="0E101A"/>
        </w:rPr>
        <w:t>each</w:t>
      </w:r>
      <w:r w:rsidRPr="00C63BDA">
        <w:rPr>
          <w:rFonts w:eastAsia="Times New Roman"/>
          <w:color w:val="0E101A"/>
        </w:rPr>
        <w:t xml:space="preserve"> level of</w:t>
      </w:r>
      <w:r w:rsidR="00EF337B" w:rsidRPr="00C63BDA">
        <w:rPr>
          <w:rFonts w:eastAsia="Times New Roman"/>
          <w:color w:val="0E101A"/>
        </w:rPr>
        <w:t xml:space="preserve"> the Public healthcare system. </w:t>
      </w:r>
      <w:r w:rsidRPr="00C63BDA">
        <w:rPr>
          <w:rFonts w:eastAsia="Times New Roman"/>
          <w:color w:val="0E101A"/>
        </w:rPr>
        <w:t xml:space="preserve">Lastly, one hospital or healthcare center </w:t>
      </w:r>
      <w:r w:rsidR="00B60BBF" w:rsidRPr="00C63BDA">
        <w:rPr>
          <w:rFonts w:eastAsia="Times New Roman"/>
          <w:color w:val="0E101A"/>
        </w:rPr>
        <w:t xml:space="preserve">from each tier </w:t>
      </w:r>
      <w:r w:rsidRPr="00C63BDA">
        <w:rPr>
          <w:rFonts w:eastAsia="Times New Roman"/>
          <w:color w:val="0E101A"/>
        </w:rPr>
        <w:t xml:space="preserve">has been randomly </w:t>
      </w:r>
      <w:r w:rsidR="00C121E7" w:rsidRPr="00C63BDA">
        <w:rPr>
          <w:rFonts w:eastAsia="Times New Roman"/>
          <w:color w:val="0E101A"/>
        </w:rPr>
        <w:t>selected.</w:t>
      </w:r>
    </w:p>
    <w:p w:rsidR="000242CD" w:rsidRPr="00C63BDA" w:rsidRDefault="000242CD" w:rsidP="000242CD">
      <w:pPr>
        <w:spacing w:line="240" w:lineRule="auto"/>
        <w:jc w:val="both"/>
        <w:rPr>
          <w:rFonts w:eastAsia="Times New Roman"/>
          <w:color w:val="0E101A"/>
        </w:rPr>
      </w:pPr>
    </w:p>
    <w:p w:rsidR="00BD557E" w:rsidRPr="00C63BDA" w:rsidRDefault="00BD557E" w:rsidP="000242CD">
      <w:pPr>
        <w:spacing w:line="240" w:lineRule="auto"/>
        <w:jc w:val="both"/>
        <w:rPr>
          <w:rFonts w:eastAsia="Times New Roman"/>
          <w:color w:val="0E101A"/>
        </w:rPr>
      </w:pPr>
      <w:r w:rsidRPr="00C63BDA">
        <w:rPr>
          <w:rFonts w:eastAsia="Times New Roman"/>
          <w:b/>
          <w:bCs/>
          <w:color w:val="0E101A"/>
        </w:rPr>
        <w:t>Sampling:</w:t>
      </w:r>
      <w:r w:rsidRPr="00C63BDA">
        <w:rPr>
          <w:rFonts w:eastAsia="Times New Roman"/>
          <w:color w:val="0E101A"/>
        </w:rPr>
        <w:t>  The total population of this district has been taken into consideration to select the sample size of the patients as the public healthcare facilities provide services</w:t>
      </w:r>
      <w:r w:rsidR="006F0FA0" w:rsidRPr="00C63BDA">
        <w:rPr>
          <w:rFonts w:eastAsia="Times New Roman"/>
          <w:color w:val="0E101A"/>
        </w:rPr>
        <w:t xml:space="preserve"> to the whole population of the</w:t>
      </w:r>
      <w:r w:rsidRPr="00C63BDA">
        <w:rPr>
          <w:rFonts w:eastAsia="Times New Roman"/>
          <w:color w:val="0E101A"/>
        </w:rPr>
        <w:t xml:space="preserve"> district. </w:t>
      </w:r>
      <w:r w:rsidR="00FE0374" w:rsidRPr="00C63BDA">
        <w:rPr>
          <w:rFonts w:eastAsia="Times New Roman"/>
          <w:color w:val="0E101A"/>
        </w:rPr>
        <w:t xml:space="preserve">With a 90 % confidence level and a 5 % margin of error, 271 sample is obtained for the study because the sample size between 30 and 500 is generally sufficient for much </w:t>
      </w:r>
      <w:r w:rsidRPr="00C63BDA">
        <w:rPr>
          <w:rFonts w:eastAsia="Times New Roman"/>
          <w:color w:val="0E101A"/>
        </w:rPr>
        <w:t>research</w:t>
      </w:r>
      <w:r w:rsidR="009D7C8E" w:rsidRPr="00C63BDA">
        <w:rPr>
          <w:rFonts w:eastAsia="Times New Roman"/>
          <w:color w:val="0E101A"/>
        </w:rPr>
        <w:t>.</w:t>
      </w:r>
      <w:r w:rsidRPr="00C63BDA">
        <w:rPr>
          <w:rFonts w:eastAsia="Times New Roman"/>
          <w:color w:val="0E101A"/>
        </w:rPr>
        <w:t xml:space="preserve"> </w:t>
      </w:r>
      <w:r w:rsidR="00F81A70" w:rsidRPr="00C63BDA">
        <w:rPr>
          <w:rFonts w:eastAsia="Times New Roman"/>
          <w:color w:val="0E101A"/>
        </w:rPr>
        <w:t>[10</w:t>
      </w:r>
      <w:r w:rsidRPr="00C63BDA">
        <w:rPr>
          <w:rFonts w:eastAsia="Times New Roman"/>
          <w:color w:val="0E101A"/>
        </w:rPr>
        <w:t>] A total of 300 Sample size has been taken</w:t>
      </w:r>
      <w:r w:rsidR="006F0FA0" w:rsidRPr="00C63BDA">
        <w:rPr>
          <w:rFonts w:eastAsia="Times New Roman"/>
          <w:color w:val="0E101A"/>
        </w:rPr>
        <w:t xml:space="preserve"> to round up the sample </w:t>
      </w:r>
      <w:r w:rsidR="00C121E7" w:rsidRPr="00C63BDA">
        <w:rPr>
          <w:rFonts w:eastAsia="Times New Roman"/>
          <w:color w:val="0E101A"/>
        </w:rPr>
        <w:t>271 to</w:t>
      </w:r>
      <w:r w:rsidRPr="00C63BDA">
        <w:rPr>
          <w:rFonts w:eastAsia="Times New Roman"/>
          <w:color w:val="0E101A"/>
        </w:rPr>
        <w:t xml:space="preserve"> minimize the error and from each </w:t>
      </w:r>
      <w:r w:rsidR="00EF0B64" w:rsidRPr="00C63BDA">
        <w:rPr>
          <w:rFonts w:eastAsia="Times New Roman"/>
          <w:color w:val="0E101A"/>
        </w:rPr>
        <w:t>level,</w:t>
      </w:r>
      <w:r w:rsidRPr="00C63BDA">
        <w:rPr>
          <w:rFonts w:eastAsia="Times New Roman"/>
          <w:color w:val="0E101A"/>
        </w:rPr>
        <w:t xml:space="preserve"> 100 patients have been selected. By using a random sampling technique, the required primary data have been collected from those patients who visited or </w:t>
      </w:r>
      <w:r w:rsidR="006F0FA0" w:rsidRPr="00C63BDA">
        <w:rPr>
          <w:rFonts w:eastAsia="Times New Roman"/>
          <w:color w:val="0E101A"/>
        </w:rPr>
        <w:t xml:space="preserve">were </w:t>
      </w:r>
      <w:r w:rsidR="00FE0374" w:rsidRPr="00C63BDA">
        <w:rPr>
          <w:rFonts w:eastAsia="Times New Roman"/>
          <w:color w:val="0E101A"/>
        </w:rPr>
        <w:t>admitted to</w:t>
      </w:r>
      <w:r w:rsidRPr="00C63BDA">
        <w:rPr>
          <w:rFonts w:eastAsia="Times New Roman"/>
          <w:color w:val="0E101A"/>
        </w:rPr>
        <w:t xml:space="preserve"> </w:t>
      </w:r>
      <w:r w:rsidR="00216748" w:rsidRPr="00C63BDA">
        <w:rPr>
          <w:rFonts w:eastAsia="Times New Roman"/>
          <w:color w:val="0E101A"/>
        </w:rPr>
        <w:t>these centers</w:t>
      </w:r>
      <w:r w:rsidR="006F0FA0" w:rsidRPr="00C63BDA">
        <w:rPr>
          <w:rFonts w:eastAsia="Times New Roman"/>
          <w:color w:val="0E101A"/>
        </w:rPr>
        <w:t>.</w:t>
      </w:r>
      <w:r w:rsidR="00216748" w:rsidRPr="00C63BDA">
        <w:rPr>
          <w:rFonts w:eastAsia="Times New Roman"/>
          <w:color w:val="0E101A"/>
        </w:rPr>
        <w:t xml:space="preserve"> </w:t>
      </w:r>
    </w:p>
    <w:p w:rsidR="000242CD" w:rsidRPr="00C63BDA" w:rsidRDefault="000242CD" w:rsidP="000242CD">
      <w:pPr>
        <w:spacing w:line="240" w:lineRule="auto"/>
        <w:jc w:val="both"/>
        <w:rPr>
          <w:rFonts w:eastAsia="Times New Roman"/>
          <w:color w:val="0E101A"/>
        </w:rPr>
      </w:pPr>
    </w:p>
    <w:p w:rsidR="00063306" w:rsidRPr="00C63BDA" w:rsidRDefault="00BD557E" w:rsidP="000242CD">
      <w:pPr>
        <w:spacing w:line="240" w:lineRule="auto"/>
        <w:jc w:val="both"/>
        <w:rPr>
          <w:rFonts w:eastAsia="Times New Roman"/>
          <w:color w:val="0E101A"/>
        </w:rPr>
      </w:pPr>
      <w:r w:rsidRPr="00C63BDA">
        <w:rPr>
          <w:rFonts w:eastAsia="Times New Roman"/>
          <w:b/>
          <w:bCs/>
          <w:color w:val="0E101A"/>
        </w:rPr>
        <w:t>Analysis:</w:t>
      </w:r>
      <w:r w:rsidRPr="00C63BDA">
        <w:rPr>
          <w:rFonts w:eastAsia="Times New Roman"/>
          <w:color w:val="0E101A"/>
        </w:rPr>
        <w:t> Firstly</w:t>
      </w:r>
      <w:r w:rsidR="006F0FA0" w:rsidRPr="00C63BDA">
        <w:rPr>
          <w:rFonts w:eastAsia="Times New Roman"/>
          <w:color w:val="0E101A"/>
        </w:rPr>
        <w:t>,</w:t>
      </w:r>
      <w:r w:rsidRPr="00C63BDA">
        <w:rPr>
          <w:rFonts w:eastAsia="Times New Roman"/>
          <w:color w:val="0E101A"/>
        </w:rPr>
        <w:t xml:space="preserve"> Exploratory Factor Analysis (EFA) </w:t>
      </w:r>
      <w:r w:rsidR="006F0FA0" w:rsidRPr="00C63BDA">
        <w:rPr>
          <w:rFonts w:eastAsia="Times New Roman"/>
          <w:color w:val="0E101A"/>
        </w:rPr>
        <w:t xml:space="preserve">has been </w:t>
      </w:r>
      <w:r w:rsidRPr="00C63BDA">
        <w:rPr>
          <w:rFonts w:eastAsia="Times New Roman"/>
          <w:color w:val="0E101A"/>
        </w:rPr>
        <w:t xml:space="preserve">used </w:t>
      </w:r>
      <w:r w:rsidR="00276C9C" w:rsidRPr="00C63BDA">
        <w:rPr>
          <w:rFonts w:eastAsia="Times New Roman"/>
          <w:color w:val="0E101A"/>
        </w:rPr>
        <w:t xml:space="preserve">which helps to </w:t>
      </w:r>
      <w:r w:rsidR="00276C9C" w:rsidRPr="00C63BDA">
        <w:t>reduce the</w:t>
      </w:r>
      <w:r w:rsidR="00276C9C" w:rsidRPr="00C63BDA">
        <w:rPr>
          <w:rFonts w:eastAsia="Times New Roman"/>
          <w:color w:val="0E101A"/>
        </w:rPr>
        <w:t xml:space="preserve"> </w:t>
      </w:r>
      <w:r w:rsidR="00276C9C" w:rsidRPr="00C63BDA">
        <w:t>measurab</w:t>
      </w:r>
      <w:r w:rsidR="00FE0374" w:rsidRPr="00C63BDA">
        <w:t>le and observable variables to</w:t>
      </w:r>
      <w:r w:rsidR="00276C9C" w:rsidRPr="00C63BDA">
        <w:t xml:space="preserve"> fewer latent variables that share a commo</w:t>
      </w:r>
      <w:r w:rsidR="009D7C8E" w:rsidRPr="00C63BDA">
        <w:t>n variance and are unobservable</w:t>
      </w:r>
      <w:r w:rsidR="009D7C8E" w:rsidRPr="00C63BDA">
        <w:rPr>
          <w:rFonts w:eastAsia="Times New Roman"/>
          <w:color w:val="0E101A"/>
        </w:rPr>
        <w:t xml:space="preserve">. </w:t>
      </w:r>
      <w:r w:rsidRPr="00C63BDA">
        <w:rPr>
          <w:rFonts w:eastAsia="Times New Roman"/>
          <w:color w:val="0E101A"/>
        </w:rPr>
        <w:t>[11</w:t>
      </w:r>
      <w:r w:rsidR="008C43D9" w:rsidRPr="00C63BDA">
        <w:rPr>
          <w:rFonts w:eastAsia="Times New Roman"/>
          <w:color w:val="0E101A"/>
        </w:rPr>
        <w:t>, 12</w:t>
      </w:r>
      <w:r w:rsidR="009D7C8E" w:rsidRPr="00C63BDA">
        <w:rPr>
          <w:rFonts w:eastAsia="Times New Roman"/>
          <w:color w:val="0E101A"/>
        </w:rPr>
        <w:t xml:space="preserve">] </w:t>
      </w:r>
      <w:r w:rsidR="006F0FA0" w:rsidRPr="00C63BDA">
        <w:rPr>
          <w:rFonts w:eastAsia="Times New Roman"/>
          <w:color w:val="0E101A"/>
        </w:rPr>
        <w:t xml:space="preserve">To </w:t>
      </w:r>
      <w:r w:rsidRPr="00C63BDA">
        <w:rPr>
          <w:rFonts w:eastAsia="Times New Roman"/>
          <w:color w:val="0E101A"/>
        </w:rPr>
        <w:t>measure the reliability of the questions, Cronbach’s Alpha has been calculated where the acceptable value of Cronbach’s Alpha should be more than 0.70. To measure the i</w:t>
      </w:r>
      <w:r w:rsidR="00BC5B6A" w:rsidRPr="00C63BDA">
        <w:rPr>
          <w:rFonts w:eastAsia="Times New Roman"/>
          <w:color w:val="0E101A"/>
        </w:rPr>
        <w:t>nequality in the experience of</w:t>
      </w:r>
      <w:r w:rsidRPr="00C63BDA">
        <w:rPr>
          <w:rFonts w:eastAsia="Times New Roman"/>
          <w:color w:val="0E101A"/>
        </w:rPr>
        <w:t xml:space="preserve"> patients </w:t>
      </w:r>
      <w:r w:rsidR="006F0FA0" w:rsidRPr="00C63BDA">
        <w:rPr>
          <w:rFonts w:eastAsia="Times New Roman"/>
          <w:color w:val="0E101A"/>
        </w:rPr>
        <w:t xml:space="preserve">between </w:t>
      </w:r>
      <w:r w:rsidR="00BC5B6A" w:rsidRPr="00C63BDA">
        <w:rPr>
          <w:rFonts w:eastAsia="Times New Roman"/>
          <w:color w:val="0E101A"/>
        </w:rPr>
        <w:t xml:space="preserve">the </w:t>
      </w:r>
      <w:r w:rsidR="00A053C5" w:rsidRPr="00C63BDA">
        <w:rPr>
          <w:rFonts w:eastAsia="Times New Roman"/>
          <w:color w:val="0E101A"/>
        </w:rPr>
        <w:t xml:space="preserve">facilities available under </w:t>
      </w:r>
      <w:r w:rsidR="00A053C5" w:rsidRPr="00C63BDA">
        <w:rPr>
          <w:rFonts w:eastAsia="Times New Roman"/>
          <w:color w:val="0E101A"/>
        </w:rPr>
        <w:lastRenderedPageBreak/>
        <w:t>three healthcare centers</w:t>
      </w:r>
      <w:r w:rsidR="0022454E" w:rsidRPr="00C63BDA">
        <w:rPr>
          <w:rFonts w:eastAsia="Times New Roman"/>
          <w:color w:val="0E101A"/>
        </w:rPr>
        <w:t>,</w:t>
      </w:r>
      <w:r w:rsidR="00A053C5" w:rsidRPr="00C63BDA">
        <w:rPr>
          <w:rFonts w:eastAsia="Times New Roman"/>
          <w:color w:val="0E101A"/>
        </w:rPr>
        <w:t xml:space="preserve"> </w:t>
      </w:r>
      <w:r w:rsidRPr="00C63BDA">
        <w:rPr>
          <w:rFonts w:eastAsia="Times New Roman"/>
          <w:color w:val="0E101A"/>
        </w:rPr>
        <w:t xml:space="preserve">ANOVA test has been applied and lastly, the Post Hok test has been applied to identify the specific differences in the </w:t>
      </w:r>
      <w:r w:rsidR="00BC5B6A" w:rsidRPr="00C63BDA">
        <w:rPr>
          <w:rFonts w:eastAsia="Times New Roman"/>
          <w:color w:val="0E101A"/>
        </w:rPr>
        <w:t>patients’</w:t>
      </w:r>
      <w:r w:rsidR="00C9289F" w:rsidRPr="00C63BDA">
        <w:rPr>
          <w:rFonts w:eastAsia="Times New Roman"/>
          <w:color w:val="0E101A"/>
        </w:rPr>
        <w:t xml:space="preserve"> </w:t>
      </w:r>
      <w:r w:rsidRPr="00C63BDA">
        <w:rPr>
          <w:rFonts w:eastAsia="Times New Roman"/>
          <w:color w:val="0E101A"/>
        </w:rPr>
        <w:t>experience</w:t>
      </w:r>
      <w:r w:rsidR="00BC5B6A" w:rsidRPr="00C63BDA">
        <w:rPr>
          <w:rFonts w:eastAsia="Times New Roman"/>
          <w:color w:val="0E101A"/>
        </w:rPr>
        <w:t>.</w:t>
      </w:r>
    </w:p>
    <w:p w:rsidR="000242CD" w:rsidRPr="00C63BDA" w:rsidRDefault="000242CD" w:rsidP="000242CD">
      <w:pPr>
        <w:spacing w:line="240" w:lineRule="auto"/>
        <w:jc w:val="both"/>
        <w:rPr>
          <w:rFonts w:eastAsia="Times New Roman"/>
          <w:color w:val="0E101A"/>
        </w:rPr>
      </w:pPr>
    </w:p>
    <w:p w:rsidR="002F5B27" w:rsidRPr="00C63BDA" w:rsidRDefault="00CB56F0" w:rsidP="000242CD">
      <w:pPr>
        <w:spacing w:line="240" w:lineRule="auto"/>
        <w:jc w:val="both"/>
        <w:rPr>
          <w:rFonts w:eastAsia="Times New Roman"/>
          <w:b/>
          <w:color w:val="1C1E29"/>
        </w:rPr>
      </w:pPr>
      <w:r w:rsidRPr="00C63BDA">
        <w:rPr>
          <w:rFonts w:eastAsia="Times New Roman"/>
          <w:b/>
          <w:color w:val="1C1E29"/>
        </w:rPr>
        <w:t>Results</w:t>
      </w:r>
    </w:p>
    <w:p w:rsidR="000242CD" w:rsidRPr="00C63BDA" w:rsidRDefault="000242CD" w:rsidP="000242CD">
      <w:pPr>
        <w:spacing w:line="240" w:lineRule="auto"/>
        <w:jc w:val="both"/>
        <w:rPr>
          <w:rFonts w:eastAsia="Times New Roman"/>
          <w:b/>
          <w:color w:val="1C1E29"/>
        </w:rPr>
      </w:pPr>
    </w:p>
    <w:p w:rsidR="00BD557E" w:rsidRPr="00C63BDA" w:rsidRDefault="000B0914" w:rsidP="000242CD">
      <w:pPr>
        <w:spacing w:line="240" w:lineRule="auto"/>
        <w:jc w:val="both"/>
        <w:outlineLvl w:val="0"/>
        <w:rPr>
          <w:b/>
        </w:rPr>
      </w:pPr>
      <w:r w:rsidRPr="00C63BDA">
        <w:rPr>
          <w:b/>
        </w:rPr>
        <w:t>Table: 1</w:t>
      </w:r>
    </w:p>
    <w:p w:rsidR="00F44BA0" w:rsidRPr="00C63BDA" w:rsidRDefault="00EB0F1E" w:rsidP="000242CD">
      <w:pPr>
        <w:spacing w:line="240" w:lineRule="auto"/>
        <w:jc w:val="both"/>
      </w:pPr>
      <w:r w:rsidRPr="00C63BDA">
        <w:t>To examine the Construct validity of 20-items</w:t>
      </w:r>
      <w:r w:rsidR="002630D9" w:rsidRPr="00C63BDA">
        <w:t>, a principal component method has been</w:t>
      </w:r>
      <w:r w:rsidRPr="00C63BDA">
        <w:t xml:space="preserve"> applied to </w:t>
      </w:r>
      <w:r w:rsidR="00C02FF5" w:rsidRPr="00C63BDA">
        <w:t xml:space="preserve">Exploratory Factor Analysis </w:t>
      </w:r>
      <w:r w:rsidRPr="00C63BDA">
        <w:t xml:space="preserve">in </w:t>
      </w:r>
      <w:r w:rsidR="000156EE" w:rsidRPr="00C63BDA">
        <w:t xml:space="preserve">IBM </w:t>
      </w:r>
      <w:r w:rsidRPr="00C63BDA">
        <w:t>SPSS</w:t>
      </w:r>
      <w:r w:rsidR="000156EE" w:rsidRPr="00C63BDA">
        <w:t xml:space="preserve"> Statistics 20.0 version</w:t>
      </w:r>
      <w:r w:rsidRPr="00C63BDA">
        <w:t xml:space="preserve">. The KMO value is </w:t>
      </w:r>
      <w:r w:rsidR="003F1B2F" w:rsidRPr="00C63BDA">
        <w:t>0</w:t>
      </w:r>
      <w:r w:rsidR="006A61B2" w:rsidRPr="00C63BDA">
        <w:t>.935</w:t>
      </w:r>
      <w:r w:rsidRPr="00C63BDA">
        <w:t xml:space="preserve"> w</w:t>
      </w:r>
      <w:r w:rsidR="002630D9" w:rsidRPr="00C63BDA">
        <w:t>hich is more than 0.60 indicating</w:t>
      </w:r>
      <w:r w:rsidRPr="00C63BDA">
        <w:t xml:space="preserve"> the Sampling Adequacy </w:t>
      </w:r>
      <w:r w:rsidR="002630D9" w:rsidRPr="00C63BDA">
        <w:t>in the study. O</w:t>
      </w:r>
      <w:r w:rsidRPr="00C63BDA">
        <w:t>ne ite</w:t>
      </w:r>
      <w:r w:rsidR="003F1B2F" w:rsidRPr="00C63BDA">
        <w:t>m</w:t>
      </w:r>
      <w:r w:rsidR="002630D9" w:rsidRPr="00C63BDA">
        <w:t xml:space="preserve"> has been</w:t>
      </w:r>
      <w:r w:rsidR="003F1B2F" w:rsidRPr="00C63BDA">
        <w:t xml:space="preserve"> deleted </w:t>
      </w:r>
      <w:r w:rsidR="002630D9" w:rsidRPr="00C63BDA">
        <w:t xml:space="preserve">because of lower </w:t>
      </w:r>
      <w:r w:rsidR="003F1B2F" w:rsidRPr="00C63BDA">
        <w:t xml:space="preserve">KMO value </w:t>
      </w:r>
      <w:r w:rsidRPr="00C63BDA">
        <w:t>in the Anti-image correlation table and the significance value of Bartl</w:t>
      </w:r>
      <w:r w:rsidR="002630D9" w:rsidRPr="00C63BDA">
        <w:t>ett's Test of Sphericity shows sufficient correlation lying</w:t>
      </w:r>
      <w:r w:rsidRPr="00C63BDA">
        <w:t xml:space="preserve"> in the data set.</w:t>
      </w:r>
    </w:p>
    <w:p w:rsidR="000242CD" w:rsidRPr="00C63BDA" w:rsidRDefault="000242CD" w:rsidP="000242CD">
      <w:pPr>
        <w:spacing w:line="240" w:lineRule="auto"/>
        <w:jc w:val="both"/>
      </w:pPr>
    </w:p>
    <w:p w:rsidR="007643CA" w:rsidRPr="00C63BDA" w:rsidRDefault="00C9289F" w:rsidP="000242CD">
      <w:pPr>
        <w:spacing w:line="240" w:lineRule="auto"/>
        <w:jc w:val="both"/>
        <w:rPr>
          <w:rFonts w:eastAsia="Times New Roman"/>
          <w:color w:val="1C1E29"/>
        </w:rPr>
      </w:pPr>
      <w:r w:rsidRPr="00C63BDA">
        <w:rPr>
          <w:b/>
        </w:rPr>
        <w:t>Table 2</w:t>
      </w:r>
    </w:p>
    <w:p w:rsidR="00C71EAD" w:rsidRPr="00C63BDA" w:rsidRDefault="004568E8" w:rsidP="000242CD">
      <w:pPr>
        <w:spacing w:line="240" w:lineRule="auto"/>
        <w:jc w:val="both"/>
      </w:pPr>
      <w:r w:rsidRPr="00C63BDA">
        <w:t>The EFA</w:t>
      </w:r>
      <w:r w:rsidR="00576814" w:rsidRPr="00C63BDA">
        <w:t xml:space="preserve"> result reveals</w:t>
      </w:r>
      <w:r w:rsidR="002630D9" w:rsidRPr="00C63BDA">
        <w:t xml:space="preserve"> that</w:t>
      </w:r>
      <w:r w:rsidR="002F5B27" w:rsidRPr="00C63BDA">
        <w:t xml:space="preserve"> three</w:t>
      </w:r>
      <w:r w:rsidR="007A312D" w:rsidRPr="00C63BDA">
        <w:t xml:space="preserve"> factors can explain 73.529</w:t>
      </w:r>
      <w:r w:rsidR="00576814" w:rsidRPr="00C63BDA">
        <w:t xml:space="preserve"> % of the variance. Two items </w:t>
      </w:r>
      <w:r w:rsidR="002630D9" w:rsidRPr="00C63BDA">
        <w:t xml:space="preserve">have been </w:t>
      </w:r>
      <w:r w:rsidR="00576814" w:rsidRPr="00C63BDA">
        <w:t>removed in the se</w:t>
      </w:r>
      <w:r w:rsidRPr="00C63BDA">
        <w:t>cond step as they did not have</w:t>
      </w:r>
      <w:r w:rsidR="00576814" w:rsidRPr="00C63BDA">
        <w:t xml:space="preserve"> communality value of more than 0.50.   The remaining 17 items </w:t>
      </w:r>
      <w:r w:rsidR="002630D9" w:rsidRPr="00C63BDA">
        <w:t xml:space="preserve">have been </w:t>
      </w:r>
      <w:r w:rsidR="00576814" w:rsidRPr="00C63BDA">
        <w:t>analyzed again by the PCA method with varimax rotation. The</w:t>
      </w:r>
      <w:r w:rsidR="002323E1" w:rsidRPr="00C63BDA">
        <w:t xml:space="preserve"> first component explains 48.</w:t>
      </w:r>
      <w:r w:rsidR="006B48F8" w:rsidRPr="00C63BDA">
        <w:t>241</w:t>
      </w:r>
      <w:r w:rsidR="00576814" w:rsidRPr="00C63BDA">
        <w:t xml:space="preserve"> % of the total varia</w:t>
      </w:r>
      <w:r w:rsidR="001D5095" w:rsidRPr="00C63BDA">
        <w:t xml:space="preserve">nce whereas </w:t>
      </w:r>
      <w:r w:rsidR="002F5B27" w:rsidRPr="00C63BDA">
        <w:t>the extracted</w:t>
      </w:r>
      <w:r w:rsidR="00576814" w:rsidRPr="00C63BDA">
        <w:t xml:space="preserve"> l</w:t>
      </w:r>
      <w:r w:rsidR="001D5095" w:rsidRPr="00C63BDA">
        <w:t>ast component can explain 12.406</w:t>
      </w:r>
      <w:r w:rsidR="00576814" w:rsidRPr="00C63BDA">
        <w:t xml:space="preserve"> % of the total variance.</w:t>
      </w:r>
    </w:p>
    <w:p w:rsidR="000242CD" w:rsidRPr="00C63BDA" w:rsidRDefault="000242CD" w:rsidP="000242CD">
      <w:pPr>
        <w:spacing w:line="240" w:lineRule="auto"/>
        <w:jc w:val="both"/>
        <w:rPr>
          <w:rFonts w:eastAsiaTheme="minorHAnsi"/>
        </w:rPr>
      </w:pPr>
    </w:p>
    <w:p w:rsidR="00222437" w:rsidRPr="00C63BDA" w:rsidRDefault="00C9289F" w:rsidP="000242CD">
      <w:pPr>
        <w:spacing w:line="240" w:lineRule="auto"/>
        <w:jc w:val="both"/>
        <w:rPr>
          <w:rFonts w:eastAsia="Times New Roman"/>
          <w:color w:val="1C1E29"/>
        </w:rPr>
      </w:pPr>
      <w:r w:rsidRPr="00C63BDA">
        <w:rPr>
          <w:b/>
        </w:rPr>
        <w:t>Table 3</w:t>
      </w:r>
    </w:p>
    <w:p w:rsidR="00A5553F" w:rsidRPr="00C63BDA" w:rsidRDefault="00A5553F" w:rsidP="000242CD">
      <w:pPr>
        <w:spacing w:line="240" w:lineRule="auto"/>
        <w:jc w:val="both"/>
        <w:rPr>
          <w:rFonts w:eastAsia="Times New Roman"/>
          <w:color w:val="0E101A"/>
        </w:rPr>
      </w:pPr>
      <w:r w:rsidRPr="00C63BDA">
        <w:rPr>
          <w:rFonts w:eastAsia="Times New Roman"/>
          <w:color w:val="0E101A"/>
        </w:rPr>
        <w:t>The Cronbach alpha value of a total of 17 items is 0.932, showing a higher level of consistency in the data set. The extracted three factors are interpretable and the categorization of the items can be explained.</w:t>
      </w:r>
    </w:p>
    <w:p w:rsidR="000242CD" w:rsidRPr="00C63BDA" w:rsidRDefault="000242CD" w:rsidP="000242CD">
      <w:pPr>
        <w:spacing w:line="240" w:lineRule="auto"/>
        <w:jc w:val="both"/>
        <w:rPr>
          <w:rFonts w:eastAsia="Times New Roman"/>
          <w:color w:val="0E101A"/>
        </w:rPr>
      </w:pPr>
    </w:p>
    <w:p w:rsidR="00A5553F" w:rsidRPr="00C63BDA" w:rsidRDefault="00A5553F" w:rsidP="000242CD">
      <w:pPr>
        <w:spacing w:line="240" w:lineRule="auto"/>
        <w:jc w:val="both"/>
        <w:rPr>
          <w:rFonts w:eastAsia="Times New Roman"/>
          <w:color w:val="0E101A"/>
        </w:rPr>
      </w:pPr>
      <w:r w:rsidRPr="00C63BDA">
        <w:rPr>
          <w:rFonts w:eastAsia="Times New Roman"/>
          <w:b/>
          <w:bCs/>
          <w:color w:val="0E101A"/>
        </w:rPr>
        <w:t>Responsiveness:</w:t>
      </w:r>
      <w:r w:rsidRPr="00C63BDA">
        <w:rPr>
          <w:rFonts w:eastAsia="Times New Roman"/>
          <w:color w:val="0E101A"/>
        </w:rPr>
        <w:t> The most influential factor in healthcare, indicating that pat</w:t>
      </w:r>
      <w:r w:rsidR="009461CF" w:rsidRPr="00C63BDA">
        <w:rPr>
          <w:rFonts w:eastAsia="Times New Roman"/>
          <w:color w:val="0E101A"/>
        </w:rPr>
        <w:t xml:space="preserve">ients appreciate doctors who provide </w:t>
      </w:r>
      <w:r w:rsidRPr="00C63BDA">
        <w:rPr>
          <w:rFonts w:eastAsia="Times New Roman"/>
          <w:color w:val="0E101A"/>
        </w:rPr>
        <w:t xml:space="preserve"> </w:t>
      </w:r>
      <w:r w:rsidR="009461CF" w:rsidRPr="00C63BDA">
        <w:rPr>
          <w:rFonts w:eastAsia="Times New Roman"/>
          <w:color w:val="0E101A"/>
        </w:rPr>
        <w:t>sufficient time to</w:t>
      </w:r>
      <w:r w:rsidR="00063306" w:rsidRPr="00C63BDA">
        <w:rPr>
          <w:rFonts w:eastAsia="Times New Roman"/>
          <w:color w:val="0E101A"/>
        </w:rPr>
        <w:t xml:space="preserve"> the patient</w:t>
      </w:r>
      <w:r w:rsidRPr="00C63BDA">
        <w:rPr>
          <w:rFonts w:eastAsia="Times New Roman"/>
          <w:color w:val="0E101A"/>
        </w:rPr>
        <w:t>s</w:t>
      </w:r>
      <w:r w:rsidR="00063306" w:rsidRPr="00C63BDA">
        <w:rPr>
          <w:rFonts w:eastAsia="Times New Roman"/>
          <w:color w:val="0E101A"/>
        </w:rPr>
        <w:t>’</w:t>
      </w:r>
      <w:r w:rsidRPr="00C63BDA">
        <w:rPr>
          <w:rFonts w:eastAsia="Times New Roman"/>
          <w:color w:val="0E101A"/>
        </w:rPr>
        <w:t xml:space="preserve"> questions and who give clea</w:t>
      </w:r>
      <w:r w:rsidR="00F81A70" w:rsidRPr="00C63BDA">
        <w:rPr>
          <w:rFonts w:eastAsia="Times New Roman"/>
          <w:color w:val="0E101A"/>
        </w:rPr>
        <w:t>r explanations of treatments</w:t>
      </w:r>
      <w:r w:rsidR="005E4CC6" w:rsidRPr="00C63BDA">
        <w:rPr>
          <w:rFonts w:eastAsia="Times New Roman"/>
          <w:color w:val="0E101A"/>
        </w:rPr>
        <w:t>,</w:t>
      </w:r>
      <w:r w:rsidR="00F81A70" w:rsidRPr="00C63BDA">
        <w:rPr>
          <w:rFonts w:eastAsia="Times New Roman"/>
          <w:color w:val="0E101A"/>
        </w:rPr>
        <w:t xml:space="preserve"> [13</w:t>
      </w:r>
      <w:r w:rsidRPr="00C63BDA">
        <w:rPr>
          <w:rFonts w:eastAsia="Times New Roman"/>
          <w:color w:val="0E101A"/>
        </w:rPr>
        <w:t>] and the factor loa</w:t>
      </w:r>
      <w:r w:rsidR="009461CF" w:rsidRPr="00C63BDA">
        <w:rPr>
          <w:rFonts w:eastAsia="Times New Roman"/>
          <w:color w:val="0E101A"/>
        </w:rPr>
        <w:t>dings range from 0.870 to 0.679 in this respect.</w:t>
      </w:r>
      <w:r w:rsidRPr="00C63BDA">
        <w:rPr>
          <w:rFonts w:eastAsia="Times New Roman"/>
          <w:color w:val="0E101A"/>
        </w:rPr>
        <w:t> </w:t>
      </w:r>
    </w:p>
    <w:p w:rsidR="00A5553F" w:rsidRPr="00C63BDA" w:rsidRDefault="00A5553F" w:rsidP="000242CD">
      <w:pPr>
        <w:spacing w:line="240" w:lineRule="auto"/>
        <w:jc w:val="both"/>
        <w:rPr>
          <w:rFonts w:eastAsia="Times New Roman"/>
          <w:color w:val="0E101A"/>
        </w:rPr>
      </w:pPr>
      <w:r w:rsidRPr="00C63BDA">
        <w:rPr>
          <w:rFonts w:eastAsia="Times New Roman"/>
          <w:b/>
          <w:bCs/>
          <w:color w:val="0E101A"/>
        </w:rPr>
        <w:t>Cleanliness: </w:t>
      </w:r>
      <w:r w:rsidRPr="00C63BDA">
        <w:rPr>
          <w:rFonts w:eastAsia="Times New Roman"/>
          <w:color w:val="0E101A"/>
        </w:rPr>
        <w:t>The second important com</w:t>
      </w:r>
      <w:r w:rsidR="00A636A4" w:rsidRPr="00C63BDA">
        <w:rPr>
          <w:rFonts w:eastAsia="Times New Roman"/>
          <w:color w:val="0E101A"/>
        </w:rPr>
        <w:t>ponent, having factor loadings 0.819 and</w:t>
      </w:r>
      <w:r w:rsidRPr="00C63BDA">
        <w:rPr>
          <w:rFonts w:eastAsia="Times New Roman"/>
          <w:color w:val="0E101A"/>
        </w:rPr>
        <w:t xml:space="preserve"> 0.811, </w:t>
      </w:r>
      <w:r w:rsidR="009461CF" w:rsidRPr="00C63BDA">
        <w:rPr>
          <w:rFonts w:eastAsia="Times New Roman"/>
          <w:color w:val="0E101A"/>
        </w:rPr>
        <w:t xml:space="preserve">that </w:t>
      </w:r>
      <w:r w:rsidRPr="00C63BDA">
        <w:rPr>
          <w:rFonts w:eastAsia="Times New Roman"/>
          <w:color w:val="0E101A"/>
        </w:rPr>
        <w:t>can explain 12.882 % of the variance defined as the level of cleanliness of toilets and ward rooms in the healthcare centers.</w:t>
      </w:r>
    </w:p>
    <w:p w:rsidR="00A5553F" w:rsidRPr="00C63BDA" w:rsidRDefault="00A5553F" w:rsidP="000242CD">
      <w:pPr>
        <w:spacing w:line="240" w:lineRule="auto"/>
        <w:jc w:val="both"/>
        <w:rPr>
          <w:rFonts w:eastAsia="Times New Roman"/>
        </w:rPr>
      </w:pPr>
      <w:r w:rsidRPr="00C63BDA">
        <w:rPr>
          <w:rFonts w:eastAsia="Times New Roman"/>
          <w:b/>
          <w:bCs/>
          <w:color w:val="0E101A"/>
        </w:rPr>
        <w:t>Infrastructure: </w:t>
      </w:r>
      <w:r w:rsidRPr="00C63BDA">
        <w:rPr>
          <w:rFonts w:eastAsia="Times New Roman"/>
          <w:color w:val="0E101A"/>
        </w:rPr>
        <w:t xml:space="preserve">The third component, defined as the condition of physical facilities and the presence of resources involved in </w:t>
      </w:r>
      <w:r w:rsidR="009461CF" w:rsidRPr="00C63BDA">
        <w:rPr>
          <w:rFonts w:eastAsia="Times New Roman"/>
          <w:color w:val="0E101A"/>
        </w:rPr>
        <w:t xml:space="preserve">rendering </w:t>
      </w:r>
      <w:r w:rsidR="00F81A70" w:rsidRPr="00C63BDA">
        <w:rPr>
          <w:rFonts w:eastAsia="Times New Roman"/>
          <w:color w:val="0E101A"/>
        </w:rPr>
        <w:t>the services</w:t>
      </w:r>
      <w:r w:rsidR="00FA07C5" w:rsidRPr="00C63BDA">
        <w:rPr>
          <w:rFonts w:eastAsia="Times New Roman"/>
          <w:color w:val="0E101A"/>
        </w:rPr>
        <w:t>.</w:t>
      </w:r>
      <w:r w:rsidR="00F81A70" w:rsidRPr="00C63BDA">
        <w:rPr>
          <w:rFonts w:eastAsia="Times New Roman"/>
          <w:color w:val="0E101A"/>
        </w:rPr>
        <w:t xml:space="preserve"> [14</w:t>
      </w:r>
      <w:r w:rsidR="00FA07C5" w:rsidRPr="00C63BDA">
        <w:rPr>
          <w:rFonts w:eastAsia="Times New Roman"/>
          <w:color w:val="0E101A"/>
        </w:rPr>
        <w:t>]</w:t>
      </w:r>
      <w:r w:rsidRPr="00C63BDA">
        <w:rPr>
          <w:rFonts w:eastAsia="Times New Roman"/>
          <w:color w:val="0E101A"/>
        </w:rPr>
        <w:t xml:space="preserve"> </w:t>
      </w:r>
      <w:r w:rsidRPr="00C63BDA">
        <w:rPr>
          <w:rFonts w:eastAsia="Times New Roman"/>
        </w:rPr>
        <w:t>The three items in infrastructure have a strong correlation with the factor, ranging from 0.749 to 0.652.</w:t>
      </w:r>
    </w:p>
    <w:p w:rsidR="000242CD" w:rsidRPr="00C63BDA" w:rsidRDefault="000242CD" w:rsidP="000242CD">
      <w:pPr>
        <w:spacing w:line="240" w:lineRule="auto"/>
        <w:jc w:val="both"/>
        <w:rPr>
          <w:rFonts w:eastAsia="Times New Roman"/>
        </w:rPr>
      </w:pPr>
    </w:p>
    <w:p w:rsidR="00E43960" w:rsidRPr="00C63BDA" w:rsidRDefault="00C9289F" w:rsidP="000242CD">
      <w:pPr>
        <w:spacing w:line="240" w:lineRule="auto"/>
        <w:jc w:val="both"/>
        <w:rPr>
          <w:rFonts w:eastAsia="Times New Roman"/>
          <w:color w:val="1C1E29"/>
        </w:rPr>
      </w:pPr>
      <w:r w:rsidRPr="00C63BDA">
        <w:rPr>
          <w:b/>
        </w:rPr>
        <w:t>Table4</w:t>
      </w:r>
    </w:p>
    <w:p w:rsidR="00A5553F" w:rsidRPr="00C63BDA" w:rsidRDefault="00A5553F" w:rsidP="000242CD">
      <w:pPr>
        <w:spacing w:line="240" w:lineRule="auto"/>
        <w:jc w:val="both"/>
        <w:rPr>
          <w:bCs/>
        </w:rPr>
      </w:pPr>
      <w:r w:rsidRPr="00C63BDA">
        <w:rPr>
          <w:bCs/>
        </w:rPr>
        <w:t xml:space="preserve">From table 4, it can be understood that the result of Cronbach’s Alpha of 17 parameters is 0.926, showing the higher level of internal consistency in the study and the Alpha value of each of the three indicators provides an acceptable result, i.e. more than 0.70. Table 4 also shows that the mean value of Responsiveness is highest (4.231 ± 1.017) </w:t>
      </w:r>
      <w:r w:rsidR="005B1751" w:rsidRPr="00C63BDA">
        <w:rPr>
          <w:bCs/>
        </w:rPr>
        <w:t>whereas t</w:t>
      </w:r>
      <w:r w:rsidRPr="00C63BDA">
        <w:rPr>
          <w:bCs/>
        </w:rPr>
        <w:t xml:space="preserve">he cleanliness of the services has the lowest value (0.604 ± 0.766) because most of the respondents have experienced the unclean condition of the toilet and wardroom.  The Mean values of Infrastructure (3.283 ± 0.692) indicate that the quality of these services is below the moderate level. The mean score of </w:t>
      </w:r>
      <w:r w:rsidR="00966918" w:rsidRPr="00C63BDA">
        <w:rPr>
          <w:bCs/>
        </w:rPr>
        <w:t xml:space="preserve">the </w:t>
      </w:r>
      <w:r w:rsidRPr="00C63BDA">
        <w:rPr>
          <w:bCs/>
        </w:rPr>
        <w:t>perception of respondent</w:t>
      </w:r>
      <w:r w:rsidR="00966918" w:rsidRPr="00C63BDA">
        <w:rPr>
          <w:bCs/>
        </w:rPr>
        <w:t>s about the</w:t>
      </w:r>
      <w:r w:rsidRPr="00C63BDA">
        <w:rPr>
          <w:bCs/>
        </w:rPr>
        <w:t xml:space="preserve"> overall condition of healthcare services is 3.255 out of 7 points which is showing patients in these three healthcare centers are not fully satisfied with the overall condition of healthcare services. </w:t>
      </w:r>
    </w:p>
    <w:p w:rsidR="000242CD" w:rsidRPr="00C63BDA" w:rsidRDefault="000242CD" w:rsidP="000242CD">
      <w:pPr>
        <w:spacing w:line="240" w:lineRule="auto"/>
        <w:jc w:val="both"/>
        <w:rPr>
          <w:bCs/>
        </w:rPr>
      </w:pPr>
    </w:p>
    <w:p w:rsidR="00C9289F" w:rsidRPr="00C63BDA" w:rsidRDefault="00C9289F" w:rsidP="000242CD">
      <w:pPr>
        <w:spacing w:line="240" w:lineRule="auto"/>
        <w:jc w:val="both"/>
        <w:rPr>
          <w:b/>
          <w:bCs/>
        </w:rPr>
      </w:pPr>
      <w:r w:rsidRPr="00C63BDA">
        <w:rPr>
          <w:b/>
        </w:rPr>
        <w:t>Table 5</w:t>
      </w:r>
    </w:p>
    <w:p w:rsidR="003F6580" w:rsidRPr="00C63BDA" w:rsidRDefault="002F177C" w:rsidP="000242CD">
      <w:pPr>
        <w:spacing w:line="240" w:lineRule="auto"/>
        <w:jc w:val="both"/>
      </w:pPr>
      <w:r w:rsidRPr="00C63BDA">
        <w:t>From table 5</w:t>
      </w:r>
      <w:r w:rsidR="00396226" w:rsidRPr="00C63BDA">
        <w:t>, it is noticed</w:t>
      </w:r>
      <w:r w:rsidR="00384192" w:rsidRPr="00C63BDA">
        <w:t xml:space="preserve"> that a significant variation (p = 0.000) is found on the experience of the patients among three types of healthcare centers. The mean variation on the perception of patients about Responsiveness is highest with 0.743 </w:t>
      </w:r>
      <w:r w:rsidR="008A6183" w:rsidRPr="00C63BDA">
        <w:t>e</w:t>
      </w:r>
      <w:r w:rsidR="00384192" w:rsidRPr="00C63BDA">
        <w:t xml:space="preserve">ffect </w:t>
      </w:r>
      <w:r w:rsidR="008A6183" w:rsidRPr="00C63BDA">
        <w:t>s</w:t>
      </w:r>
      <w:r w:rsidR="00384192" w:rsidRPr="00C63BDA">
        <w:t xml:space="preserve">ize which is a large effect according </w:t>
      </w:r>
      <w:r w:rsidR="00384192" w:rsidRPr="00C63BDA">
        <w:lastRenderedPageBreak/>
        <w:t xml:space="preserve">to Cohen’s classification of effect size. In the case of cleanliness and infrastructure, the </w:t>
      </w:r>
      <w:r w:rsidR="008A6183" w:rsidRPr="00C63BDA">
        <w:t>e</w:t>
      </w:r>
      <w:r w:rsidR="00384192" w:rsidRPr="00C63BDA">
        <w:t xml:space="preserve">ffect </w:t>
      </w:r>
      <w:r w:rsidR="008A6183" w:rsidRPr="00C63BDA">
        <w:t>s</w:t>
      </w:r>
      <w:r w:rsidR="00384192" w:rsidRPr="00C63BDA">
        <w:t xml:space="preserve">ize is 0.071 and 0.060 </w:t>
      </w:r>
      <w:r w:rsidR="00396226" w:rsidRPr="00C63BDA">
        <w:t xml:space="preserve">indicating </w:t>
      </w:r>
      <w:r w:rsidR="00384192" w:rsidRPr="00C63BDA">
        <w:t xml:space="preserve">a medium effect of the </w:t>
      </w:r>
      <w:r w:rsidR="008D44C1" w:rsidRPr="00C63BDA">
        <w:t xml:space="preserve">type of </w:t>
      </w:r>
      <w:r w:rsidR="00384192" w:rsidRPr="00C63BDA">
        <w:t>healthcare centers on</w:t>
      </w:r>
      <w:r w:rsidR="003F6580" w:rsidRPr="00C63BDA">
        <w:t xml:space="preserve"> patients’ experience about these</w:t>
      </w:r>
      <w:r w:rsidR="008D44C1" w:rsidRPr="00C63BDA">
        <w:t xml:space="preserve">. </w:t>
      </w:r>
    </w:p>
    <w:p w:rsidR="000242CD" w:rsidRPr="00C63BDA" w:rsidRDefault="000242CD" w:rsidP="000242CD">
      <w:pPr>
        <w:spacing w:line="240" w:lineRule="auto"/>
        <w:jc w:val="both"/>
      </w:pPr>
    </w:p>
    <w:p w:rsidR="00661791" w:rsidRPr="00C63BDA" w:rsidRDefault="001716EE" w:rsidP="000242CD">
      <w:pPr>
        <w:spacing w:line="240" w:lineRule="auto"/>
        <w:jc w:val="both"/>
        <w:rPr>
          <w:b/>
          <w:bCs/>
        </w:rPr>
      </w:pPr>
      <w:r w:rsidRPr="00C63BDA">
        <w:rPr>
          <w:b/>
        </w:rPr>
        <w:t>Table 6</w:t>
      </w:r>
    </w:p>
    <w:p w:rsidR="000E47B5" w:rsidRPr="00C63BDA" w:rsidRDefault="00384192" w:rsidP="000242CD">
      <w:pPr>
        <w:spacing w:line="240" w:lineRule="auto"/>
        <w:jc w:val="both"/>
      </w:pPr>
      <w:r w:rsidRPr="00C63BDA">
        <w:t>The highest mean difference in the experience of the respondents about Responsiveness is found between Distr</w:t>
      </w:r>
      <w:r w:rsidR="00EE38A3" w:rsidRPr="00C63BDA">
        <w:t>ict Hospital and Primary Healthc</w:t>
      </w:r>
      <w:r w:rsidRPr="00C63BDA">
        <w:t xml:space="preserve">are Center (2.10134) with a 5 % level of significance. Besides, the lower difference is found in Cleanliness (0.00704 and p = 0.999) and Infrastructure (0.14341 and p = 0.551) between Rural Hospital and PHC, showing physical facilities, equipment and cleanliness are lesser related to </w:t>
      </w:r>
      <w:r w:rsidR="0024369F" w:rsidRPr="00C63BDA">
        <w:t>three levels</w:t>
      </w:r>
      <w:r w:rsidRPr="00C63BDA">
        <w:t xml:space="preserve"> of the healthcare center. </w:t>
      </w:r>
    </w:p>
    <w:p w:rsidR="000242CD" w:rsidRPr="00C63BDA" w:rsidRDefault="000242CD" w:rsidP="000242CD">
      <w:pPr>
        <w:spacing w:line="240" w:lineRule="auto"/>
        <w:jc w:val="both"/>
      </w:pPr>
    </w:p>
    <w:p w:rsidR="0007135C" w:rsidRPr="00C63BDA" w:rsidRDefault="0007135C" w:rsidP="000242CD">
      <w:pPr>
        <w:spacing w:line="240" w:lineRule="auto"/>
        <w:jc w:val="both"/>
        <w:rPr>
          <w:rFonts w:eastAsia="Times New Roman"/>
          <w:b/>
          <w:bCs/>
          <w:color w:val="0E101A"/>
        </w:rPr>
      </w:pPr>
      <w:r w:rsidRPr="00C63BDA">
        <w:rPr>
          <w:rFonts w:eastAsia="Times New Roman"/>
          <w:b/>
          <w:bCs/>
          <w:color w:val="0E101A"/>
        </w:rPr>
        <w:t>Discussion</w:t>
      </w:r>
    </w:p>
    <w:p w:rsidR="000242CD" w:rsidRPr="00C63BDA" w:rsidRDefault="000242CD" w:rsidP="000242CD">
      <w:pPr>
        <w:spacing w:line="240" w:lineRule="auto"/>
        <w:jc w:val="both"/>
        <w:rPr>
          <w:rFonts w:eastAsia="Times New Roman"/>
          <w:b/>
          <w:bCs/>
          <w:color w:val="0E101A"/>
        </w:rPr>
      </w:pPr>
    </w:p>
    <w:p w:rsidR="00F753E9" w:rsidRPr="00C63BDA" w:rsidRDefault="00F753E9" w:rsidP="000242CD">
      <w:pPr>
        <w:spacing w:line="240" w:lineRule="auto"/>
        <w:jc w:val="both"/>
        <w:rPr>
          <w:rFonts w:eastAsia="Times New Roman"/>
          <w:color w:val="0E101A"/>
        </w:rPr>
      </w:pPr>
      <w:r w:rsidRPr="00C63BDA">
        <w:rPr>
          <w:rFonts w:eastAsia="Times New Roman"/>
          <w:b/>
          <w:bCs/>
          <w:color w:val="0E101A"/>
        </w:rPr>
        <w:t>Variation in Healthcare Services</w:t>
      </w:r>
    </w:p>
    <w:p w:rsidR="00D45DB6" w:rsidRPr="00C63BDA" w:rsidRDefault="00D45DB6" w:rsidP="000242CD">
      <w:pPr>
        <w:spacing w:line="240" w:lineRule="auto"/>
        <w:jc w:val="both"/>
        <w:rPr>
          <w:rFonts w:eastAsia="Times New Roman"/>
          <w:color w:val="0E101A"/>
        </w:rPr>
      </w:pPr>
      <w:r w:rsidRPr="00C63BDA">
        <w:rPr>
          <w:rFonts w:eastAsia="Times New Roman"/>
          <w:color w:val="0E101A"/>
        </w:rPr>
        <w:t>The quality of treatment is a predisposing factor in improving p</w:t>
      </w:r>
      <w:r w:rsidR="00F81A70" w:rsidRPr="00C63BDA">
        <w:rPr>
          <w:rFonts w:eastAsia="Times New Roman"/>
          <w:color w:val="0E101A"/>
        </w:rPr>
        <w:t>atients’ satisfaction levels</w:t>
      </w:r>
      <w:r w:rsidR="0040268F" w:rsidRPr="00C63BDA">
        <w:rPr>
          <w:rFonts w:eastAsia="Times New Roman"/>
          <w:color w:val="0E101A"/>
        </w:rPr>
        <w:t>.</w:t>
      </w:r>
      <w:r w:rsidR="00F81A70" w:rsidRPr="00C63BDA">
        <w:rPr>
          <w:rFonts w:eastAsia="Times New Roman"/>
          <w:color w:val="0E101A"/>
        </w:rPr>
        <w:t xml:space="preserve"> </w:t>
      </w:r>
      <w:r w:rsidR="00CA5178" w:rsidRPr="00C63BDA">
        <w:rPr>
          <w:rFonts w:eastAsia="Times New Roman"/>
          <w:color w:val="0E101A"/>
        </w:rPr>
        <w:t>[14</w:t>
      </w:r>
      <w:r w:rsidR="0040268F" w:rsidRPr="00C63BDA">
        <w:rPr>
          <w:rFonts w:eastAsia="Times New Roman"/>
          <w:color w:val="0E101A"/>
        </w:rPr>
        <w:t xml:space="preserve">] </w:t>
      </w:r>
      <w:r w:rsidRPr="00C63BDA">
        <w:rPr>
          <w:rFonts w:eastAsia="Times New Roman"/>
          <w:color w:val="0E101A"/>
        </w:rPr>
        <w:t>In these three</w:t>
      </w:r>
      <w:r w:rsidR="00396226" w:rsidRPr="00C63BDA">
        <w:rPr>
          <w:rFonts w:eastAsia="Times New Roman"/>
          <w:color w:val="0E101A"/>
        </w:rPr>
        <w:t xml:space="preserve"> tiers of</w:t>
      </w:r>
      <w:r w:rsidRPr="00C63BDA">
        <w:rPr>
          <w:rFonts w:eastAsia="Times New Roman"/>
          <w:color w:val="0E101A"/>
        </w:rPr>
        <w:t xml:space="preserve"> healthcare centers, patients are lesser satisfied with the </w:t>
      </w:r>
      <w:r w:rsidR="006D28AF" w:rsidRPr="00C63BDA">
        <w:rPr>
          <w:rFonts w:eastAsia="Times New Roman"/>
          <w:color w:val="0E101A"/>
        </w:rPr>
        <w:t xml:space="preserve">quality of </w:t>
      </w:r>
      <w:r w:rsidRPr="00C63BDA">
        <w:rPr>
          <w:rFonts w:eastAsia="Times New Roman"/>
          <w:color w:val="0E101A"/>
        </w:rPr>
        <w:t>care they</w:t>
      </w:r>
      <w:r w:rsidR="00396226" w:rsidRPr="00C63BDA">
        <w:rPr>
          <w:rFonts w:eastAsia="Times New Roman"/>
          <w:color w:val="0E101A"/>
        </w:rPr>
        <w:t xml:space="preserve"> have</w:t>
      </w:r>
      <w:r w:rsidRPr="00C63BDA">
        <w:rPr>
          <w:rFonts w:eastAsia="Times New Roman"/>
          <w:color w:val="0E101A"/>
        </w:rPr>
        <w:t xml:space="preserve"> received from District Hospital </w:t>
      </w:r>
      <w:r w:rsidR="00396226" w:rsidRPr="00C63BDA">
        <w:rPr>
          <w:rFonts w:eastAsia="Times New Roman"/>
          <w:color w:val="0E101A"/>
        </w:rPr>
        <w:t xml:space="preserve">as </w:t>
      </w:r>
      <w:r w:rsidRPr="00C63BDA">
        <w:rPr>
          <w:rFonts w:eastAsia="Times New Roman"/>
          <w:color w:val="0E101A"/>
        </w:rPr>
        <w:t>compare</w:t>
      </w:r>
      <w:r w:rsidR="00396226" w:rsidRPr="00C63BDA">
        <w:rPr>
          <w:rFonts w:eastAsia="Times New Roman"/>
          <w:color w:val="0E101A"/>
        </w:rPr>
        <w:t>d</w:t>
      </w:r>
      <w:r w:rsidRPr="00C63BDA">
        <w:rPr>
          <w:rFonts w:eastAsia="Times New Roman"/>
          <w:color w:val="0E101A"/>
        </w:rPr>
        <w:t xml:space="preserve"> to other healthcare centers. In addition, patients are fully unsatisfied with the condition of cleanliness and infrastructure</w:t>
      </w:r>
      <w:r w:rsidR="00396226" w:rsidRPr="00C63BDA">
        <w:rPr>
          <w:rFonts w:eastAsia="Times New Roman"/>
          <w:color w:val="0E101A"/>
        </w:rPr>
        <w:t xml:space="preserve"> </w:t>
      </w:r>
      <w:r w:rsidRPr="00C63BDA">
        <w:rPr>
          <w:rFonts w:eastAsia="Times New Roman"/>
          <w:color w:val="0E101A"/>
        </w:rPr>
        <w:t>than the responsiveness of care. </w:t>
      </w:r>
    </w:p>
    <w:p w:rsidR="000242CD" w:rsidRPr="00C63BDA" w:rsidRDefault="000242CD" w:rsidP="000242CD">
      <w:pPr>
        <w:spacing w:line="240" w:lineRule="auto"/>
        <w:jc w:val="both"/>
        <w:rPr>
          <w:rFonts w:eastAsia="Times New Roman"/>
          <w:color w:val="0E101A"/>
        </w:rPr>
      </w:pPr>
    </w:p>
    <w:p w:rsidR="00D45DB6" w:rsidRPr="00C63BDA" w:rsidRDefault="00D45DB6" w:rsidP="000242CD">
      <w:pPr>
        <w:spacing w:line="240" w:lineRule="auto"/>
        <w:jc w:val="both"/>
        <w:rPr>
          <w:rFonts w:eastAsia="Times New Roman"/>
          <w:color w:val="0E101A"/>
        </w:rPr>
      </w:pPr>
      <w:r w:rsidRPr="00C63BDA">
        <w:rPr>
          <w:rFonts w:eastAsia="Times New Roman"/>
          <w:color w:val="0E101A"/>
        </w:rPr>
        <w:t>This study shows that the variation of</w:t>
      </w:r>
      <w:r w:rsidR="00495932" w:rsidRPr="00C63BDA">
        <w:rPr>
          <w:rFonts w:eastAsia="Times New Roman"/>
          <w:color w:val="0E101A"/>
        </w:rPr>
        <w:t xml:space="preserve"> the experience of patients to </w:t>
      </w:r>
      <w:r w:rsidR="00F81A70" w:rsidRPr="00C63BDA">
        <w:rPr>
          <w:rFonts w:eastAsia="Times New Roman"/>
          <w:color w:val="0E101A"/>
        </w:rPr>
        <w:t>the healthcare</w:t>
      </w:r>
      <w:r w:rsidRPr="00C63BDA">
        <w:rPr>
          <w:rFonts w:eastAsia="Times New Roman"/>
          <w:color w:val="0E101A"/>
        </w:rPr>
        <w:t xml:space="preserve"> services is mainly found between District hospital and Primary Health Center because there are huge differences in the type of services provided</w:t>
      </w:r>
      <w:r w:rsidR="00495932" w:rsidRPr="00C63BDA">
        <w:rPr>
          <w:rFonts w:eastAsia="Times New Roman"/>
          <w:color w:val="0E101A"/>
        </w:rPr>
        <w:t xml:space="preserve"> and availability </w:t>
      </w:r>
      <w:r w:rsidR="0046690F" w:rsidRPr="00C63BDA">
        <w:rPr>
          <w:rFonts w:eastAsia="Times New Roman"/>
          <w:color w:val="0E101A"/>
        </w:rPr>
        <w:t>o</w:t>
      </w:r>
      <w:r w:rsidR="00495932" w:rsidRPr="00C63BDA">
        <w:rPr>
          <w:rFonts w:eastAsia="Times New Roman"/>
          <w:color w:val="0E101A"/>
        </w:rPr>
        <w:t xml:space="preserve">f facilities </w:t>
      </w:r>
      <w:r w:rsidR="00F81A70" w:rsidRPr="00C63BDA">
        <w:rPr>
          <w:rFonts w:eastAsia="Times New Roman"/>
          <w:color w:val="0E101A"/>
        </w:rPr>
        <w:t>provided from</w:t>
      </w:r>
      <w:r w:rsidRPr="00C63BDA">
        <w:rPr>
          <w:rFonts w:eastAsia="Times New Roman"/>
          <w:color w:val="0E101A"/>
        </w:rPr>
        <w:t xml:space="preserve"> these two centers. Among three levels of the public healthcare system, the high</w:t>
      </w:r>
      <w:r w:rsidR="006D28AF" w:rsidRPr="00C63BDA">
        <w:rPr>
          <w:rFonts w:eastAsia="Times New Roman"/>
          <w:color w:val="0E101A"/>
        </w:rPr>
        <w:t>er variation is mainly found in</w:t>
      </w:r>
      <w:r w:rsidRPr="00C63BDA">
        <w:rPr>
          <w:rFonts w:eastAsia="Times New Roman"/>
          <w:color w:val="0E101A"/>
        </w:rPr>
        <w:t xml:space="preserve"> Responsiveness of care which indicates cognitive, emotive and behavioral components of healthcare</w:t>
      </w:r>
      <w:r w:rsidR="00CA5178" w:rsidRPr="00C63BDA">
        <w:rPr>
          <w:rFonts w:eastAsia="Times New Roman"/>
          <w:color w:val="0E101A"/>
        </w:rPr>
        <w:t>, [</w:t>
      </w:r>
      <w:r w:rsidRPr="00C63BDA">
        <w:rPr>
          <w:rFonts w:eastAsia="Times New Roman"/>
          <w:color w:val="0E101A"/>
        </w:rPr>
        <w:t>15</w:t>
      </w:r>
      <w:r w:rsidR="00FE0374" w:rsidRPr="00C63BDA">
        <w:rPr>
          <w:rFonts w:eastAsia="Times New Roman"/>
          <w:color w:val="0E101A"/>
        </w:rPr>
        <w:t>] which</w:t>
      </w:r>
      <w:r w:rsidR="00495932" w:rsidRPr="00C63BDA">
        <w:rPr>
          <w:rFonts w:eastAsia="Times New Roman"/>
          <w:color w:val="0E101A"/>
        </w:rPr>
        <w:t xml:space="preserve"> </w:t>
      </w:r>
      <w:r w:rsidRPr="00C63BDA">
        <w:rPr>
          <w:rFonts w:eastAsia="Times New Roman"/>
          <w:color w:val="0E101A"/>
        </w:rPr>
        <w:t>are highly different from the lower level to higher level. As District hospital mostly deals with serious cases and provides services to a large number of patients, it affects the behavior of the providers and the time they spend with the patients. Besides, th</w:t>
      </w:r>
      <w:r w:rsidR="0046690F" w:rsidRPr="00C63BDA">
        <w:rPr>
          <w:rFonts w:eastAsia="Times New Roman"/>
          <w:color w:val="0E101A"/>
        </w:rPr>
        <w:t>e</w:t>
      </w:r>
      <w:r w:rsidRPr="00C63BDA">
        <w:rPr>
          <w:rFonts w:eastAsia="Times New Roman"/>
          <w:color w:val="0E101A"/>
        </w:rPr>
        <w:t xml:space="preserve"> hospital </w:t>
      </w:r>
      <w:r w:rsidR="00495932" w:rsidRPr="00C63BDA">
        <w:rPr>
          <w:rFonts w:eastAsia="Times New Roman"/>
          <w:color w:val="0E101A"/>
        </w:rPr>
        <w:t xml:space="preserve">serves </w:t>
      </w:r>
      <w:r w:rsidRPr="00C63BDA">
        <w:rPr>
          <w:rFonts w:eastAsia="Times New Roman"/>
          <w:color w:val="0E101A"/>
        </w:rPr>
        <w:t>many patients from</w:t>
      </w:r>
      <w:r w:rsidR="00495932" w:rsidRPr="00C63BDA">
        <w:rPr>
          <w:rFonts w:eastAsia="Times New Roman"/>
          <w:color w:val="0E101A"/>
        </w:rPr>
        <w:t xml:space="preserve"> other states due to its locational </w:t>
      </w:r>
      <w:r w:rsidR="00CA5178" w:rsidRPr="00C63BDA">
        <w:rPr>
          <w:rFonts w:eastAsia="Times New Roman"/>
          <w:color w:val="0E101A"/>
        </w:rPr>
        <w:t xml:space="preserve">reason. </w:t>
      </w:r>
      <w:r w:rsidRPr="00C63BDA">
        <w:rPr>
          <w:rFonts w:eastAsia="Times New Roman"/>
          <w:color w:val="0E101A"/>
        </w:rPr>
        <w:t xml:space="preserve">As </w:t>
      </w:r>
      <w:r w:rsidR="00495932" w:rsidRPr="00C63BDA">
        <w:rPr>
          <w:rFonts w:eastAsia="Times New Roman"/>
          <w:color w:val="0E101A"/>
        </w:rPr>
        <w:t xml:space="preserve">a consequence, most of the </w:t>
      </w:r>
      <w:r w:rsidR="00CA5178" w:rsidRPr="00C63BDA">
        <w:rPr>
          <w:rFonts w:eastAsia="Times New Roman"/>
          <w:color w:val="0E101A"/>
        </w:rPr>
        <w:t>time, the</w:t>
      </w:r>
      <w:r w:rsidR="00495932" w:rsidRPr="00C63BDA">
        <w:rPr>
          <w:rFonts w:eastAsia="Times New Roman"/>
          <w:color w:val="0E101A"/>
        </w:rPr>
        <w:t xml:space="preserve"> </w:t>
      </w:r>
      <w:r w:rsidRPr="00C63BDA">
        <w:rPr>
          <w:rFonts w:eastAsia="Times New Roman"/>
          <w:color w:val="0E101A"/>
        </w:rPr>
        <w:t xml:space="preserve">District hospital </w:t>
      </w:r>
      <w:r w:rsidR="00495932" w:rsidRPr="00C63BDA">
        <w:rPr>
          <w:rFonts w:eastAsia="Times New Roman"/>
          <w:color w:val="0E101A"/>
        </w:rPr>
        <w:t xml:space="preserve">experiences </w:t>
      </w:r>
      <w:r w:rsidRPr="00C63BDA">
        <w:rPr>
          <w:rFonts w:eastAsia="Times New Roman"/>
          <w:color w:val="0E101A"/>
        </w:rPr>
        <w:t xml:space="preserve">huge patient pressure. As compared to the Tertiary level, the Secondary and Primary level </w:t>
      </w:r>
      <w:r w:rsidR="00495932" w:rsidRPr="00C63BDA">
        <w:rPr>
          <w:rFonts w:eastAsia="Times New Roman"/>
          <w:color w:val="0E101A"/>
        </w:rPr>
        <w:t>center</w:t>
      </w:r>
      <w:r w:rsidRPr="00C63BDA">
        <w:rPr>
          <w:rFonts w:eastAsia="Times New Roman"/>
          <w:color w:val="0E101A"/>
        </w:rPr>
        <w:t>s provide lesse</w:t>
      </w:r>
      <w:r w:rsidR="00495932" w:rsidRPr="00C63BDA">
        <w:rPr>
          <w:rFonts w:eastAsia="Times New Roman"/>
          <w:color w:val="0E101A"/>
        </w:rPr>
        <w:t>r services and serve a lesser number of patients. Therefore, it is easier</w:t>
      </w:r>
      <w:r w:rsidRPr="00C63BDA">
        <w:rPr>
          <w:rFonts w:eastAsia="Times New Roman"/>
          <w:color w:val="0E101A"/>
        </w:rPr>
        <w:t xml:space="preserve"> to maintain the cleanliness and infrastructural conditions of these healthcare centers. </w:t>
      </w:r>
    </w:p>
    <w:p w:rsidR="000242CD" w:rsidRPr="00C63BDA" w:rsidRDefault="000242CD" w:rsidP="000242CD">
      <w:pPr>
        <w:spacing w:line="240" w:lineRule="auto"/>
        <w:jc w:val="both"/>
        <w:rPr>
          <w:rFonts w:eastAsia="Times New Roman"/>
          <w:color w:val="0E101A"/>
        </w:rPr>
      </w:pPr>
    </w:p>
    <w:p w:rsidR="00D45DB6" w:rsidRPr="00C63BDA" w:rsidRDefault="00D45DB6" w:rsidP="000242CD">
      <w:pPr>
        <w:spacing w:line="240" w:lineRule="auto"/>
        <w:jc w:val="both"/>
        <w:rPr>
          <w:rFonts w:eastAsia="Times New Roman"/>
          <w:color w:val="0E101A"/>
        </w:rPr>
      </w:pPr>
      <w:r w:rsidRPr="00C63BDA">
        <w:rPr>
          <w:rFonts w:eastAsia="Times New Roman"/>
          <w:b/>
          <w:bCs/>
          <w:color w:val="0E101A"/>
        </w:rPr>
        <w:t>Perception of Patients about Healthcare</w:t>
      </w:r>
    </w:p>
    <w:p w:rsidR="00F45E8D" w:rsidRPr="00C63BDA" w:rsidRDefault="00CA5178" w:rsidP="000242CD">
      <w:pPr>
        <w:spacing w:line="240" w:lineRule="auto"/>
        <w:jc w:val="both"/>
        <w:rPr>
          <w:rFonts w:eastAsia="Times New Roman"/>
          <w:color w:val="0E101A"/>
        </w:rPr>
      </w:pPr>
      <w:r w:rsidRPr="00C63BDA">
        <w:rPr>
          <w:rFonts w:eastAsia="Times New Roman"/>
          <w:color w:val="0E101A"/>
        </w:rPr>
        <w:t>In the District</w:t>
      </w:r>
      <w:r w:rsidR="006D28AF" w:rsidRPr="00C63BDA">
        <w:rPr>
          <w:rFonts w:eastAsia="Times New Roman"/>
          <w:color w:val="0E101A"/>
        </w:rPr>
        <w:t xml:space="preserve"> hospital, m</w:t>
      </w:r>
      <w:r w:rsidR="00D45DB6" w:rsidRPr="00C63BDA">
        <w:rPr>
          <w:rFonts w:eastAsia="Times New Roman"/>
          <w:color w:val="0E101A"/>
        </w:rPr>
        <w:t xml:space="preserve">ost of the patients have the same </w:t>
      </w:r>
      <w:r w:rsidR="00495932" w:rsidRPr="00C63BDA">
        <w:rPr>
          <w:rFonts w:eastAsia="Times New Roman"/>
          <w:color w:val="0E101A"/>
        </w:rPr>
        <w:t xml:space="preserve">type of </w:t>
      </w:r>
      <w:r w:rsidR="00D45DB6" w:rsidRPr="00C63BDA">
        <w:rPr>
          <w:rFonts w:eastAsia="Times New Roman"/>
          <w:color w:val="0E101A"/>
        </w:rPr>
        <w:t>complai</w:t>
      </w:r>
      <w:r w:rsidR="00495932" w:rsidRPr="00C63BDA">
        <w:rPr>
          <w:rFonts w:eastAsia="Times New Roman"/>
          <w:color w:val="0E101A"/>
        </w:rPr>
        <w:t>nt that the providers remain</w:t>
      </w:r>
      <w:r w:rsidR="00D45DB6" w:rsidRPr="00C63BDA">
        <w:rPr>
          <w:rFonts w:eastAsia="Times New Roman"/>
          <w:color w:val="0E101A"/>
        </w:rPr>
        <w:t xml:space="preserve"> too busy and don’t have time to speak with them. According to a senior Doctor in </w:t>
      </w:r>
      <w:r w:rsidR="00495932" w:rsidRPr="00C63BDA">
        <w:rPr>
          <w:rFonts w:eastAsia="Times New Roman"/>
          <w:color w:val="0E101A"/>
        </w:rPr>
        <w:t xml:space="preserve">the </w:t>
      </w:r>
      <w:r w:rsidR="00D45DB6" w:rsidRPr="00C63BDA">
        <w:rPr>
          <w:rFonts w:eastAsia="Times New Roman"/>
          <w:color w:val="0E101A"/>
        </w:rPr>
        <w:t>District ho</w:t>
      </w:r>
      <w:r w:rsidR="00495932" w:rsidRPr="00C63BDA">
        <w:rPr>
          <w:rFonts w:eastAsia="Times New Roman"/>
          <w:color w:val="0E101A"/>
        </w:rPr>
        <w:t>spital, almost all the time</w:t>
      </w:r>
      <w:r w:rsidR="0046690F" w:rsidRPr="00C63BDA">
        <w:rPr>
          <w:rFonts w:eastAsia="Times New Roman"/>
          <w:color w:val="0E101A"/>
        </w:rPr>
        <w:t>,</w:t>
      </w:r>
      <w:r w:rsidR="00495932" w:rsidRPr="00C63BDA">
        <w:rPr>
          <w:rFonts w:eastAsia="Times New Roman"/>
          <w:color w:val="0E101A"/>
        </w:rPr>
        <w:t xml:space="preserve"> the</w:t>
      </w:r>
      <w:r w:rsidR="00D45DB6" w:rsidRPr="00C63BDA">
        <w:rPr>
          <w:rFonts w:eastAsia="Times New Roman"/>
          <w:color w:val="0E101A"/>
        </w:rPr>
        <w:t xml:space="preserve"> hospital serves </w:t>
      </w:r>
      <w:r w:rsidR="00495932" w:rsidRPr="00C63BDA">
        <w:rPr>
          <w:rFonts w:eastAsia="Times New Roman"/>
          <w:color w:val="0E101A"/>
        </w:rPr>
        <w:t xml:space="preserve">two or three times more </w:t>
      </w:r>
      <w:r w:rsidR="00D45DB6" w:rsidRPr="00C63BDA">
        <w:rPr>
          <w:rFonts w:eastAsia="Times New Roman"/>
          <w:color w:val="0E101A"/>
        </w:rPr>
        <w:t xml:space="preserve">patients than its capacity. Due to </w:t>
      </w:r>
      <w:r w:rsidR="00495932" w:rsidRPr="00C63BDA">
        <w:rPr>
          <w:rFonts w:eastAsia="Times New Roman"/>
          <w:color w:val="0E101A"/>
        </w:rPr>
        <w:t>the shortage of personnel, the n</w:t>
      </w:r>
      <w:r w:rsidR="00D45DB6" w:rsidRPr="00C63BDA">
        <w:rPr>
          <w:rFonts w:eastAsia="Times New Roman"/>
          <w:color w:val="0E101A"/>
        </w:rPr>
        <w:t xml:space="preserve">urses and doctors are compelled to do jobs </w:t>
      </w:r>
      <w:r w:rsidR="00D20F19" w:rsidRPr="00C63BDA">
        <w:rPr>
          <w:rFonts w:eastAsia="Times New Roman"/>
          <w:color w:val="0E101A"/>
        </w:rPr>
        <w:t>of other</w:t>
      </w:r>
      <w:r w:rsidR="00495932" w:rsidRPr="00C63BDA">
        <w:rPr>
          <w:rFonts w:eastAsia="Times New Roman"/>
          <w:color w:val="0E101A"/>
        </w:rPr>
        <w:t>s and for</w:t>
      </w:r>
      <w:r w:rsidR="00D20F19" w:rsidRPr="00C63BDA">
        <w:rPr>
          <w:rFonts w:eastAsia="Times New Roman"/>
          <w:color w:val="0E101A"/>
        </w:rPr>
        <w:t xml:space="preserve"> huge patient pressure</w:t>
      </w:r>
      <w:r w:rsidR="00495932" w:rsidRPr="00C63BDA">
        <w:rPr>
          <w:rFonts w:eastAsia="Times New Roman"/>
          <w:color w:val="0E101A"/>
        </w:rPr>
        <w:t>,</w:t>
      </w:r>
      <w:r w:rsidR="00D20F19" w:rsidRPr="00C63BDA">
        <w:rPr>
          <w:rFonts w:eastAsia="Times New Roman"/>
          <w:color w:val="0E101A"/>
        </w:rPr>
        <w:t xml:space="preserve"> </w:t>
      </w:r>
      <w:r w:rsidR="005A1A63" w:rsidRPr="00C63BDA">
        <w:rPr>
          <w:rFonts w:eastAsia="Times New Roman"/>
          <w:color w:val="0E101A"/>
        </w:rPr>
        <w:t>as consequence</w:t>
      </w:r>
      <w:r w:rsidR="00FE0374" w:rsidRPr="00C63BDA">
        <w:rPr>
          <w:rFonts w:eastAsia="Times New Roman"/>
          <w:color w:val="0E101A"/>
        </w:rPr>
        <w:t>,</w:t>
      </w:r>
      <w:r w:rsidR="005A1A63" w:rsidRPr="00C63BDA">
        <w:rPr>
          <w:rFonts w:eastAsia="Times New Roman"/>
          <w:color w:val="0E101A"/>
        </w:rPr>
        <w:t xml:space="preserve"> </w:t>
      </w:r>
      <w:r w:rsidR="00D45DB6" w:rsidRPr="00C63BDA">
        <w:rPr>
          <w:rFonts w:eastAsia="Times New Roman"/>
          <w:color w:val="0E101A"/>
        </w:rPr>
        <w:t>their interaction with patients as well as the quality of care</w:t>
      </w:r>
      <w:r w:rsidR="00495932" w:rsidRPr="00C63BDA">
        <w:rPr>
          <w:rFonts w:eastAsia="Times New Roman"/>
          <w:color w:val="0E101A"/>
        </w:rPr>
        <w:t xml:space="preserve"> is affected</w:t>
      </w:r>
      <w:r w:rsidRPr="00C63BDA">
        <w:rPr>
          <w:rFonts w:eastAsia="Times New Roman"/>
          <w:color w:val="0E101A"/>
        </w:rPr>
        <w:t>. [16]</w:t>
      </w:r>
      <w:r w:rsidR="00D45DB6" w:rsidRPr="00C63BDA">
        <w:rPr>
          <w:rFonts w:eastAsia="Times New Roman"/>
          <w:color w:val="0E101A"/>
        </w:rPr>
        <w:t xml:space="preserve"> Though in the Tertiary level, patients receive a higher level of services, </w:t>
      </w:r>
      <w:r w:rsidR="00495932" w:rsidRPr="00C63BDA">
        <w:rPr>
          <w:rFonts w:eastAsia="Times New Roman"/>
          <w:color w:val="0E101A"/>
        </w:rPr>
        <w:t xml:space="preserve">although </w:t>
      </w:r>
      <w:r w:rsidR="00D45DB6" w:rsidRPr="00C63BDA">
        <w:rPr>
          <w:rFonts w:eastAsia="Times New Roman"/>
          <w:color w:val="0E101A"/>
        </w:rPr>
        <w:t xml:space="preserve">they are </w:t>
      </w:r>
      <w:r w:rsidR="00495932" w:rsidRPr="00C63BDA">
        <w:rPr>
          <w:rFonts w:eastAsia="Times New Roman"/>
          <w:color w:val="0E101A"/>
        </w:rPr>
        <w:t xml:space="preserve">found unsatisfied with </w:t>
      </w:r>
      <w:r w:rsidR="00D45DB6" w:rsidRPr="00C63BDA">
        <w:rPr>
          <w:rFonts w:eastAsia="Times New Roman"/>
          <w:color w:val="0E101A"/>
        </w:rPr>
        <w:t xml:space="preserve">the care as compared </w:t>
      </w:r>
      <w:r w:rsidR="00495932" w:rsidRPr="00C63BDA">
        <w:rPr>
          <w:rFonts w:eastAsia="Times New Roman"/>
          <w:color w:val="0E101A"/>
        </w:rPr>
        <w:t>to</w:t>
      </w:r>
      <w:r w:rsidR="00FE0374" w:rsidRPr="00C63BDA">
        <w:rPr>
          <w:rFonts w:eastAsia="Times New Roman"/>
          <w:color w:val="0E101A"/>
        </w:rPr>
        <w:t xml:space="preserve"> the</w:t>
      </w:r>
      <w:r w:rsidR="00495932" w:rsidRPr="00C63BDA">
        <w:rPr>
          <w:rFonts w:eastAsia="Times New Roman"/>
          <w:color w:val="0E101A"/>
        </w:rPr>
        <w:t xml:space="preserve"> other two types of centers</w:t>
      </w:r>
      <w:r w:rsidR="00D45DB6" w:rsidRPr="00C63BDA">
        <w:rPr>
          <w:rFonts w:eastAsia="Times New Roman"/>
          <w:color w:val="0E101A"/>
        </w:rPr>
        <w:t>.</w:t>
      </w:r>
      <w:r w:rsidR="00495932" w:rsidRPr="00C63BDA">
        <w:rPr>
          <w:rFonts w:eastAsia="Times New Roman"/>
          <w:color w:val="0E101A"/>
        </w:rPr>
        <w:t xml:space="preserve"> </w:t>
      </w:r>
      <w:r w:rsidR="00D45DB6" w:rsidRPr="00C63BDA">
        <w:rPr>
          <w:rFonts w:eastAsia="Times New Roman"/>
          <w:color w:val="0E101A"/>
        </w:rPr>
        <w:t>During the survey, it is noticed that in Alipurduar District Hospital, the authority provides mattresses due to the scarcity of beds and on the other hand in Rural Hospital and PHC</w:t>
      </w:r>
      <w:r w:rsidR="0046690F" w:rsidRPr="00C63BDA">
        <w:rPr>
          <w:rFonts w:eastAsia="Times New Roman"/>
          <w:color w:val="0E101A"/>
        </w:rPr>
        <w:t xml:space="preserve">, </w:t>
      </w:r>
      <w:r w:rsidRPr="00C63BDA">
        <w:rPr>
          <w:rFonts w:eastAsia="Times New Roman"/>
          <w:color w:val="0E101A"/>
        </w:rPr>
        <w:t>the beds</w:t>
      </w:r>
      <w:r w:rsidR="0046690F" w:rsidRPr="00C63BDA">
        <w:rPr>
          <w:rFonts w:eastAsia="Times New Roman"/>
          <w:color w:val="0E101A"/>
        </w:rPr>
        <w:t xml:space="preserve"> </w:t>
      </w:r>
      <w:r w:rsidR="00495932" w:rsidRPr="00C63BDA">
        <w:rPr>
          <w:rFonts w:eastAsia="Times New Roman"/>
          <w:color w:val="0E101A"/>
        </w:rPr>
        <w:t>remain vacant</w:t>
      </w:r>
      <w:r w:rsidR="005A1A63" w:rsidRPr="00C63BDA">
        <w:rPr>
          <w:rFonts w:eastAsia="Times New Roman"/>
          <w:color w:val="0E101A"/>
        </w:rPr>
        <w:t xml:space="preserve">. This situation is indicating an inequality of the pressure of patients among different healthcare facilities. </w:t>
      </w:r>
    </w:p>
    <w:p w:rsidR="000242CD" w:rsidRPr="00C63BDA" w:rsidRDefault="000242CD" w:rsidP="000242CD">
      <w:pPr>
        <w:spacing w:line="240" w:lineRule="auto"/>
        <w:jc w:val="both"/>
        <w:rPr>
          <w:rFonts w:eastAsia="Times New Roman"/>
          <w:color w:val="0E101A"/>
        </w:rPr>
      </w:pPr>
    </w:p>
    <w:p w:rsidR="00F851B1" w:rsidRPr="00C63BDA" w:rsidRDefault="00FC56F0" w:rsidP="000242CD">
      <w:pPr>
        <w:spacing w:line="240" w:lineRule="auto"/>
        <w:jc w:val="both"/>
        <w:rPr>
          <w:rFonts w:eastAsia="Times New Roman"/>
          <w:color w:val="0E101A"/>
        </w:rPr>
      </w:pPr>
      <w:r w:rsidRPr="00C63BDA">
        <w:rPr>
          <w:rFonts w:eastAsia="Times New Roman"/>
          <w:color w:val="0E101A"/>
        </w:rPr>
        <w:t xml:space="preserve">According to the experience as obtained from the field study in primary and </w:t>
      </w:r>
      <w:r w:rsidR="00CA5178" w:rsidRPr="00C63BDA">
        <w:rPr>
          <w:rFonts w:eastAsia="Times New Roman"/>
          <w:color w:val="0E101A"/>
        </w:rPr>
        <w:t>secondary</w:t>
      </w:r>
      <w:r w:rsidRPr="00C63BDA">
        <w:rPr>
          <w:rFonts w:eastAsia="Times New Roman"/>
          <w:color w:val="0E101A"/>
        </w:rPr>
        <w:t xml:space="preserve"> health care centers,</w:t>
      </w:r>
      <w:r w:rsidR="003B57CB" w:rsidRPr="00C63BDA">
        <w:rPr>
          <w:rFonts w:eastAsia="Times New Roman"/>
          <w:color w:val="0E101A"/>
        </w:rPr>
        <w:t xml:space="preserve"> </w:t>
      </w:r>
      <w:r w:rsidRPr="00C63BDA">
        <w:rPr>
          <w:rFonts w:eastAsia="Times New Roman"/>
          <w:color w:val="0E101A"/>
        </w:rPr>
        <w:t>it is re</w:t>
      </w:r>
      <w:r w:rsidR="00FE0374" w:rsidRPr="00C63BDA">
        <w:rPr>
          <w:rFonts w:eastAsia="Times New Roman"/>
          <w:color w:val="0E101A"/>
        </w:rPr>
        <w:t>vealed that few doctors perform</w:t>
      </w:r>
      <w:r w:rsidRPr="00C63BDA">
        <w:rPr>
          <w:rFonts w:eastAsia="Times New Roman"/>
          <w:color w:val="0E101A"/>
        </w:rPr>
        <w:t xml:space="preserve"> their </w:t>
      </w:r>
      <w:r w:rsidR="003B57CB" w:rsidRPr="00C63BDA">
        <w:rPr>
          <w:rFonts w:eastAsia="Times New Roman"/>
          <w:color w:val="0E101A"/>
        </w:rPr>
        <w:t>services</w:t>
      </w:r>
      <w:r w:rsidRPr="00C63BDA">
        <w:rPr>
          <w:rFonts w:eastAsia="Times New Roman"/>
          <w:color w:val="0E101A"/>
        </w:rPr>
        <w:t xml:space="preserve"> from their residences during duty hours. </w:t>
      </w:r>
      <w:r w:rsidR="00507ABB" w:rsidRPr="00507ABB">
        <w:rPr>
          <w:rFonts w:eastAsia="Times New Roman"/>
          <w:color w:val="0E101A"/>
          <w:szCs w:val="20"/>
        </w:rPr>
        <w:t xml:space="preserve">This should be a negligence by the Doctors to their patients but as per the Consumer </w:t>
      </w:r>
      <w:r w:rsidR="00507ABB" w:rsidRPr="00507ABB">
        <w:rPr>
          <w:rFonts w:eastAsia="Times New Roman"/>
          <w:color w:val="0E101A"/>
          <w:szCs w:val="20"/>
        </w:rPr>
        <w:lastRenderedPageBreak/>
        <w:t xml:space="preserve">Protection Act, 1986 all the patients should be treated as a consumer even the treatment is given free of cost </w:t>
      </w:r>
      <w:r w:rsidR="00507ABB">
        <w:rPr>
          <w:rFonts w:eastAsia="Times New Roman"/>
          <w:color w:val="0E101A"/>
          <w:szCs w:val="20"/>
        </w:rPr>
        <w:t>[17</w:t>
      </w:r>
      <w:r w:rsidR="00507ABB" w:rsidRPr="00507ABB">
        <w:rPr>
          <w:rFonts w:eastAsia="Times New Roman"/>
          <w:color w:val="0E101A"/>
          <w:szCs w:val="20"/>
        </w:rPr>
        <w:t xml:space="preserve">]. </w:t>
      </w:r>
      <w:r w:rsidRPr="00C63BDA">
        <w:rPr>
          <w:rFonts w:eastAsia="Times New Roman"/>
          <w:color w:val="0E101A"/>
        </w:rPr>
        <w:t xml:space="preserve">In </w:t>
      </w:r>
      <w:r w:rsidR="00CA5178" w:rsidRPr="00C63BDA">
        <w:rPr>
          <w:rFonts w:eastAsia="Times New Roman"/>
          <w:color w:val="0E101A"/>
        </w:rPr>
        <w:t>addition</w:t>
      </w:r>
      <w:r w:rsidRPr="00C63BDA">
        <w:rPr>
          <w:rFonts w:eastAsia="Times New Roman"/>
          <w:color w:val="0E101A"/>
        </w:rPr>
        <w:t>, there is a tendency of a few doctors to refe</w:t>
      </w:r>
      <w:r w:rsidR="003B57CB" w:rsidRPr="00C63BDA">
        <w:rPr>
          <w:rFonts w:eastAsia="Times New Roman"/>
          <w:color w:val="0E101A"/>
        </w:rPr>
        <w:t>r</w:t>
      </w:r>
      <w:r w:rsidRPr="00C63BDA">
        <w:rPr>
          <w:rFonts w:eastAsia="Times New Roman"/>
          <w:color w:val="0E101A"/>
        </w:rPr>
        <w:t xml:space="preserve"> the emergency </w:t>
      </w:r>
      <w:r w:rsidR="00CA5178" w:rsidRPr="00C63BDA">
        <w:rPr>
          <w:rFonts w:eastAsia="Times New Roman"/>
          <w:color w:val="0E101A"/>
        </w:rPr>
        <w:t>patients</w:t>
      </w:r>
      <w:r w:rsidRPr="00C63BDA">
        <w:rPr>
          <w:rFonts w:eastAsia="Times New Roman"/>
          <w:color w:val="0E101A"/>
        </w:rPr>
        <w:t xml:space="preserve"> elsewhere for avoiding risk. Non-adherence to the referral system guidelines, lack of confidence and accountability in each level for controlling unnecessary referrals</w:t>
      </w:r>
      <w:r w:rsidR="00CA5178" w:rsidRPr="00C63BDA">
        <w:rPr>
          <w:rFonts w:eastAsia="Times New Roman"/>
          <w:color w:val="0E101A"/>
        </w:rPr>
        <w:t>,</w:t>
      </w:r>
      <w:r w:rsidRPr="00C63BDA">
        <w:rPr>
          <w:rFonts w:eastAsia="Times New Roman"/>
          <w:color w:val="0E101A"/>
        </w:rPr>
        <w:t xml:space="preserve"> </w:t>
      </w:r>
      <w:r w:rsidR="00507ABB">
        <w:rPr>
          <w:rFonts w:eastAsia="Times New Roman"/>
          <w:color w:val="0E101A"/>
        </w:rPr>
        <w:t>[18</w:t>
      </w:r>
      <w:r w:rsidRPr="00C63BDA">
        <w:rPr>
          <w:rFonts w:eastAsia="Times New Roman"/>
          <w:color w:val="0E101A"/>
        </w:rPr>
        <w:t>] is one of the important reasons for</w:t>
      </w:r>
      <w:r w:rsidR="00FE0374" w:rsidRPr="00C63BDA">
        <w:rPr>
          <w:rFonts w:eastAsia="Times New Roman"/>
          <w:color w:val="0E101A"/>
        </w:rPr>
        <w:t xml:space="preserve"> the</w:t>
      </w:r>
      <w:r w:rsidRPr="00C63BDA">
        <w:rPr>
          <w:rFonts w:eastAsia="Times New Roman"/>
          <w:color w:val="0E101A"/>
        </w:rPr>
        <w:t xml:space="preserve"> increasing rate of referral. This also </w:t>
      </w:r>
      <w:r w:rsidR="00E61C3A" w:rsidRPr="00C63BDA">
        <w:rPr>
          <w:rFonts w:eastAsia="Times New Roman"/>
          <w:color w:val="0E101A"/>
        </w:rPr>
        <w:t xml:space="preserve">increases the cost of </w:t>
      </w:r>
      <w:r w:rsidR="0062087A" w:rsidRPr="00C63BDA">
        <w:rPr>
          <w:rFonts w:eastAsia="Times New Roman"/>
          <w:color w:val="0E101A"/>
        </w:rPr>
        <w:t>treatment as</w:t>
      </w:r>
      <w:r w:rsidRPr="00C63BDA">
        <w:rPr>
          <w:rFonts w:eastAsia="Times New Roman"/>
          <w:color w:val="0E101A"/>
        </w:rPr>
        <w:t xml:space="preserve"> well as difficulties for the patients and their families significantly. </w:t>
      </w:r>
      <w:r w:rsidR="00607B9D" w:rsidRPr="00C63BDA">
        <w:rPr>
          <w:rFonts w:eastAsia="Times New Roman"/>
          <w:color w:val="0E101A"/>
        </w:rPr>
        <w:t>During this transition of care, specialists may receive insufficient information or reporting of findings that may be delayed, potentially endangering patients. [</w:t>
      </w:r>
      <w:r w:rsidR="00CA5178" w:rsidRPr="00C63BDA">
        <w:rPr>
          <w:rFonts w:eastAsia="Times New Roman"/>
          <w:color w:val="0E101A"/>
        </w:rPr>
        <w:t>19, 20</w:t>
      </w:r>
      <w:r w:rsidR="00607B9D" w:rsidRPr="00C63BDA">
        <w:rPr>
          <w:rFonts w:eastAsia="Times New Roman"/>
          <w:color w:val="0E101A"/>
        </w:rPr>
        <w:t>] </w:t>
      </w:r>
    </w:p>
    <w:p w:rsidR="000242CD" w:rsidRPr="00C63BDA" w:rsidRDefault="000242CD" w:rsidP="000242CD">
      <w:pPr>
        <w:spacing w:line="240" w:lineRule="auto"/>
        <w:jc w:val="both"/>
        <w:rPr>
          <w:rFonts w:eastAsia="Times New Roman"/>
          <w:color w:val="0E101A"/>
        </w:rPr>
      </w:pPr>
    </w:p>
    <w:p w:rsidR="00D45DB6" w:rsidRPr="00C63BDA" w:rsidRDefault="00D45DB6" w:rsidP="000242CD">
      <w:pPr>
        <w:spacing w:line="240" w:lineRule="auto"/>
        <w:jc w:val="both"/>
        <w:rPr>
          <w:rFonts w:eastAsia="Times New Roman"/>
          <w:color w:val="0E101A"/>
        </w:rPr>
      </w:pPr>
      <w:r w:rsidRPr="00C63BDA">
        <w:rPr>
          <w:rFonts w:eastAsia="Times New Roman"/>
          <w:b/>
          <w:bCs/>
          <w:color w:val="0E101A"/>
        </w:rPr>
        <w:t>Conclusion </w:t>
      </w:r>
    </w:p>
    <w:p w:rsidR="00F959AC" w:rsidRPr="00C63BDA" w:rsidRDefault="00FE0374" w:rsidP="000242CD">
      <w:pPr>
        <w:pStyle w:val="Default"/>
        <w:jc w:val="both"/>
        <w:rPr>
          <w:rFonts w:eastAsia="Times New Roman"/>
          <w:color w:val="0E101A"/>
        </w:rPr>
      </w:pPr>
      <w:r w:rsidRPr="00C63BDA">
        <w:rPr>
          <w:rFonts w:eastAsia="Times New Roman"/>
          <w:color w:val="0E101A"/>
        </w:rPr>
        <w:t>The patients’ experience is an important indicator of healthcare services as it is based on the perception of patients who have received the care. This study reveals that among different services provided by these centers, Responsiveness is the most important service, indicating most of the patients expect emotional support and good behavior from the healthcare providers followed by good infrastructural conditions and cleanliness of the hospital. But among the different facilities in the three levels of the public healthcare system, the variation of responsiveness is highest. Patients from the primary and secondary centers are more satisfied than those patients who have received care from the tertiary level. Different tiers in healthcare have different problems and some of them can’t be measured quantitatively and are often overlooked by the Healthcare Authority. Therefore, it is highly essential to identify the ailments in different levels of the Public Healthcare System by collecting feedback from the patients in both quantitative and qualitative ways and steps should be taken accordingly.</w:t>
      </w:r>
    </w:p>
    <w:p w:rsidR="000242CD" w:rsidRPr="00C63BDA" w:rsidRDefault="000242CD" w:rsidP="000242CD">
      <w:pPr>
        <w:pStyle w:val="Default"/>
        <w:jc w:val="both"/>
        <w:rPr>
          <w:b/>
        </w:rPr>
      </w:pPr>
    </w:p>
    <w:p w:rsidR="00ED3250" w:rsidRDefault="00ED3250" w:rsidP="000242CD">
      <w:pPr>
        <w:autoSpaceDE w:val="0"/>
        <w:autoSpaceDN w:val="0"/>
        <w:adjustRightInd w:val="0"/>
        <w:spacing w:line="240" w:lineRule="auto"/>
        <w:jc w:val="both"/>
        <w:rPr>
          <w:rFonts w:eastAsiaTheme="minorHAnsi"/>
        </w:rPr>
      </w:pPr>
      <w:r w:rsidRPr="000242CD">
        <w:rPr>
          <w:rFonts w:eastAsiaTheme="minorHAnsi"/>
          <w:b/>
        </w:rPr>
        <w:t xml:space="preserve">Author Contribution: </w:t>
      </w:r>
      <w:r w:rsidRPr="000242CD">
        <w:rPr>
          <w:rFonts w:eastAsiaTheme="minorHAnsi"/>
        </w:rPr>
        <w:t xml:space="preserve">All authors are participated in the review of the literature, design, setting and analysis of data and in manuscript writing. </w:t>
      </w:r>
    </w:p>
    <w:p w:rsidR="000242CD" w:rsidRPr="000242CD" w:rsidRDefault="000242CD" w:rsidP="000242CD">
      <w:pPr>
        <w:autoSpaceDE w:val="0"/>
        <w:autoSpaceDN w:val="0"/>
        <w:adjustRightInd w:val="0"/>
        <w:spacing w:line="240" w:lineRule="auto"/>
        <w:jc w:val="both"/>
        <w:rPr>
          <w:rFonts w:eastAsiaTheme="minorHAnsi"/>
          <w:b/>
        </w:rPr>
      </w:pPr>
    </w:p>
    <w:p w:rsidR="00ED3250" w:rsidRDefault="00ED3250" w:rsidP="000242CD">
      <w:pPr>
        <w:pStyle w:val="Default"/>
        <w:jc w:val="both"/>
        <w:rPr>
          <w:noProof/>
        </w:rPr>
      </w:pPr>
      <w:r w:rsidRPr="000242CD">
        <w:rPr>
          <w:b/>
          <w:noProof/>
        </w:rPr>
        <w:t xml:space="preserve">Conflicting Interest: </w:t>
      </w:r>
      <w:r w:rsidRPr="000242CD">
        <w:rPr>
          <w:noProof/>
        </w:rPr>
        <w:t xml:space="preserve">Conflicting Interest does not exist in this study. </w:t>
      </w:r>
    </w:p>
    <w:p w:rsidR="000242CD" w:rsidRPr="000242CD" w:rsidRDefault="000242CD" w:rsidP="000242CD">
      <w:pPr>
        <w:pStyle w:val="Default"/>
        <w:jc w:val="both"/>
      </w:pPr>
    </w:p>
    <w:p w:rsidR="00ED3250" w:rsidRDefault="00ED3250" w:rsidP="000242CD">
      <w:pPr>
        <w:autoSpaceDE w:val="0"/>
        <w:autoSpaceDN w:val="0"/>
        <w:adjustRightInd w:val="0"/>
        <w:spacing w:line="240" w:lineRule="auto"/>
        <w:jc w:val="both"/>
        <w:rPr>
          <w:rFonts w:eastAsiaTheme="minorHAnsi"/>
        </w:rPr>
      </w:pPr>
      <w:r w:rsidRPr="000242CD">
        <w:rPr>
          <w:rFonts w:eastAsiaTheme="minorHAnsi"/>
          <w:b/>
        </w:rPr>
        <w:t>Funding:</w:t>
      </w:r>
      <w:r w:rsidRPr="000242CD">
        <w:rPr>
          <w:rFonts w:eastAsiaTheme="minorHAnsi"/>
        </w:rPr>
        <w:t xml:space="preserve"> </w:t>
      </w:r>
      <w:r w:rsidRPr="000242CD">
        <w:t xml:space="preserve">This study has not received any </w:t>
      </w:r>
      <w:r w:rsidRPr="000242CD">
        <w:rPr>
          <w:noProof/>
        </w:rPr>
        <w:t>grant</w:t>
      </w:r>
      <w:r w:rsidRPr="000242CD">
        <w:t xml:space="preserve"> from any funding agency.</w:t>
      </w:r>
      <w:r w:rsidRPr="000242CD">
        <w:rPr>
          <w:rFonts w:eastAsiaTheme="minorHAnsi"/>
        </w:rPr>
        <w:t xml:space="preserve"> </w:t>
      </w:r>
    </w:p>
    <w:p w:rsidR="000242CD" w:rsidRPr="000242CD" w:rsidRDefault="000242CD" w:rsidP="000242CD">
      <w:pPr>
        <w:autoSpaceDE w:val="0"/>
        <w:autoSpaceDN w:val="0"/>
        <w:adjustRightInd w:val="0"/>
        <w:spacing w:line="240" w:lineRule="auto"/>
        <w:jc w:val="both"/>
        <w:rPr>
          <w:rFonts w:eastAsiaTheme="minorHAnsi"/>
        </w:rPr>
      </w:pPr>
    </w:p>
    <w:p w:rsidR="00ED3250" w:rsidRDefault="00ED3250" w:rsidP="000242CD">
      <w:pPr>
        <w:autoSpaceDE w:val="0"/>
        <w:autoSpaceDN w:val="0"/>
        <w:adjustRightInd w:val="0"/>
        <w:spacing w:line="240" w:lineRule="auto"/>
        <w:jc w:val="both"/>
        <w:rPr>
          <w:rFonts w:eastAsiaTheme="minorHAnsi"/>
        </w:rPr>
      </w:pPr>
      <w:r w:rsidRPr="000242CD">
        <w:rPr>
          <w:rFonts w:eastAsiaTheme="minorHAnsi"/>
          <w:b/>
        </w:rPr>
        <w:t>Patient consent for publication:</w:t>
      </w:r>
      <w:r w:rsidRPr="000242CD">
        <w:rPr>
          <w:rFonts w:eastAsiaTheme="minorHAnsi"/>
        </w:rPr>
        <w:t xml:space="preserve"> Not required.</w:t>
      </w:r>
    </w:p>
    <w:p w:rsidR="000242CD" w:rsidRPr="000242CD" w:rsidRDefault="000242CD" w:rsidP="000242CD">
      <w:pPr>
        <w:autoSpaceDE w:val="0"/>
        <w:autoSpaceDN w:val="0"/>
        <w:adjustRightInd w:val="0"/>
        <w:spacing w:line="240" w:lineRule="auto"/>
        <w:jc w:val="both"/>
        <w:rPr>
          <w:rFonts w:eastAsiaTheme="minorHAnsi"/>
        </w:rPr>
      </w:pPr>
    </w:p>
    <w:p w:rsidR="00ED3250" w:rsidRPr="000242CD" w:rsidRDefault="00ED3250" w:rsidP="000242CD">
      <w:pPr>
        <w:autoSpaceDE w:val="0"/>
        <w:autoSpaceDN w:val="0"/>
        <w:adjustRightInd w:val="0"/>
        <w:spacing w:line="240" w:lineRule="auto"/>
        <w:jc w:val="both"/>
        <w:rPr>
          <w:rFonts w:eastAsiaTheme="minorHAnsi"/>
        </w:rPr>
      </w:pPr>
      <w:r w:rsidRPr="000242CD">
        <w:rPr>
          <w:rFonts w:eastAsiaTheme="minorHAnsi"/>
          <w:b/>
        </w:rPr>
        <w:t>Data availability statement:</w:t>
      </w:r>
      <w:r w:rsidRPr="000242CD">
        <w:rPr>
          <w:rFonts w:eastAsiaTheme="minorHAnsi"/>
        </w:rPr>
        <w:t xml:space="preserve"> Data will be available on request and this article consists all relevant data.  </w:t>
      </w:r>
    </w:p>
    <w:p w:rsidR="00ED3250" w:rsidRPr="000242CD" w:rsidRDefault="00ED3250" w:rsidP="000242CD">
      <w:pPr>
        <w:spacing w:before="60" w:line="240" w:lineRule="auto"/>
        <w:jc w:val="both"/>
        <w:outlineLvl w:val="0"/>
        <w:rPr>
          <w:b/>
          <w:noProof/>
          <w:color w:val="000000"/>
        </w:rPr>
      </w:pPr>
      <w:r w:rsidRPr="000242CD">
        <w:rPr>
          <w:b/>
          <w:noProof/>
          <w:color w:val="000000"/>
        </w:rPr>
        <w:t>Acknowledgement</w:t>
      </w:r>
    </w:p>
    <w:p w:rsidR="00ED3250" w:rsidRPr="000242CD" w:rsidRDefault="00ED3250" w:rsidP="000242CD">
      <w:pPr>
        <w:spacing w:before="60" w:line="240" w:lineRule="auto"/>
        <w:jc w:val="both"/>
        <w:outlineLvl w:val="0"/>
      </w:pPr>
      <w:r w:rsidRPr="000242CD">
        <w:t xml:space="preserve">We are indebted and grateful to the persons who have encouraged, inspired and assisted us to complete this work, particularly CMOH of Alipurduar District who have given us permission to carry out the survey for this study. </w:t>
      </w:r>
    </w:p>
    <w:p w:rsidR="00444227" w:rsidRPr="000242CD" w:rsidRDefault="00444227" w:rsidP="000242CD">
      <w:pPr>
        <w:pStyle w:val="Default"/>
        <w:jc w:val="both"/>
      </w:pPr>
    </w:p>
    <w:p w:rsidR="00444227" w:rsidRPr="000242CD" w:rsidRDefault="00444227" w:rsidP="000242CD">
      <w:pPr>
        <w:pStyle w:val="Default"/>
        <w:jc w:val="both"/>
        <w:rPr>
          <w:b/>
        </w:rPr>
      </w:pPr>
    </w:p>
    <w:p w:rsidR="00444227" w:rsidRPr="000242CD" w:rsidRDefault="00444227" w:rsidP="000242CD">
      <w:pPr>
        <w:pStyle w:val="Default"/>
        <w:jc w:val="both"/>
        <w:rPr>
          <w:b/>
        </w:rPr>
      </w:pPr>
    </w:p>
    <w:p w:rsidR="00444227" w:rsidRPr="000242CD" w:rsidRDefault="00444227" w:rsidP="000242CD">
      <w:pPr>
        <w:pStyle w:val="Default"/>
        <w:jc w:val="both"/>
        <w:rPr>
          <w:b/>
        </w:rPr>
      </w:pPr>
    </w:p>
    <w:p w:rsidR="00444227" w:rsidRPr="000242CD" w:rsidRDefault="00444227" w:rsidP="000242CD">
      <w:pPr>
        <w:pStyle w:val="Default"/>
        <w:jc w:val="both"/>
        <w:rPr>
          <w:b/>
        </w:rPr>
      </w:pPr>
    </w:p>
    <w:p w:rsidR="00444227" w:rsidRPr="000242CD" w:rsidRDefault="00444227" w:rsidP="000242CD">
      <w:pPr>
        <w:pStyle w:val="Default"/>
        <w:jc w:val="both"/>
        <w:rPr>
          <w:b/>
        </w:rPr>
      </w:pPr>
    </w:p>
    <w:p w:rsidR="00444227" w:rsidRPr="000242CD" w:rsidRDefault="00444227" w:rsidP="000242CD">
      <w:pPr>
        <w:pStyle w:val="Default"/>
        <w:jc w:val="both"/>
        <w:rPr>
          <w:b/>
        </w:rPr>
      </w:pPr>
    </w:p>
    <w:p w:rsidR="00444227" w:rsidRDefault="00444227" w:rsidP="000242CD">
      <w:pPr>
        <w:pStyle w:val="Default"/>
        <w:jc w:val="both"/>
        <w:rPr>
          <w:b/>
        </w:rPr>
      </w:pPr>
    </w:p>
    <w:p w:rsidR="000242CD" w:rsidRDefault="000242CD" w:rsidP="000242CD">
      <w:pPr>
        <w:pStyle w:val="Default"/>
        <w:jc w:val="both"/>
        <w:rPr>
          <w:b/>
        </w:rPr>
      </w:pPr>
    </w:p>
    <w:p w:rsidR="000242CD" w:rsidRDefault="000242CD" w:rsidP="000242CD">
      <w:pPr>
        <w:pStyle w:val="Default"/>
        <w:jc w:val="both"/>
        <w:rPr>
          <w:b/>
        </w:rPr>
      </w:pPr>
    </w:p>
    <w:p w:rsidR="000242CD" w:rsidRPr="000242CD" w:rsidRDefault="000242CD" w:rsidP="000242CD">
      <w:pPr>
        <w:pStyle w:val="Default"/>
        <w:jc w:val="both"/>
        <w:rPr>
          <w:b/>
        </w:rPr>
      </w:pPr>
    </w:p>
    <w:p w:rsidR="001716EE" w:rsidRPr="000242CD" w:rsidRDefault="001716EE" w:rsidP="000242CD">
      <w:pPr>
        <w:pStyle w:val="Default"/>
        <w:jc w:val="both"/>
        <w:rPr>
          <w:b/>
        </w:rPr>
      </w:pPr>
    </w:p>
    <w:p w:rsidR="00444227" w:rsidRPr="000242CD" w:rsidRDefault="001A1EE6" w:rsidP="000242CD">
      <w:pPr>
        <w:pStyle w:val="Default"/>
        <w:jc w:val="both"/>
        <w:rPr>
          <w:b/>
        </w:rPr>
      </w:pPr>
      <w:r w:rsidRPr="000242CD">
        <w:rPr>
          <w:b/>
        </w:rPr>
        <w:lastRenderedPageBreak/>
        <w:t>References</w:t>
      </w:r>
    </w:p>
    <w:p w:rsidR="00444227" w:rsidRPr="000242CD" w:rsidRDefault="00444227" w:rsidP="000242CD">
      <w:pPr>
        <w:pStyle w:val="Default"/>
        <w:numPr>
          <w:ilvl w:val="0"/>
          <w:numId w:val="10"/>
        </w:numPr>
        <w:jc w:val="both"/>
        <w:rPr>
          <w:color w:val="000000" w:themeColor="text1"/>
        </w:rPr>
      </w:pPr>
      <w:r w:rsidRPr="000242CD">
        <w:rPr>
          <w:color w:val="000000" w:themeColor="text1"/>
          <w:shd w:val="clear" w:color="auto" w:fill="FFFFFF"/>
        </w:rPr>
        <w:t>Bajpai V, Saraya A. For a realistic assessment: A social, political and public health analysis of Bhore Committee. Social Change. 2011 Jun; 41(2):215-31.</w:t>
      </w:r>
    </w:p>
    <w:p w:rsidR="00444227" w:rsidRPr="000242CD" w:rsidRDefault="00444227" w:rsidP="000242CD">
      <w:pPr>
        <w:pStyle w:val="Default"/>
        <w:numPr>
          <w:ilvl w:val="0"/>
          <w:numId w:val="10"/>
        </w:numPr>
        <w:jc w:val="both"/>
        <w:rPr>
          <w:color w:val="000000" w:themeColor="text1"/>
        </w:rPr>
      </w:pPr>
      <w:r w:rsidRPr="000242CD">
        <w:rPr>
          <w:color w:val="000000" w:themeColor="text1"/>
          <w:shd w:val="clear" w:color="auto" w:fill="FFFFFF"/>
        </w:rPr>
        <w:t>Peters DH, Rao KS, Fryatt R. Lumping and splitting: the health policy agenda in India. Health policy and planning. 2003 Sep 1; 18(3):249-60.</w:t>
      </w:r>
    </w:p>
    <w:p w:rsidR="00444227" w:rsidRPr="000242CD" w:rsidRDefault="00444227" w:rsidP="000242CD">
      <w:pPr>
        <w:pStyle w:val="Default"/>
        <w:numPr>
          <w:ilvl w:val="0"/>
          <w:numId w:val="10"/>
        </w:numPr>
        <w:jc w:val="both"/>
        <w:rPr>
          <w:color w:val="000000" w:themeColor="text1"/>
        </w:rPr>
      </w:pPr>
      <w:r w:rsidRPr="000242CD">
        <w:rPr>
          <w:color w:val="000000" w:themeColor="text1"/>
          <w:shd w:val="clear" w:color="auto" w:fill="FFFFFF"/>
        </w:rPr>
        <w:t>Ramani KV, Mavalankar D. Health system in India: opportunities and challenges for improvements. Journal of health organization and management. 2006 Nov 1.</w:t>
      </w:r>
    </w:p>
    <w:p w:rsidR="00444227" w:rsidRPr="000242CD" w:rsidRDefault="00444227" w:rsidP="000242CD">
      <w:pPr>
        <w:pStyle w:val="Default"/>
        <w:numPr>
          <w:ilvl w:val="0"/>
          <w:numId w:val="10"/>
        </w:numPr>
        <w:jc w:val="both"/>
        <w:rPr>
          <w:color w:val="000000" w:themeColor="text1"/>
        </w:rPr>
      </w:pPr>
      <w:r w:rsidRPr="000242CD">
        <w:rPr>
          <w:color w:val="000000" w:themeColor="text1"/>
        </w:rPr>
        <w:t>National Accreditation Board for Hospitals and Healthcare Providers, </w:t>
      </w:r>
      <w:hyperlink r:id="rId8" w:history="1">
        <w:r w:rsidRPr="000242CD">
          <w:rPr>
            <w:rStyle w:val="Hyperlink"/>
            <w:color w:val="000000" w:themeColor="text1"/>
            <w:u w:val="none"/>
          </w:rPr>
          <w:t>NABH Standards for Small Healthcare Organisations (SHCO), 2006</w:t>
        </w:r>
      </w:hyperlink>
      <w:r w:rsidRPr="000242CD">
        <w:rPr>
          <w:color w:val="000000" w:themeColor="text1"/>
        </w:rPr>
        <w:t>; accessed Oct. 13, 2016.</w:t>
      </w:r>
    </w:p>
    <w:p w:rsidR="00444227" w:rsidRPr="000242CD" w:rsidRDefault="00444227" w:rsidP="000242CD">
      <w:pPr>
        <w:pStyle w:val="Default"/>
        <w:numPr>
          <w:ilvl w:val="0"/>
          <w:numId w:val="10"/>
        </w:numPr>
        <w:jc w:val="both"/>
        <w:rPr>
          <w:color w:val="000000" w:themeColor="text1"/>
        </w:rPr>
      </w:pPr>
      <w:r w:rsidRPr="000242CD">
        <w:rPr>
          <w:color w:val="000000" w:themeColor="text1"/>
        </w:rPr>
        <w:t>G. Gyani, “India,” in</w:t>
      </w:r>
      <w:r w:rsidRPr="000242CD">
        <w:rPr>
          <w:color w:val="000000" w:themeColor="text1"/>
          <w:shd w:val="clear" w:color="auto" w:fill="FFFFFF"/>
        </w:rPr>
        <w:t xml:space="preserve"> Braithwaite J, Matsuyama Y, Johnson J. Healthcare reform, quality and safety: perspectives, participants, partnerships and prospects in 30 countries. CRC Press; 2017 Mar 2.</w:t>
      </w:r>
    </w:p>
    <w:p w:rsidR="00444227" w:rsidRPr="000242CD" w:rsidRDefault="00444227" w:rsidP="000242CD">
      <w:pPr>
        <w:pStyle w:val="Default"/>
        <w:numPr>
          <w:ilvl w:val="0"/>
          <w:numId w:val="10"/>
        </w:numPr>
        <w:jc w:val="both"/>
        <w:rPr>
          <w:color w:val="000000" w:themeColor="text1"/>
        </w:rPr>
      </w:pPr>
      <w:r w:rsidRPr="000242CD">
        <w:rPr>
          <w:rStyle w:val="HTMLCite"/>
          <w:bCs/>
          <w:i w:val="0"/>
          <w:color w:val="000000" w:themeColor="text1"/>
        </w:rPr>
        <w:t>Gupta I, Bhatia M. The Indian Health Care System</w:t>
      </w:r>
      <w:r w:rsidRPr="000242CD">
        <w:rPr>
          <w:rStyle w:val="HTMLCite"/>
          <w:bCs/>
          <w:color w:val="000000" w:themeColor="text1"/>
        </w:rPr>
        <w:t xml:space="preserve">. </w:t>
      </w:r>
      <w:r w:rsidRPr="000242CD">
        <w:rPr>
          <w:color w:val="000000" w:themeColor="text1"/>
        </w:rPr>
        <w:t xml:space="preserve">International Health Care System Profiles. </w:t>
      </w:r>
    </w:p>
    <w:p w:rsidR="00444227" w:rsidRPr="000242CD" w:rsidRDefault="00444227" w:rsidP="000242CD">
      <w:pPr>
        <w:pStyle w:val="Default"/>
        <w:numPr>
          <w:ilvl w:val="0"/>
          <w:numId w:val="10"/>
        </w:numPr>
        <w:jc w:val="both"/>
        <w:rPr>
          <w:color w:val="000000" w:themeColor="text1"/>
        </w:rPr>
      </w:pPr>
      <w:r w:rsidRPr="000242CD">
        <w:rPr>
          <w:color w:val="000000" w:themeColor="text1"/>
          <w:shd w:val="clear" w:color="auto" w:fill="FFFFFF"/>
        </w:rPr>
        <w:t>Hodson M, Andrew S, Roberts CM. Towards an understanding of PREMS and PROMS in COPD. Breathe. 2013 Sep 1; 9(5):358-64.</w:t>
      </w:r>
    </w:p>
    <w:p w:rsidR="00F81A70" w:rsidRPr="000242CD" w:rsidRDefault="00F81A70" w:rsidP="00A647E2">
      <w:pPr>
        <w:pStyle w:val="ListParagraph"/>
        <w:numPr>
          <w:ilvl w:val="0"/>
          <w:numId w:val="10"/>
        </w:numPr>
        <w:shd w:val="clear" w:color="auto" w:fill="FFFFFF"/>
        <w:spacing w:after="161" w:line="240" w:lineRule="auto"/>
        <w:jc w:val="both"/>
        <w:outlineLvl w:val="0"/>
        <w:rPr>
          <w:rFonts w:eastAsia="Times New Roman"/>
          <w:bCs/>
          <w:color w:val="000000" w:themeColor="text1"/>
          <w:kern w:val="36"/>
        </w:rPr>
      </w:pPr>
      <w:r w:rsidRPr="000242CD">
        <w:rPr>
          <w:rFonts w:eastAsia="Times New Roman"/>
          <w:bCs/>
          <w:color w:val="000000" w:themeColor="text1"/>
          <w:kern w:val="36"/>
        </w:rPr>
        <w:t xml:space="preserve">What Is Patient Experience? </w:t>
      </w:r>
      <w:r w:rsidRPr="000242CD">
        <w:rPr>
          <w:color w:val="000000" w:themeColor="text1"/>
          <w:shd w:val="clear" w:color="auto" w:fill="FFFFFF"/>
        </w:rPr>
        <w:t>AHRQ.</w:t>
      </w:r>
      <w:hyperlink r:id="rId9" w:history="1">
        <w:r w:rsidRPr="000242CD">
          <w:rPr>
            <w:rStyle w:val="Hyperlink"/>
            <w:color w:val="000000" w:themeColor="text1"/>
            <w:u w:val="none"/>
          </w:rPr>
          <w:t>https://www.ahrq.gov/cahps/about-cahps/patient-experience/index.html</w:t>
        </w:r>
      </w:hyperlink>
    </w:p>
    <w:p w:rsidR="00444227" w:rsidRPr="000242CD" w:rsidRDefault="00444227" w:rsidP="000242CD">
      <w:pPr>
        <w:pStyle w:val="Default"/>
        <w:numPr>
          <w:ilvl w:val="0"/>
          <w:numId w:val="10"/>
        </w:numPr>
        <w:jc w:val="both"/>
        <w:rPr>
          <w:color w:val="000000" w:themeColor="text1"/>
        </w:rPr>
      </w:pPr>
      <w:r w:rsidRPr="000242CD">
        <w:rPr>
          <w:color w:val="000000" w:themeColor="text1"/>
          <w:shd w:val="clear" w:color="auto" w:fill="FFFFFF"/>
        </w:rPr>
        <w:t>Chokshi M, Patil B, Khanna R, Neogi SB, Sharma J, Paul VK, Zodpey S. Health systems in India. Journal of Perinatology. 2016 Dec; 36(3):S9-12.</w:t>
      </w:r>
    </w:p>
    <w:p w:rsidR="00444227" w:rsidRPr="000242CD" w:rsidRDefault="00444227" w:rsidP="000242CD">
      <w:pPr>
        <w:pStyle w:val="Default"/>
        <w:numPr>
          <w:ilvl w:val="0"/>
          <w:numId w:val="10"/>
        </w:numPr>
        <w:jc w:val="both"/>
        <w:rPr>
          <w:color w:val="000000" w:themeColor="text1"/>
        </w:rPr>
      </w:pPr>
      <w:r w:rsidRPr="000242CD">
        <w:rPr>
          <w:color w:val="000000" w:themeColor="text1"/>
          <w:shd w:val="clear" w:color="auto" w:fill="FFFFFF"/>
        </w:rPr>
        <w:t>Delice A. The Sampling Issues in Quantitative Research. Educational Sciences: Theory and Practice. 2010; 10(4):2001-18.</w:t>
      </w:r>
    </w:p>
    <w:p w:rsidR="00444227" w:rsidRPr="000242CD" w:rsidRDefault="00F81A70" w:rsidP="000242CD">
      <w:pPr>
        <w:pStyle w:val="Default"/>
        <w:numPr>
          <w:ilvl w:val="0"/>
          <w:numId w:val="10"/>
        </w:numPr>
        <w:jc w:val="both"/>
        <w:rPr>
          <w:color w:val="000000" w:themeColor="text1"/>
        </w:rPr>
      </w:pPr>
      <w:r w:rsidRPr="000242CD">
        <w:rPr>
          <w:color w:val="222222"/>
          <w:shd w:val="clear" w:color="auto" w:fill="FFFFFF"/>
        </w:rPr>
        <w:t>Bartholomew DJ. Factor analysis for categorical data. Journal of the Royal Statistical Society: Series B (Methodological). 1980 Jul; 42(3):293-312.</w:t>
      </w:r>
      <w:r w:rsidR="00444227" w:rsidRPr="000242CD">
        <w:rPr>
          <w:color w:val="000000" w:themeColor="text1"/>
          <w:shd w:val="clear" w:color="auto" w:fill="FFFFFF"/>
        </w:rPr>
        <w:t>Coulter A, Jenkinson C. European patients' views on the responsiveness of health systems and healthcare providers. European journal of public health. 2005 Aug 1; 15(4):355-60.</w:t>
      </w:r>
    </w:p>
    <w:p w:rsidR="00F81A70" w:rsidRPr="000242CD" w:rsidRDefault="0067397F" w:rsidP="000242CD">
      <w:pPr>
        <w:pStyle w:val="Default"/>
        <w:numPr>
          <w:ilvl w:val="0"/>
          <w:numId w:val="10"/>
        </w:numPr>
        <w:jc w:val="both"/>
        <w:rPr>
          <w:color w:val="000000" w:themeColor="text1"/>
        </w:rPr>
      </w:pPr>
      <w:r w:rsidRPr="000242CD">
        <w:rPr>
          <w:color w:val="222222"/>
          <w:shd w:val="clear" w:color="auto" w:fill="FFFFFF"/>
        </w:rPr>
        <w:t>Yong AG, Pearce S. A beginner’s guide to factor analysis: Focusing on exploratory factor analysis. Tutorials in quantitative methods for psychology. 2013 Oct; 9(2):79-94.</w:t>
      </w:r>
    </w:p>
    <w:p w:rsidR="00F81A70" w:rsidRPr="000242CD" w:rsidRDefault="00F81A70" w:rsidP="000242CD">
      <w:pPr>
        <w:pStyle w:val="Default"/>
        <w:numPr>
          <w:ilvl w:val="0"/>
          <w:numId w:val="10"/>
        </w:numPr>
        <w:jc w:val="both"/>
        <w:rPr>
          <w:color w:val="3366FF"/>
        </w:rPr>
      </w:pPr>
      <w:r w:rsidRPr="000242CD">
        <w:rPr>
          <w:color w:val="auto"/>
          <w:shd w:val="clear" w:color="auto" w:fill="FFFFFF"/>
        </w:rPr>
        <w:t xml:space="preserve">Coulter A, Jenkinson C. European patients' views on the responsiveness of health systems and healthcare providers. European journal of public health. 2005 Aug 1; 15(4):355-60. </w:t>
      </w:r>
      <w:hyperlink r:id="rId10" w:history="1">
        <w:r w:rsidRPr="000242CD">
          <w:rPr>
            <w:rStyle w:val="Hyperlink"/>
            <w:color w:val="3366FF"/>
            <w:bdr w:val="none" w:sz="0" w:space="0" w:color="auto" w:frame="1"/>
            <w:shd w:val="clear" w:color="auto" w:fill="FFFFFF"/>
          </w:rPr>
          <w:t>https://doi.org/10.1093/eurpub/cki004</w:t>
        </w:r>
      </w:hyperlink>
    </w:p>
    <w:p w:rsidR="00444227" w:rsidRPr="000242CD" w:rsidRDefault="00444227" w:rsidP="000242CD">
      <w:pPr>
        <w:pStyle w:val="Default"/>
        <w:numPr>
          <w:ilvl w:val="0"/>
          <w:numId w:val="10"/>
        </w:numPr>
        <w:jc w:val="both"/>
        <w:rPr>
          <w:color w:val="000000" w:themeColor="text1"/>
        </w:rPr>
      </w:pPr>
      <w:r w:rsidRPr="000242CD">
        <w:rPr>
          <w:color w:val="000000" w:themeColor="text1"/>
          <w:shd w:val="clear" w:color="auto" w:fill="FFFFFF"/>
        </w:rPr>
        <w:t>Irfan SM, Ijaz A, Farooq MM. Patient satisfaction and service quality of public hospitals in Pakistan: an empirical assessment. Middle-east journal of scientific research. 2012; 12(6):870-7.</w:t>
      </w:r>
    </w:p>
    <w:p w:rsidR="00444227" w:rsidRPr="000242CD" w:rsidRDefault="00444227" w:rsidP="000242CD">
      <w:pPr>
        <w:pStyle w:val="Default"/>
        <w:numPr>
          <w:ilvl w:val="0"/>
          <w:numId w:val="10"/>
        </w:numPr>
        <w:jc w:val="both"/>
        <w:rPr>
          <w:color w:val="000000" w:themeColor="text1"/>
        </w:rPr>
      </w:pPr>
      <w:r w:rsidRPr="000242CD">
        <w:rPr>
          <w:color w:val="000000" w:themeColor="text1"/>
          <w:shd w:val="clear" w:color="auto" w:fill="FFFFFF"/>
        </w:rPr>
        <w:t>Bhanu P. Patient satisfaction. Journal Cutan Aesthet Surg. Sep-Dec. 2010 Sep; 3(3):151-5.</w:t>
      </w:r>
    </w:p>
    <w:p w:rsidR="00444227" w:rsidRPr="000242CD" w:rsidRDefault="00444227" w:rsidP="000242CD">
      <w:pPr>
        <w:pStyle w:val="Default"/>
        <w:numPr>
          <w:ilvl w:val="0"/>
          <w:numId w:val="10"/>
        </w:numPr>
        <w:jc w:val="both"/>
        <w:rPr>
          <w:color w:val="000000" w:themeColor="text1"/>
        </w:rPr>
      </w:pPr>
      <w:r w:rsidRPr="000242CD">
        <w:rPr>
          <w:color w:val="000000" w:themeColor="text1"/>
          <w:shd w:val="clear" w:color="auto" w:fill="FFFFFF"/>
        </w:rPr>
        <w:t>Mercer SW, Reynolds WJ. Empathy and quality of care. Br J Gen Pract. 2002 Oct 1; 52(Suppl):S9-12.</w:t>
      </w:r>
    </w:p>
    <w:p w:rsidR="00444227" w:rsidRPr="000242CD" w:rsidRDefault="00444227" w:rsidP="000242CD">
      <w:pPr>
        <w:pStyle w:val="Default"/>
        <w:numPr>
          <w:ilvl w:val="0"/>
          <w:numId w:val="10"/>
        </w:numPr>
        <w:jc w:val="both"/>
        <w:rPr>
          <w:color w:val="000000" w:themeColor="text1"/>
        </w:rPr>
      </w:pPr>
      <w:r w:rsidRPr="000242CD">
        <w:rPr>
          <w:color w:val="000000" w:themeColor="text1"/>
          <w:shd w:val="clear" w:color="auto" w:fill="FFFFFF"/>
        </w:rPr>
        <w:t>Agrawal AD, Banerjee A. Free medical care and consumer protection. Indian J Med Ethics. 2011 Oct: 240-.</w:t>
      </w:r>
    </w:p>
    <w:p w:rsidR="00444227" w:rsidRPr="000242CD" w:rsidRDefault="00444227" w:rsidP="000242CD">
      <w:pPr>
        <w:pStyle w:val="Default"/>
        <w:numPr>
          <w:ilvl w:val="0"/>
          <w:numId w:val="10"/>
        </w:numPr>
        <w:jc w:val="both"/>
        <w:rPr>
          <w:color w:val="000000" w:themeColor="text1"/>
        </w:rPr>
      </w:pPr>
      <w:r w:rsidRPr="000242CD">
        <w:rPr>
          <w:color w:val="000000" w:themeColor="text1"/>
          <w:shd w:val="clear" w:color="auto" w:fill="FFFFFF"/>
        </w:rPr>
        <w:t>Gupta AK, Talati S, Sudip Bhattacharya AS. Health system strengthening-focusing on referrals: an analysis from India. JOJ Nurs Heal care. 2017; 2(10.19080).</w:t>
      </w:r>
    </w:p>
    <w:p w:rsidR="00444227" w:rsidRPr="000242CD" w:rsidRDefault="00444227" w:rsidP="000242CD">
      <w:pPr>
        <w:pStyle w:val="Default"/>
        <w:numPr>
          <w:ilvl w:val="0"/>
          <w:numId w:val="10"/>
        </w:numPr>
        <w:jc w:val="both"/>
        <w:rPr>
          <w:color w:val="000000" w:themeColor="text1"/>
        </w:rPr>
      </w:pPr>
      <w:r w:rsidRPr="000242CD">
        <w:rPr>
          <w:color w:val="000000" w:themeColor="text1"/>
          <w:shd w:val="clear" w:color="auto" w:fill="FFFFFF"/>
        </w:rPr>
        <w:t>Gandhi TK, Sittig DF, Franklin M, Sussman AJ, Fairchild DG, Bates DW. Communication breakdown in the outpatient referral process. Journal of general internal medicine. 2000 Sep 1; 15(9):626-31.</w:t>
      </w:r>
    </w:p>
    <w:p w:rsidR="00FE0374" w:rsidRPr="00E5311B" w:rsidRDefault="00444227" w:rsidP="000242CD">
      <w:pPr>
        <w:pStyle w:val="Default"/>
        <w:numPr>
          <w:ilvl w:val="0"/>
          <w:numId w:val="10"/>
        </w:numPr>
        <w:jc w:val="both"/>
        <w:rPr>
          <w:color w:val="000000" w:themeColor="text1"/>
        </w:rPr>
      </w:pPr>
      <w:r w:rsidRPr="000242CD">
        <w:rPr>
          <w:color w:val="000000" w:themeColor="text1"/>
          <w:shd w:val="clear" w:color="auto" w:fill="FFFFFF"/>
        </w:rPr>
        <w:t>Patel MP, Schettini P, O’Leary CP, Bosworth HB, Anderson JB, Shah KP. Closing the referral loop: an analysis of primary care referrals to specialists in a large health system. Journal of general internal medicine. 2018 May 1; 33(5):715-21.</w:t>
      </w:r>
    </w:p>
    <w:p w:rsidR="00E5311B" w:rsidRDefault="00E5311B" w:rsidP="00E5311B">
      <w:pPr>
        <w:pStyle w:val="Default"/>
        <w:jc w:val="both"/>
        <w:rPr>
          <w:color w:val="000000" w:themeColor="text1"/>
          <w:shd w:val="clear" w:color="auto" w:fill="FFFFFF"/>
        </w:rPr>
      </w:pPr>
    </w:p>
    <w:p w:rsidR="00E5311B" w:rsidRPr="00507ABB" w:rsidRDefault="00E5311B" w:rsidP="00E5311B">
      <w:pPr>
        <w:pStyle w:val="Default"/>
        <w:jc w:val="both"/>
        <w:rPr>
          <w:color w:val="000000" w:themeColor="text1"/>
        </w:rPr>
      </w:pPr>
    </w:p>
    <w:p w:rsidR="000B0914" w:rsidRPr="000242CD" w:rsidRDefault="000B0914" w:rsidP="000242CD">
      <w:pPr>
        <w:spacing w:line="240" w:lineRule="auto"/>
        <w:jc w:val="both"/>
        <w:outlineLvl w:val="0"/>
        <w:rPr>
          <w:b/>
        </w:rPr>
      </w:pPr>
      <w:r w:rsidRPr="000242CD">
        <w:rPr>
          <w:b/>
        </w:rPr>
        <w:lastRenderedPageBreak/>
        <w:t>Table: 1</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9"/>
        <w:gridCol w:w="1492"/>
        <w:gridCol w:w="1645"/>
      </w:tblGrid>
      <w:tr w:rsidR="000B0914" w:rsidRPr="000242CD" w:rsidTr="00724114">
        <w:trPr>
          <w:trHeight w:val="93"/>
          <w:jc w:val="center"/>
        </w:trPr>
        <w:tc>
          <w:tcPr>
            <w:tcW w:w="4906" w:type="dxa"/>
            <w:gridSpan w:val="3"/>
            <w:shd w:val="clear" w:color="auto" w:fill="auto"/>
            <w:vAlign w:val="center"/>
            <w:hideMark/>
          </w:tcPr>
          <w:p w:rsidR="000B0914" w:rsidRPr="000242CD" w:rsidRDefault="000B0914" w:rsidP="000242CD">
            <w:pPr>
              <w:spacing w:line="240" w:lineRule="auto"/>
              <w:jc w:val="center"/>
              <w:rPr>
                <w:rFonts w:eastAsia="Times New Roman"/>
                <w:b/>
                <w:bCs/>
                <w:color w:val="000000"/>
              </w:rPr>
            </w:pPr>
            <w:r w:rsidRPr="000242CD">
              <w:rPr>
                <w:b/>
                <w:bCs/>
                <w:color w:val="000000"/>
              </w:rPr>
              <w:t>KMO and Bartlett's Test</w:t>
            </w:r>
          </w:p>
        </w:tc>
      </w:tr>
      <w:tr w:rsidR="000B0914" w:rsidRPr="000242CD" w:rsidTr="00724114">
        <w:trPr>
          <w:trHeight w:val="181"/>
          <w:jc w:val="center"/>
        </w:trPr>
        <w:tc>
          <w:tcPr>
            <w:tcW w:w="3261" w:type="dxa"/>
            <w:gridSpan w:val="2"/>
            <w:shd w:val="clear" w:color="auto" w:fill="auto"/>
            <w:vAlign w:val="center"/>
            <w:hideMark/>
          </w:tcPr>
          <w:p w:rsidR="000B0914" w:rsidRPr="000242CD" w:rsidRDefault="000B0914" w:rsidP="000242CD">
            <w:pPr>
              <w:spacing w:line="240" w:lineRule="auto"/>
              <w:jc w:val="both"/>
              <w:rPr>
                <w:color w:val="000000"/>
              </w:rPr>
            </w:pPr>
            <w:r w:rsidRPr="000242CD">
              <w:rPr>
                <w:color w:val="000000"/>
              </w:rPr>
              <w:t>Kaiser-Meyer-Olkin Measure of Sampling Adequacy.</w:t>
            </w:r>
          </w:p>
        </w:tc>
        <w:tc>
          <w:tcPr>
            <w:tcW w:w="1645" w:type="dxa"/>
            <w:shd w:val="clear" w:color="auto" w:fill="auto"/>
            <w:noWrap/>
            <w:vAlign w:val="center"/>
            <w:hideMark/>
          </w:tcPr>
          <w:p w:rsidR="000B0914" w:rsidRPr="000242CD" w:rsidRDefault="000B0914" w:rsidP="000242CD">
            <w:pPr>
              <w:spacing w:line="240" w:lineRule="auto"/>
              <w:jc w:val="both"/>
              <w:rPr>
                <w:color w:val="000000"/>
              </w:rPr>
            </w:pPr>
            <w:r w:rsidRPr="000242CD">
              <w:rPr>
                <w:color w:val="000000"/>
              </w:rPr>
              <w:t>0.935</w:t>
            </w:r>
          </w:p>
        </w:tc>
      </w:tr>
      <w:tr w:rsidR="000B0914" w:rsidRPr="000242CD" w:rsidTr="00724114">
        <w:trPr>
          <w:trHeight w:val="323"/>
          <w:jc w:val="center"/>
        </w:trPr>
        <w:tc>
          <w:tcPr>
            <w:tcW w:w="1769" w:type="dxa"/>
            <w:vMerge w:val="restart"/>
            <w:shd w:val="clear" w:color="auto" w:fill="auto"/>
            <w:vAlign w:val="center"/>
            <w:hideMark/>
          </w:tcPr>
          <w:p w:rsidR="000B0914" w:rsidRPr="000242CD" w:rsidRDefault="000B0914" w:rsidP="000242CD">
            <w:pPr>
              <w:spacing w:line="240" w:lineRule="auto"/>
              <w:jc w:val="both"/>
              <w:rPr>
                <w:color w:val="000000"/>
              </w:rPr>
            </w:pPr>
            <w:r w:rsidRPr="000242CD">
              <w:rPr>
                <w:color w:val="000000"/>
              </w:rPr>
              <w:t>Bartlett's Test of Sphericity</w:t>
            </w:r>
          </w:p>
        </w:tc>
        <w:tc>
          <w:tcPr>
            <w:tcW w:w="1492" w:type="dxa"/>
            <w:shd w:val="clear" w:color="auto" w:fill="auto"/>
            <w:vAlign w:val="center"/>
            <w:hideMark/>
          </w:tcPr>
          <w:p w:rsidR="000B0914" w:rsidRPr="000242CD" w:rsidRDefault="000B0914" w:rsidP="000242CD">
            <w:pPr>
              <w:spacing w:line="240" w:lineRule="auto"/>
              <w:jc w:val="both"/>
              <w:rPr>
                <w:color w:val="000000"/>
              </w:rPr>
            </w:pPr>
            <w:r w:rsidRPr="000242CD">
              <w:rPr>
                <w:color w:val="000000"/>
              </w:rPr>
              <w:t>Approx. Chi-Square</w:t>
            </w:r>
          </w:p>
        </w:tc>
        <w:tc>
          <w:tcPr>
            <w:tcW w:w="1645" w:type="dxa"/>
            <w:shd w:val="clear" w:color="auto" w:fill="auto"/>
            <w:noWrap/>
            <w:vAlign w:val="center"/>
            <w:hideMark/>
          </w:tcPr>
          <w:p w:rsidR="000B0914" w:rsidRPr="000242CD" w:rsidRDefault="000B0914" w:rsidP="000242CD">
            <w:pPr>
              <w:spacing w:line="240" w:lineRule="auto"/>
              <w:jc w:val="both"/>
              <w:rPr>
                <w:color w:val="000000"/>
              </w:rPr>
            </w:pPr>
            <w:r w:rsidRPr="000242CD">
              <w:rPr>
                <w:color w:val="000000"/>
              </w:rPr>
              <w:t>3320.272</w:t>
            </w:r>
          </w:p>
        </w:tc>
      </w:tr>
      <w:tr w:rsidR="000B0914" w:rsidRPr="000242CD" w:rsidTr="00724114">
        <w:trPr>
          <w:trHeight w:val="228"/>
          <w:jc w:val="center"/>
        </w:trPr>
        <w:tc>
          <w:tcPr>
            <w:tcW w:w="1769" w:type="dxa"/>
            <w:vMerge/>
            <w:vAlign w:val="center"/>
            <w:hideMark/>
          </w:tcPr>
          <w:p w:rsidR="000B0914" w:rsidRPr="000242CD" w:rsidRDefault="000B0914" w:rsidP="000242CD">
            <w:pPr>
              <w:spacing w:line="240" w:lineRule="auto"/>
              <w:jc w:val="both"/>
              <w:rPr>
                <w:color w:val="000000"/>
              </w:rPr>
            </w:pPr>
          </w:p>
        </w:tc>
        <w:tc>
          <w:tcPr>
            <w:tcW w:w="1492" w:type="dxa"/>
            <w:shd w:val="clear" w:color="auto" w:fill="auto"/>
            <w:vAlign w:val="center"/>
            <w:hideMark/>
          </w:tcPr>
          <w:p w:rsidR="000B0914" w:rsidRPr="000242CD" w:rsidRDefault="000B0914" w:rsidP="000242CD">
            <w:pPr>
              <w:spacing w:line="240" w:lineRule="auto"/>
              <w:jc w:val="both"/>
              <w:rPr>
                <w:color w:val="000000"/>
              </w:rPr>
            </w:pPr>
            <w:r w:rsidRPr="000242CD">
              <w:rPr>
                <w:color w:val="000000"/>
              </w:rPr>
              <w:t>df</w:t>
            </w:r>
          </w:p>
        </w:tc>
        <w:tc>
          <w:tcPr>
            <w:tcW w:w="1645" w:type="dxa"/>
            <w:shd w:val="clear" w:color="auto" w:fill="auto"/>
            <w:noWrap/>
            <w:vAlign w:val="center"/>
            <w:hideMark/>
          </w:tcPr>
          <w:p w:rsidR="000B0914" w:rsidRPr="000242CD" w:rsidRDefault="000B0914" w:rsidP="000242CD">
            <w:pPr>
              <w:spacing w:line="240" w:lineRule="auto"/>
              <w:jc w:val="both"/>
              <w:rPr>
                <w:color w:val="000000"/>
              </w:rPr>
            </w:pPr>
            <w:r w:rsidRPr="000242CD">
              <w:rPr>
                <w:color w:val="000000"/>
              </w:rPr>
              <w:t>136</w:t>
            </w:r>
          </w:p>
        </w:tc>
      </w:tr>
      <w:tr w:rsidR="000B0914" w:rsidRPr="000242CD" w:rsidTr="00724114">
        <w:trPr>
          <w:trHeight w:val="228"/>
          <w:jc w:val="center"/>
        </w:trPr>
        <w:tc>
          <w:tcPr>
            <w:tcW w:w="1769" w:type="dxa"/>
            <w:vMerge/>
            <w:vAlign w:val="center"/>
            <w:hideMark/>
          </w:tcPr>
          <w:p w:rsidR="000B0914" w:rsidRPr="000242CD" w:rsidRDefault="000B0914" w:rsidP="000242CD">
            <w:pPr>
              <w:spacing w:line="240" w:lineRule="auto"/>
              <w:jc w:val="both"/>
              <w:rPr>
                <w:color w:val="000000"/>
              </w:rPr>
            </w:pPr>
          </w:p>
        </w:tc>
        <w:tc>
          <w:tcPr>
            <w:tcW w:w="1492" w:type="dxa"/>
            <w:shd w:val="clear" w:color="auto" w:fill="auto"/>
            <w:vAlign w:val="center"/>
            <w:hideMark/>
          </w:tcPr>
          <w:p w:rsidR="000B0914" w:rsidRPr="000242CD" w:rsidRDefault="000B0914" w:rsidP="000242CD">
            <w:pPr>
              <w:spacing w:line="240" w:lineRule="auto"/>
              <w:jc w:val="both"/>
              <w:rPr>
                <w:color w:val="000000"/>
              </w:rPr>
            </w:pPr>
            <w:r w:rsidRPr="000242CD">
              <w:rPr>
                <w:color w:val="000000"/>
              </w:rPr>
              <w:t>Sig.</w:t>
            </w:r>
          </w:p>
        </w:tc>
        <w:tc>
          <w:tcPr>
            <w:tcW w:w="1645" w:type="dxa"/>
            <w:shd w:val="clear" w:color="auto" w:fill="auto"/>
            <w:noWrap/>
            <w:vAlign w:val="center"/>
            <w:hideMark/>
          </w:tcPr>
          <w:p w:rsidR="000B0914" w:rsidRPr="000242CD" w:rsidRDefault="000B0914" w:rsidP="000242CD">
            <w:pPr>
              <w:spacing w:line="240" w:lineRule="auto"/>
              <w:jc w:val="both"/>
              <w:rPr>
                <w:color w:val="000000"/>
              </w:rPr>
            </w:pPr>
            <w:r w:rsidRPr="000242CD">
              <w:rPr>
                <w:color w:val="000000"/>
              </w:rPr>
              <w:t>0.000</w:t>
            </w:r>
          </w:p>
        </w:tc>
      </w:tr>
    </w:tbl>
    <w:p w:rsidR="00C9289F" w:rsidRPr="000242CD" w:rsidRDefault="00C9289F" w:rsidP="000242CD">
      <w:pPr>
        <w:pStyle w:val="Default"/>
        <w:jc w:val="both"/>
      </w:pPr>
    </w:p>
    <w:tbl>
      <w:tblPr>
        <w:tblpPr w:leftFromText="180" w:rightFromText="180" w:vertAnchor="text" w:tblpY="-7"/>
        <w:tblW w:w="9568" w:type="dxa"/>
        <w:tblLayout w:type="fixed"/>
        <w:tblLook w:val="04A0" w:firstRow="1" w:lastRow="0" w:firstColumn="1" w:lastColumn="0" w:noHBand="0" w:noVBand="1"/>
      </w:tblPr>
      <w:tblGrid>
        <w:gridCol w:w="1047"/>
        <w:gridCol w:w="857"/>
        <w:gridCol w:w="952"/>
        <w:gridCol w:w="1107"/>
        <w:gridCol w:w="861"/>
        <w:gridCol w:w="947"/>
        <w:gridCol w:w="1040"/>
        <w:gridCol w:w="820"/>
        <w:gridCol w:w="953"/>
        <w:gridCol w:w="978"/>
        <w:gridCol w:w="6"/>
      </w:tblGrid>
      <w:tr w:rsidR="004203A9" w:rsidRPr="000242CD" w:rsidTr="004203A9">
        <w:trPr>
          <w:trHeight w:val="562"/>
        </w:trPr>
        <w:tc>
          <w:tcPr>
            <w:tcW w:w="9568" w:type="dxa"/>
            <w:gridSpan w:val="11"/>
            <w:tcBorders>
              <w:top w:val="single" w:sz="4" w:space="0" w:color="auto"/>
              <w:left w:val="single" w:sz="4" w:space="0" w:color="auto"/>
              <w:bottom w:val="single" w:sz="4" w:space="0" w:color="auto"/>
              <w:right w:val="single" w:sz="4" w:space="0" w:color="auto"/>
            </w:tcBorders>
            <w:shd w:val="clear" w:color="auto" w:fill="auto"/>
            <w:vAlign w:val="center"/>
            <w:hideMark/>
          </w:tcPr>
          <w:p w:rsidR="004203A9" w:rsidRPr="000242CD" w:rsidRDefault="004203A9" w:rsidP="004203A9">
            <w:pPr>
              <w:spacing w:line="240" w:lineRule="auto"/>
              <w:jc w:val="center"/>
              <w:outlineLvl w:val="0"/>
              <w:rPr>
                <w:b/>
              </w:rPr>
            </w:pPr>
            <w:r w:rsidRPr="000242CD">
              <w:rPr>
                <w:b/>
              </w:rPr>
              <w:t xml:space="preserve">Table 2: </w:t>
            </w:r>
            <w:r w:rsidRPr="000242CD">
              <w:rPr>
                <w:rFonts w:eastAsia="Times New Roman"/>
                <w:b/>
                <w:bCs/>
                <w:color w:val="000000"/>
              </w:rPr>
              <w:t>Total Variance Explained</w:t>
            </w:r>
          </w:p>
        </w:tc>
      </w:tr>
      <w:tr w:rsidR="004203A9" w:rsidRPr="000242CD" w:rsidTr="004203A9">
        <w:trPr>
          <w:trHeight w:val="358"/>
        </w:trPr>
        <w:tc>
          <w:tcPr>
            <w:tcW w:w="1047" w:type="dxa"/>
            <w:vMerge w:val="restart"/>
            <w:tcBorders>
              <w:top w:val="nil"/>
              <w:left w:val="single" w:sz="4" w:space="0" w:color="auto"/>
              <w:bottom w:val="single" w:sz="4" w:space="0" w:color="auto"/>
              <w:right w:val="single" w:sz="4" w:space="0" w:color="auto"/>
            </w:tcBorders>
            <w:shd w:val="clear" w:color="auto" w:fill="auto"/>
            <w:vAlign w:val="center"/>
            <w:hideMark/>
          </w:tcPr>
          <w:p w:rsidR="004203A9" w:rsidRPr="000242CD" w:rsidRDefault="004203A9" w:rsidP="004203A9">
            <w:pPr>
              <w:spacing w:line="240" w:lineRule="auto"/>
              <w:jc w:val="both"/>
              <w:rPr>
                <w:rFonts w:eastAsia="Times New Roman"/>
                <w:b/>
                <w:color w:val="000000"/>
              </w:rPr>
            </w:pPr>
            <w:r w:rsidRPr="000242CD">
              <w:rPr>
                <w:rFonts w:eastAsia="Times New Roman"/>
                <w:b/>
                <w:color w:val="000000"/>
              </w:rPr>
              <w:t>Component</w:t>
            </w:r>
          </w:p>
        </w:tc>
        <w:tc>
          <w:tcPr>
            <w:tcW w:w="2916" w:type="dxa"/>
            <w:gridSpan w:val="3"/>
            <w:tcBorders>
              <w:top w:val="single" w:sz="4" w:space="0" w:color="auto"/>
              <w:left w:val="nil"/>
              <w:bottom w:val="single" w:sz="4" w:space="0" w:color="auto"/>
              <w:right w:val="single" w:sz="4" w:space="0" w:color="auto"/>
            </w:tcBorders>
            <w:shd w:val="clear" w:color="auto" w:fill="auto"/>
            <w:vAlign w:val="center"/>
            <w:hideMark/>
          </w:tcPr>
          <w:p w:rsidR="004203A9" w:rsidRPr="000242CD" w:rsidRDefault="004203A9" w:rsidP="004203A9">
            <w:pPr>
              <w:spacing w:line="240" w:lineRule="auto"/>
              <w:jc w:val="center"/>
              <w:rPr>
                <w:rFonts w:eastAsia="Times New Roman"/>
                <w:b/>
                <w:color w:val="000000"/>
              </w:rPr>
            </w:pPr>
            <w:r w:rsidRPr="000242CD">
              <w:rPr>
                <w:rFonts w:eastAsia="Times New Roman"/>
                <w:b/>
                <w:color w:val="000000"/>
              </w:rPr>
              <w:t>Initial Eigenvalues</w:t>
            </w:r>
          </w:p>
        </w:tc>
        <w:tc>
          <w:tcPr>
            <w:tcW w:w="2848" w:type="dxa"/>
            <w:gridSpan w:val="3"/>
            <w:tcBorders>
              <w:top w:val="single" w:sz="4" w:space="0" w:color="auto"/>
              <w:left w:val="nil"/>
              <w:bottom w:val="single" w:sz="4" w:space="0" w:color="auto"/>
              <w:right w:val="single" w:sz="4" w:space="0" w:color="auto"/>
            </w:tcBorders>
            <w:shd w:val="clear" w:color="auto" w:fill="auto"/>
            <w:vAlign w:val="center"/>
            <w:hideMark/>
          </w:tcPr>
          <w:p w:rsidR="004203A9" w:rsidRPr="000242CD" w:rsidRDefault="004203A9" w:rsidP="004203A9">
            <w:pPr>
              <w:spacing w:line="240" w:lineRule="auto"/>
              <w:jc w:val="center"/>
              <w:rPr>
                <w:rFonts w:eastAsia="Times New Roman"/>
                <w:b/>
                <w:color w:val="000000"/>
              </w:rPr>
            </w:pPr>
            <w:r w:rsidRPr="000242CD">
              <w:rPr>
                <w:rFonts w:eastAsia="Times New Roman"/>
                <w:b/>
                <w:color w:val="000000"/>
              </w:rPr>
              <w:t>Extraction Sums of Squared Loadings</w:t>
            </w:r>
          </w:p>
        </w:tc>
        <w:tc>
          <w:tcPr>
            <w:tcW w:w="2757" w:type="dxa"/>
            <w:gridSpan w:val="4"/>
            <w:tcBorders>
              <w:top w:val="single" w:sz="4" w:space="0" w:color="auto"/>
              <w:left w:val="nil"/>
              <w:bottom w:val="single" w:sz="4" w:space="0" w:color="auto"/>
              <w:right w:val="single" w:sz="4" w:space="0" w:color="auto"/>
            </w:tcBorders>
            <w:shd w:val="clear" w:color="auto" w:fill="auto"/>
            <w:vAlign w:val="center"/>
            <w:hideMark/>
          </w:tcPr>
          <w:p w:rsidR="004203A9" w:rsidRPr="000242CD" w:rsidRDefault="004203A9" w:rsidP="004203A9">
            <w:pPr>
              <w:spacing w:line="240" w:lineRule="auto"/>
              <w:jc w:val="center"/>
              <w:rPr>
                <w:rFonts w:eastAsia="Times New Roman"/>
                <w:b/>
                <w:color w:val="000000"/>
              </w:rPr>
            </w:pPr>
            <w:r w:rsidRPr="000242CD">
              <w:rPr>
                <w:rFonts w:eastAsia="Times New Roman"/>
                <w:b/>
                <w:color w:val="000000"/>
              </w:rPr>
              <w:t>Rotation Sums of Squared Loadings</w:t>
            </w:r>
          </w:p>
        </w:tc>
      </w:tr>
      <w:tr w:rsidR="004203A9" w:rsidRPr="000242CD" w:rsidTr="004203A9">
        <w:trPr>
          <w:gridAfter w:val="1"/>
          <w:wAfter w:w="6" w:type="dxa"/>
          <w:trHeight w:val="864"/>
        </w:trPr>
        <w:tc>
          <w:tcPr>
            <w:tcW w:w="1047" w:type="dxa"/>
            <w:vMerge/>
            <w:tcBorders>
              <w:top w:val="nil"/>
              <w:left w:val="single" w:sz="4" w:space="0" w:color="auto"/>
              <w:bottom w:val="single" w:sz="4" w:space="0" w:color="auto"/>
              <w:right w:val="single" w:sz="4" w:space="0" w:color="auto"/>
            </w:tcBorders>
            <w:vAlign w:val="center"/>
            <w:hideMark/>
          </w:tcPr>
          <w:p w:rsidR="004203A9" w:rsidRPr="000242CD" w:rsidRDefault="004203A9" w:rsidP="004203A9">
            <w:pPr>
              <w:spacing w:line="240" w:lineRule="auto"/>
              <w:jc w:val="both"/>
              <w:rPr>
                <w:rFonts w:eastAsia="Times New Roman"/>
                <w:b/>
                <w:color w:val="000000"/>
              </w:rPr>
            </w:pPr>
          </w:p>
        </w:tc>
        <w:tc>
          <w:tcPr>
            <w:tcW w:w="857" w:type="dxa"/>
            <w:tcBorders>
              <w:top w:val="nil"/>
              <w:left w:val="nil"/>
              <w:bottom w:val="single" w:sz="4" w:space="0" w:color="auto"/>
              <w:right w:val="single" w:sz="4" w:space="0" w:color="auto"/>
            </w:tcBorders>
            <w:shd w:val="clear" w:color="auto" w:fill="auto"/>
            <w:vAlign w:val="center"/>
            <w:hideMark/>
          </w:tcPr>
          <w:p w:rsidR="004203A9" w:rsidRPr="000242CD" w:rsidRDefault="004203A9" w:rsidP="004203A9">
            <w:pPr>
              <w:spacing w:line="240" w:lineRule="auto"/>
              <w:jc w:val="center"/>
              <w:rPr>
                <w:rFonts w:eastAsia="Times New Roman"/>
                <w:b/>
                <w:color w:val="000000"/>
              </w:rPr>
            </w:pPr>
            <w:r w:rsidRPr="000242CD">
              <w:rPr>
                <w:rFonts w:eastAsia="Times New Roman"/>
                <w:b/>
                <w:color w:val="000000"/>
              </w:rPr>
              <w:t>Total</w:t>
            </w:r>
          </w:p>
        </w:tc>
        <w:tc>
          <w:tcPr>
            <w:tcW w:w="952" w:type="dxa"/>
            <w:tcBorders>
              <w:top w:val="nil"/>
              <w:left w:val="nil"/>
              <w:bottom w:val="single" w:sz="4" w:space="0" w:color="auto"/>
              <w:right w:val="single" w:sz="4" w:space="0" w:color="auto"/>
            </w:tcBorders>
            <w:shd w:val="clear" w:color="auto" w:fill="auto"/>
            <w:vAlign w:val="center"/>
            <w:hideMark/>
          </w:tcPr>
          <w:p w:rsidR="004203A9" w:rsidRPr="000242CD" w:rsidRDefault="004203A9" w:rsidP="004203A9">
            <w:pPr>
              <w:spacing w:line="240" w:lineRule="auto"/>
              <w:jc w:val="center"/>
              <w:rPr>
                <w:rFonts w:eastAsia="Times New Roman"/>
                <w:b/>
                <w:color w:val="000000"/>
              </w:rPr>
            </w:pPr>
            <w:r w:rsidRPr="000242CD">
              <w:rPr>
                <w:rFonts w:eastAsia="Times New Roman"/>
                <w:b/>
                <w:color w:val="000000"/>
              </w:rPr>
              <w:t>% of Variance</w:t>
            </w:r>
          </w:p>
        </w:tc>
        <w:tc>
          <w:tcPr>
            <w:tcW w:w="1107" w:type="dxa"/>
            <w:tcBorders>
              <w:top w:val="nil"/>
              <w:left w:val="nil"/>
              <w:bottom w:val="single" w:sz="4" w:space="0" w:color="auto"/>
              <w:right w:val="single" w:sz="4" w:space="0" w:color="auto"/>
            </w:tcBorders>
            <w:shd w:val="clear" w:color="auto" w:fill="auto"/>
            <w:vAlign w:val="center"/>
            <w:hideMark/>
          </w:tcPr>
          <w:p w:rsidR="004203A9" w:rsidRPr="000242CD" w:rsidRDefault="004203A9" w:rsidP="004203A9">
            <w:pPr>
              <w:spacing w:line="240" w:lineRule="auto"/>
              <w:jc w:val="center"/>
              <w:rPr>
                <w:rFonts w:eastAsia="Times New Roman"/>
                <w:b/>
                <w:color w:val="000000"/>
              </w:rPr>
            </w:pPr>
            <w:r w:rsidRPr="000242CD">
              <w:rPr>
                <w:rFonts w:eastAsia="Times New Roman"/>
                <w:b/>
                <w:color w:val="000000"/>
              </w:rPr>
              <w:t>Cumulative %</w:t>
            </w:r>
          </w:p>
        </w:tc>
        <w:tc>
          <w:tcPr>
            <w:tcW w:w="861" w:type="dxa"/>
            <w:tcBorders>
              <w:top w:val="nil"/>
              <w:left w:val="nil"/>
              <w:bottom w:val="single" w:sz="4" w:space="0" w:color="auto"/>
              <w:right w:val="single" w:sz="4" w:space="0" w:color="auto"/>
            </w:tcBorders>
            <w:shd w:val="clear" w:color="auto" w:fill="auto"/>
            <w:vAlign w:val="center"/>
            <w:hideMark/>
          </w:tcPr>
          <w:p w:rsidR="004203A9" w:rsidRPr="000242CD" w:rsidRDefault="004203A9" w:rsidP="004203A9">
            <w:pPr>
              <w:spacing w:line="240" w:lineRule="auto"/>
              <w:jc w:val="center"/>
              <w:rPr>
                <w:rFonts w:eastAsia="Times New Roman"/>
                <w:b/>
                <w:color w:val="000000"/>
              </w:rPr>
            </w:pPr>
            <w:r w:rsidRPr="000242CD">
              <w:rPr>
                <w:rFonts w:eastAsia="Times New Roman"/>
                <w:b/>
                <w:color w:val="000000"/>
              </w:rPr>
              <w:t>Total</w:t>
            </w:r>
          </w:p>
        </w:tc>
        <w:tc>
          <w:tcPr>
            <w:tcW w:w="947" w:type="dxa"/>
            <w:tcBorders>
              <w:top w:val="nil"/>
              <w:left w:val="nil"/>
              <w:bottom w:val="single" w:sz="4" w:space="0" w:color="auto"/>
              <w:right w:val="single" w:sz="4" w:space="0" w:color="auto"/>
            </w:tcBorders>
            <w:shd w:val="clear" w:color="auto" w:fill="auto"/>
            <w:vAlign w:val="center"/>
            <w:hideMark/>
          </w:tcPr>
          <w:p w:rsidR="004203A9" w:rsidRPr="000242CD" w:rsidRDefault="004203A9" w:rsidP="004203A9">
            <w:pPr>
              <w:spacing w:line="240" w:lineRule="auto"/>
              <w:jc w:val="center"/>
              <w:rPr>
                <w:rFonts w:eastAsia="Times New Roman"/>
                <w:b/>
                <w:color w:val="000000"/>
              </w:rPr>
            </w:pPr>
            <w:r w:rsidRPr="000242CD">
              <w:rPr>
                <w:rFonts w:eastAsia="Times New Roman"/>
                <w:b/>
                <w:color w:val="000000"/>
              </w:rPr>
              <w:t>% of Variance</w:t>
            </w:r>
          </w:p>
        </w:tc>
        <w:tc>
          <w:tcPr>
            <w:tcW w:w="1040" w:type="dxa"/>
            <w:tcBorders>
              <w:top w:val="nil"/>
              <w:left w:val="nil"/>
              <w:bottom w:val="single" w:sz="4" w:space="0" w:color="auto"/>
              <w:right w:val="single" w:sz="4" w:space="0" w:color="auto"/>
            </w:tcBorders>
            <w:shd w:val="clear" w:color="auto" w:fill="auto"/>
            <w:vAlign w:val="center"/>
            <w:hideMark/>
          </w:tcPr>
          <w:p w:rsidR="004203A9" w:rsidRPr="000242CD" w:rsidRDefault="004203A9" w:rsidP="004203A9">
            <w:pPr>
              <w:spacing w:line="240" w:lineRule="auto"/>
              <w:jc w:val="center"/>
              <w:rPr>
                <w:rFonts w:eastAsia="Times New Roman"/>
                <w:b/>
                <w:color w:val="000000"/>
              </w:rPr>
            </w:pPr>
            <w:r w:rsidRPr="000242CD">
              <w:rPr>
                <w:rFonts w:eastAsia="Times New Roman"/>
                <w:b/>
                <w:color w:val="000000"/>
              </w:rPr>
              <w:t>Cumulative %</w:t>
            </w:r>
          </w:p>
        </w:tc>
        <w:tc>
          <w:tcPr>
            <w:tcW w:w="820" w:type="dxa"/>
            <w:tcBorders>
              <w:top w:val="nil"/>
              <w:left w:val="nil"/>
              <w:bottom w:val="single" w:sz="4" w:space="0" w:color="auto"/>
              <w:right w:val="single" w:sz="4" w:space="0" w:color="auto"/>
            </w:tcBorders>
            <w:shd w:val="clear" w:color="auto" w:fill="auto"/>
            <w:vAlign w:val="center"/>
            <w:hideMark/>
          </w:tcPr>
          <w:p w:rsidR="004203A9" w:rsidRPr="000242CD" w:rsidRDefault="004203A9" w:rsidP="004203A9">
            <w:pPr>
              <w:spacing w:line="240" w:lineRule="auto"/>
              <w:jc w:val="center"/>
              <w:rPr>
                <w:rFonts w:eastAsia="Times New Roman"/>
                <w:b/>
                <w:color w:val="000000"/>
              </w:rPr>
            </w:pPr>
            <w:r w:rsidRPr="000242CD">
              <w:rPr>
                <w:rFonts w:eastAsia="Times New Roman"/>
                <w:b/>
                <w:color w:val="000000"/>
              </w:rPr>
              <w:t>Total</w:t>
            </w:r>
          </w:p>
        </w:tc>
        <w:tc>
          <w:tcPr>
            <w:tcW w:w="953" w:type="dxa"/>
            <w:tcBorders>
              <w:top w:val="nil"/>
              <w:left w:val="nil"/>
              <w:bottom w:val="single" w:sz="4" w:space="0" w:color="auto"/>
              <w:right w:val="single" w:sz="4" w:space="0" w:color="auto"/>
            </w:tcBorders>
            <w:shd w:val="clear" w:color="auto" w:fill="auto"/>
            <w:vAlign w:val="center"/>
            <w:hideMark/>
          </w:tcPr>
          <w:p w:rsidR="004203A9" w:rsidRPr="000242CD" w:rsidRDefault="004203A9" w:rsidP="004203A9">
            <w:pPr>
              <w:spacing w:line="240" w:lineRule="auto"/>
              <w:jc w:val="center"/>
              <w:rPr>
                <w:rFonts w:eastAsia="Times New Roman"/>
                <w:b/>
                <w:color w:val="000000"/>
              </w:rPr>
            </w:pPr>
            <w:r w:rsidRPr="000242CD">
              <w:rPr>
                <w:rFonts w:eastAsia="Times New Roman"/>
                <w:b/>
                <w:color w:val="000000"/>
              </w:rPr>
              <w:t>% of Variance</w:t>
            </w:r>
          </w:p>
        </w:tc>
        <w:tc>
          <w:tcPr>
            <w:tcW w:w="978" w:type="dxa"/>
            <w:tcBorders>
              <w:top w:val="nil"/>
              <w:left w:val="nil"/>
              <w:bottom w:val="single" w:sz="4" w:space="0" w:color="auto"/>
              <w:right w:val="single" w:sz="4" w:space="0" w:color="auto"/>
            </w:tcBorders>
            <w:shd w:val="clear" w:color="auto" w:fill="auto"/>
            <w:vAlign w:val="center"/>
            <w:hideMark/>
          </w:tcPr>
          <w:p w:rsidR="004203A9" w:rsidRPr="000242CD" w:rsidRDefault="004203A9" w:rsidP="004203A9">
            <w:pPr>
              <w:spacing w:line="240" w:lineRule="auto"/>
              <w:jc w:val="center"/>
              <w:rPr>
                <w:rFonts w:eastAsia="Times New Roman"/>
                <w:b/>
                <w:color w:val="000000"/>
              </w:rPr>
            </w:pPr>
            <w:r w:rsidRPr="000242CD">
              <w:rPr>
                <w:rFonts w:eastAsia="Times New Roman"/>
                <w:b/>
                <w:color w:val="000000"/>
              </w:rPr>
              <w:t>Cumulative %</w:t>
            </w:r>
          </w:p>
        </w:tc>
      </w:tr>
      <w:tr w:rsidR="004203A9" w:rsidRPr="000242CD" w:rsidTr="004203A9">
        <w:trPr>
          <w:gridAfter w:val="1"/>
          <w:wAfter w:w="6" w:type="dxa"/>
          <w:trHeight w:val="340"/>
        </w:trPr>
        <w:tc>
          <w:tcPr>
            <w:tcW w:w="1047" w:type="dxa"/>
            <w:tcBorders>
              <w:top w:val="nil"/>
              <w:left w:val="single" w:sz="4" w:space="0" w:color="auto"/>
              <w:bottom w:val="single" w:sz="4" w:space="0" w:color="auto"/>
              <w:right w:val="single" w:sz="4" w:space="0" w:color="auto"/>
            </w:tcBorders>
            <w:shd w:val="clear" w:color="auto" w:fill="auto"/>
            <w:noWrap/>
            <w:vAlign w:val="center"/>
            <w:hideMark/>
          </w:tcPr>
          <w:p w:rsidR="004203A9" w:rsidRPr="000242CD" w:rsidRDefault="004203A9" w:rsidP="004203A9">
            <w:pPr>
              <w:spacing w:line="240" w:lineRule="auto"/>
              <w:jc w:val="both"/>
              <w:rPr>
                <w:rFonts w:eastAsia="Times New Roman"/>
                <w:color w:val="000000"/>
              </w:rPr>
            </w:pPr>
            <w:r w:rsidRPr="000242CD">
              <w:rPr>
                <w:rFonts w:eastAsia="Times New Roman"/>
                <w:color w:val="000000"/>
              </w:rPr>
              <w:t>1</w:t>
            </w:r>
          </w:p>
        </w:tc>
        <w:tc>
          <w:tcPr>
            <w:tcW w:w="857" w:type="dxa"/>
            <w:tcBorders>
              <w:top w:val="nil"/>
              <w:left w:val="nil"/>
              <w:bottom w:val="single" w:sz="4" w:space="0" w:color="auto"/>
              <w:right w:val="single" w:sz="4" w:space="0" w:color="auto"/>
            </w:tcBorders>
            <w:shd w:val="clear" w:color="auto" w:fill="auto"/>
            <w:noWrap/>
            <w:vAlign w:val="center"/>
            <w:hideMark/>
          </w:tcPr>
          <w:p w:rsidR="004203A9" w:rsidRPr="000242CD" w:rsidRDefault="004203A9" w:rsidP="004203A9">
            <w:pPr>
              <w:spacing w:line="240" w:lineRule="auto"/>
              <w:jc w:val="center"/>
              <w:rPr>
                <w:rFonts w:eastAsia="Times New Roman"/>
                <w:color w:val="000000"/>
              </w:rPr>
            </w:pPr>
            <w:r w:rsidRPr="000242CD">
              <w:rPr>
                <w:rFonts w:eastAsia="Times New Roman"/>
                <w:color w:val="000000"/>
              </w:rPr>
              <w:t>8.928</w:t>
            </w:r>
          </w:p>
        </w:tc>
        <w:tc>
          <w:tcPr>
            <w:tcW w:w="952" w:type="dxa"/>
            <w:tcBorders>
              <w:top w:val="nil"/>
              <w:left w:val="nil"/>
              <w:bottom w:val="single" w:sz="4" w:space="0" w:color="auto"/>
              <w:right w:val="single" w:sz="4" w:space="0" w:color="auto"/>
            </w:tcBorders>
            <w:shd w:val="clear" w:color="auto" w:fill="auto"/>
            <w:noWrap/>
            <w:vAlign w:val="center"/>
            <w:hideMark/>
          </w:tcPr>
          <w:p w:rsidR="004203A9" w:rsidRPr="000242CD" w:rsidRDefault="004203A9" w:rsidP="004203A9">
            <w:pPr>
              <w:spacing w:line="240" w:lineRule="auto"/>
              <w:jc w:val="center"/>
              <w:rPr>
                <w:rFonts w:eastAsia="Times New Roman"/>
              </w:rPr>
            </w:pPr>
            <w:r w:rsidRPr="000242CD">
              <w:rPr>
                <w:rFonts w:eastAsia="Times New Roman"/>
              </w:rPr>
              <w:t>52.518</w:t>
            </w:r>
          </w:p>
        </w:tc>
        <w:tc>
          <w:tcPr>
            <w:tcW w:w="1107" w:type="dxa"/>
            <w:tcBorders>
              <w:top w:val="nil"/>
              <w:left w:val="nil"/>
              <w:bottom w:val="single" w:sz="4" w:space="0" w:color="auto"/>
              <w:right w:val="single" w:sz="4" w:space="0" w:color="auto"/>
            </w:tcBorders>
            <w:shd w:val="clear" w:color="auto" w:fill="auto"/>
            <w:noWrap/>
            <w:vAlign w:val="center"/>
            <w:hideMark/>
          </w:tcPr>
          <w:p w:rsidR="004203A9" w:rsidRPr="000242CD" w:rsidRDefault="004203A9" w:rsidP="004203A9">
            <w:pPr>
              <w:spacing w:line="240" w:lineRule="auto"/>
              <w:jc w:val="center"/>
              <w:rPr>
                <w:rFonts w:eastAsia="Times New Roman"/>
                <w:color w:val="000000"/>
              </w:rPr>
            </w:pPr>
            <w:r w:rsidRPr="000242CD">
              <w:rPr>
                <w:rFonts w:eastAsia="Times New Roman"/>
                <w:color w:val="000000"/>
              </w:rPr>
              <w:t>52.518</w:t>
            </w:r>
          </w:p>
        </w:tc>
        <w:tc>
          <w:tcPr>
            <w:tcW w:w="861" w:type="dxa"/>
            <w:tcBorders>
              <w:top w:val="nil"/>
              <w:left w:val="nil"/>
              <w:bottom w:val="single" w:sz="4" w:space="0" w:color="auto"/>
              <w:right w:val="single" w:sz="4" w:space="0" w:color="auto"/>
            </w:tcBorders>
            <w:shd w:val="clear" w:color="auto" w:fill="auto"/>
            <w:noWrap/>
            <w:vAlign w:val="center"/>
            <w:hideMark/>
          </w:tcPr>
          <w:p w:rsidR="004203A9" w:rsidRPr="000242CD" w:rsidRDefault="004203A9" w:rsidP="004203A9">
            <w:pPr>
              <w:spacing w:line="240" w:lineRule="auto"/>
              <w:jc w:val="center"/>
              <w:rPr>
                <w:rFonts w:eastAsia="Times New Roman"/>
                <w:color w:val="000000"/>
              </w:rPr>
            </w:pPr>
            <w:r w:rsidRPr="000242CD">
              <w:rPr>
                <w:rFonts w:eastAsia="Times New Roman"/>
                <w:color w:val="000000"/>
              </w:rPr>
              <w:t>8.928</w:t>
            </w:r>
          </w:p>
        </w:tc>
        <w:tc>
          <w:tcPr>
            <w:tcW w:w="947" w:type="dxa"/>
            <w:tcBorders>
              <w:top w:val="nil"/>
              <w:left w:val="nil"/>
              <w:bottom w:val="single" w:sz="4" w:space="0" w:color="auto"/>
              <w:right w:val="single" w:sz="4" w:space="0" w:color="auto"/>
            </w:tcBorders>
            <w:shd w:val="clear" w:color="auto" w:fill="auto"/>
            <w:noWrap/>
            <w:vAlign w:val="center"/>
            <w:hideMark/>
          </w:tcPr>
          <w:p w:rsidR="004203A9" w:rsidRPr="000242CD" w:rsidRDefault="004203A9" w:rsidP="004203A9">
            <w:pPr>
              <w:spacing w:line="240" w:lineRule="auto"/>
              <w:jc w:val="center"/>
              <w:rPr>
                <w:rFonts w:eastAsia="Times New Roman"/>
              </w:rPr>
            </w:pPr>
            <w:r w:rsidRPr="000242CD">
              <w:rPr>
                <w:rFonts w:eastAsia="Times New Roman"/>
              </w:rPr>
              <w:t>52.518</w:t>
            </w:r>
          </w:p>
        </w:tc>
        <w:tc>
          <w:tcPr>
            <w:tcW w:w="1040" w:type="dxa"/>
            <w:tcBorders>
              <w:top w:val="nil"/>
              <w:left w:val="nil"/>
              <w:bottom w:val="single" w:sz="4" w:space="0" w:color="auto"/>
              <w:right w:val="single" w:sz="4" w:space="0" w:color="auto"/>
            </w:tcBorders>
            <w:shd w:val="clear" w:color="auto" w:fill="auto"/>
            <w:noWrap/>
            <w:vAlign w:val="center"/>
            <w:hideMark/>
          </w:tcPr>
          <w:p w:rsidR="004203A9" w:rsidRPr="000242CD" w:rsidRDefault="004203A9" w:rsidP="004203A9">
            <w:pPr>
              <w:spacing w:line="240" w:lineRule="auto"/>
              <w:jc w:val="center"/>
              <w:rPr>
                <w:rFonts w:eastAsia="Times New Roman"/>
                <w:color w:val="000000"/>
              </w:rPr>
            </w:pPr>
            <w:r w:rsidRPr="000242CD">
              <w:rPr>
                <w:rFonts w:eastAsia="Times New Roman"/>
                <w:color w:val="000000"/>
              </w:rPr>
              <w:t>52.518</w:t>
            </w:r>
          </w:p>
        </w:tc>
        <w:tc>
          <w:tcPr>
            <w:tcW w:w="820" w:type="dxa"/>
            <w:tcBorders>
              <w:top w:val="nil"/>
              <w:left w:val="nil"/>
              <w:bottom w:val="single" w:sz="4" w:space="0" w:color="auto"/>
              <w:right w:val="single" w:sz="4" w:space="0" w:color="auto"/>
            </w:tcBorders>
            <w:shd w:val="clear" w:color="auto" w:fill="auto"/>
            <w:noWrap/>
            <w:vAlign w:val="center"/>
            <w:hideMark/>
          </w:tcPr>
          <w:p w:rsidR="004203A9" w:rsidRPr="000242CD" w:rsidRDefault="004203A9" w:rsidP="004203A9">
            <w:pPr>
              <w:spacing w:line="240" w:lineRule="auto"/>
              <w:jc w:val="center"/>
              <w:rPr>
                <w:rFonts w:eastAsia="Times New Roman"/>
              </w:rPr>
            </w:pPr>
            <w:r w:rsidRPr="000242CD">
              <w:rPr>
                <w:rFonts w:eastAsia="Times New Roman"/>
              </w:rPr>
              <w:t>8.201</w:t>
            </w:r>
          </w:p>
        </w:tc>
        <w:tc>
          <w:tcPr>
            <w:tcW w:w="953" w:type="dxa"/>
            <w:tcBorders>
              <w:top w:val="nil"/>
              <w:left w:val="nil"/>
              <w:bottom w:val="single" w:sz="4" w:space="0" w:color="auto"/>
              <w:right w:val="single" w:sz="4" w:space="0" w:color="auto"/>
            </w:tcBorders>
            <w:shd w:val="clear" w:color="auto" w:fill="auto"/>
            <w:noWrap/>
            <w:vAlign w:val="center"/>
            <w:hideMark/>
          </w:tcPr>
          <w:p w:rsidR="004203A9" w:rsidRPr="000242CD" w:rsidRDefault="004203A9" w:rsidP="004203A9">
            <w:pPr>
              <w:spacing w:line="240" w:lineRule="auto"/>
              <w:jc w:val="center"/>
              <w:rPr>
                <w:rFonts w:eastAsia="Times New Roman"/>
              </w:rPr>
            </w:pPr>
            <w:r w:rsidRPr="000242CD">
              <w:rPr>
                <w:rFonts w:eastAsia="Times New Roman"/>
              </w:rPr>
              <w:t>48.241</w:t>
            </w:r>
          </w:p>
        </w:tc>
        <w:tc>
          <w:tcPr>
            <w:tcW w:w="978" w:type="dxa"/>
            <w:tcBorders>
              <w:top w:val="nil"/>
              <w:left w:val="nil"/>
              <w:bottom w:val="single" w:sz="4" w:space="0" w:color="auto"/>
              <w:right w:val="single" w:sz="4" w:space="0" w:color="auto"/>
            </w:tcBorders>
            <w:shd w:val="clear" w:color="auto" w:fill="auto"/>
            <w:noWrap/>
            <w:vAlign w:val="center"/>
            <w:hideMark/>
          </w:tcPr>
          <w:p w:rsidR="004203A9" w:rsidRPr="000242CD" w:rsidRDefault="004203A9" w:rsidP="004203A9">
            <w:pPr>
              <w:spacing w:line="240" w:lineRule="auto"/>
              <w:jc w:val="center"/>
              <w:rPr>
                <w:rFonts w:eastAsia="Times New Roman"/>
              </w:rPr>
            </w:pPr>
            <w:r w:rsidRPr="000242CD">
              <w:rPr>
                <w:rFonts w:eastAsia="Times New Roman"/>
              </w:rPr>
              <w:t>48.241</w:t>
            </w:r>
          </w:p>
        </w:tc>
      </w:tr>
      <w:tr w:rsidR="004203A9" w:rsidRPr="000242CD" w:rsidTr="004203A9">
        <w:trPr>
          <w:gridAfter w:val="1"/>
          <w:wAfter w:w="6" w:type="dxa"/>
          <w:trHeight w:val="340"/>
        </w:trPr>
        <w:tc>
          <w:tcPr>
            <w:tcW w:w="1047" w:type="dxa"/>
            <w:tcBorders>
              <w:top w:val="nil"/>
              <w:left w:val="single" w:sz="4" w:space="0" w:color="auto"/>
              <w:bottom w:val="single" w:sz="4" w:space="0" w:color="auto"/>
              <w:right w:val="single" w:sz="4" w:space="0" w:color="auto"/>
            </w:tcBorders>
            <w:shd w:val="clear" w:color="auto" w:fill="auto"/>
            <w:noWrap/>
            <w:vAlign w:val="center"/>
            <w:hideMark/>
          </w:tcPr>
          <w:p w:rsidR="004203A9" w:rsidRPr="000242CD" w:rsidRDefault="004203A9" w:rsidP="004203A9">
            <w:pPr>
              <w:spacing w:line="240" w:lineRule="auto"/>
              <w:jc w:val="both"/>
              <w:rPr>
                <w:rFonts w:eastAsia="Times New Roman"/>
                <w:color w:val="000000"/>
              </w:rPr>
            </w:pPr>
            <w:r w:rsidRPr="000242CD">
              <w:rPr>
                <w:rFonts w:eastAsia="Times New Roman"/>
                <w:color w:val="000000"/>
              </w:rPr>
              <w:t>2</w:t>
            </w:r>
          </w:p>
        </w:tc>
        <w:tc>
          <w:tcPr>
            <w:tcW w:w="857" w:type="dxa"/>
            <w:tcBorders>
              <w:top w:val="nil"/>
              <w:left w:val="nil"/>
              <w:bottom w:val="single" w:sz="4" w:space="0" w:color="auto"/>
              <w:right w:val="single" w:sz="4" w:space="0" w:color="auto"/>
            </w:tcBorders>
            <w:shd w:val="clear" w:color="auto" w:fill="auto"/>
            <w:noWrap/>
            <w:vAlign w:val="center"/>
            <w:hideMark/>
          </w:tcPr>
          <w:p w:rsidR="004203A9" w:rsidRPr="000242CD" w:rsidRDefault="004203A9" w:rsidP="004203A9">
            <w:pPr>
              <w:spacing w:line="240" w:lineRule="auto"/>
              <w:jc w:val="center"/>
              <w:rPr>
                <w:rFonts w:eastAsia="Times New Roman"/>
                <w:color w:val="000000"/>
              </w:rPr>
            </w:pPr>
            <w:r w:rsidRPr="000242CD">
              <w:rPr>
                <w:rFonts w:eastAsia="Times New Roman"/>
                <w:color w:val="000000"/>
              </w:rPr>
              <w:t>2.214</w:t>
            </w:r>
          </w:p>
        </w:tc>
        <w:tc>
          <w:tcPr>
            <w:tcW w:w="952" w:type="dxa"/>
            <w:tcBorders>
              <w:top w:val="nil"/>
              <w:left w:val="nil"/>
              <w:bottom w:val="single" w:sz="4" w:space="0" w:color="auto"/>
              <w:right w:val="single" w:sz="4" w:space="0" w:color="auto"/>
            </w:tcBorders>
            <w:shd w:val="clear" w:color="auto" w:fill="auto"/>
            <w:noWrap/>
            <w:vAlign w:val="center"/>
            <w:hideMark/>
          </w:tcPr>
          <w:p w:rsidR="004203A9" w:rsidRPr="000242CD" w:rsidRDefault="004203A9" w:rsidP="004203A9">
            <w:pPr>
              <w:spacing w:line="240" w:lineRule="auto"/>
              <w:jc w:val="center"/>
              <w:rPr>
                <w:rFonts w:eastAsia="Times New Roman"/>
              </w:rPr>
            </w:pPr>
            <w:r w:rsidRPr="000242CD">
              <w:rPr>
                <w:rFonts w:eastAsia="Times New Roman"/>
              </w:rPr>
              <w:t>13.024</w:t>
            </w:r>
          </w:p>
        </w:tc>
        <w:tc>
          <w:tcPr>
            <w:tcW w:w="1107" w:type="dxa"/>
            <w:tcBorders>
              <w:top w:val="nil"/>
              <w:left w:val="nil"/>
              <w:bottom w:val="single" w:sz="4" w:space="0" w:color="auto"/>
              <w:right w:val="single" w:sz="4" w:space="0" w:color="auto"/>
            </w:tcBorders>
            <w:shd w:val="clear" w:color="auto" w:fill="auto"/>
            <w:noWrap/>
            <w:vAlign w:val="center"/>
            <w:hideMark/>
          </w:tcPr>
          <w:p w:rsidR="004203A9" w:rsidRPr="000242CD" w:rsidRDefault="004203A9" w:rsidP="004203A9">
            <w:pPr>
              <w:spacing w:line="240" w:lineRule="auto"/>
              <w:jc w:val="center"/>
              <w:rPr>
                <w:rFonts w:eastAsia="Times New Roman"/>
              </w:rPr>
            </w:pPr>
            <w:r w:rsidRPr="000242CD">
              <w:rPr>
                <w:rFonts w:eastAsia="Times New Roman"/>
              </w:rPr>
              <w:t>65.541</w:t>
            </w:r>
          </w:p>
        </w:tc>
        <w:tc>
          <w:tcPr>
            <w:tcW w:w="861" w:type="dxa"/>
            <w:tcBorders>
              <w:top w:val="nil"/>
              <w:left w:val="nil"/>
              <w:bottom w:val="single" w:sz="4" w:space="0" w:color="auto"/>
              <w:right w:val="single" w:sz="4" w:space="0" w:color="auto"/>
            </w:tcBorders>
            <w:shd w:val="clear" w:color="auto" w:fill="auto"/>
            <w:noWrap/>
            <w:vAlign w:val="center"/>
            <w:hideMark/>
          </w:tcPr>
          <w:p w:rsidR="004203A9" w:rsidRPr="000242CD" w:rsidRDefault="004203A9" w:rsidP="004203A9">
            <w:pPr>
              <w:spacing w:line="240" w:lineRule="auto"/>
              <w:jc w:val="center"/>
              <w:rPr>
                <w:rFonts w:eastAsia="Times New Roman"/>
                <w:color w:val="000000"/>
              </w:rPr>
            </w:pPr>
            <w:r w:rsidRPr="000242CD">
              <w:rPr>
                <w:rFonts w:eastAsia="Times New Roman"/>
                <w:color w:val="000000"/>
              </w:rPr>
              <w:t>2.214</w:t>
            </w:r>
          </w:p>
        </w:tc>
        <w:tc>
          <w:tcPr>
            <w:tcW w:w="947" w:type="dxa"/>
            <w:tcBorders>
              <w:top w:val="nil"/>
              <w:left w:val="nil"/>
              <w:bottom w:val="single" w:sz="4" w:space="0" w:color="auto"/>
              <w:right w:val="single" w:sz="4" w:space="0" w:color="auto"/>
            </w:tcBorders>
            <w:shd w:val="clear" w:color="auto" w:fill="auto"/>
            <w:noWrap/>
            <w:vAlign w:val="center"/>
            <w:hideMark/>
          </w:tcPr>
          <w:p w:rsidR="004203A9" w:rsidRPr="000242CD" w:rsidRDefault="004203A9" w:rsidP="004203A9">
            <w:pPr>
              <w:spacing w:line="240" w:lineRule="auto"/>
              <w:jc w:val="center"/>
              <w:rPr>
                <w:rFonts w:eastAsia="Times New Roman"/>
              </w:rPr>
            </w:pPr>
            <w:r w:rsidRPr="000242CD">
              <w:rPr>
                <w:rFonts w:eastAsia="Times New Roman"/>
              </w:rPr>
              <w:t>13.024</w:t>
            </w:r>
          </w:p>
        </w:tc>
        <w:tc>
          <w:tcPr>
            <w:tcW w:w="1040" w:type="dxa"/>
            <w:tcBorders>
              <w:top w:val="nil"/>
              <w:left w:val="nil"/>
              <w:bottom w:val="single" w:sz="4" w:space="0" w:color="auto"/>
              <w:right w:val="single" w:sz="4" w:space="0" w:color="auto"/>
            </w:tcBorders>
            <w:shd w:val="clear" w:color="auto" w:fill="auto"/>
            <w:noWrap/>
            <w:vAlign w:val="center"/>
            <w:hideMark/>
          </w:tcPr>
          <w:p w:rsidR="004203A9" w:rsidRPr="000242CD" w:rsidRDefault="004203A9" w:rsidP="004203A9">
            <w:pPr>
              <w:spacing w:line="240" w:lineRule="auto"/>
              <w:jc w:val="center"/>
              <w:rPr>
                <w:rFonts w:eastAsia="Times New Roman"/>
              </w:rPr>
            </w:pPr>
            <w:r w:rsidRPr="000242CD">
              <w:rPr>
                <w:rFonts w:eastAsia="Times New Roman"/>
              </w:rPr>
              <w:t>65.541</w:t>
            </w:r>
          </w:p>
        </w:tc>
        <w:tc>
          <w:tcPr>
            <w:tcW w:w="820" w:type="dxa"/>
            <w:tcBorders>
              <w:top w:val="nil"/>
              <w:left w:val="nil"/>
              <w:bottom w:val="single" w:sz="4" w:space="0" w:color="auto"/>
              <w:right w:val="single" w:sz="4" w:space="0" w:color="auto"/>
            </w:tcBorders>
            <w:shd w:val="clear" w:color="auto" w:fill="auto"/>
            <w:noWrap/>
            <w:vAlign w:val="center"/>
            <w:hideMark/>
          </w:tcPr>
          <w:p w:rsidR="004203A9" w:rsidRPr="000242CD" w:rsidRDefault="004203A9" w:rsidP="004203A9">
            <w:pPr>
              <w:spacing w:line="240" w:lineRule="auto"/>
              <w:jc w:val="center"/>
              <w:rPr>
                <w:rFonts w:eastAsia="Times New Roman"/>
              </w:rPr>
            </w:pPr>
            <w:r w:rsidRPr="000242CD">
              <w:rPr>
                <w:rFonts w:eastAsia="Times New Roman"/>
              </w:rPr>
              <w:t>2.190</w:t>
            </w:r>
          </w:p>
        </w:tc>
        <w:tc>
          <w:tcPr>
            <w:tcW w:w="953" w:type="dxa"/>
            <w:tcBorders>
              <w:top w:val="nil"/>
              <w:left w:val="nil"/>
              <w:bottom w:val="single" w:sz="4" w:space="0" w:color="auto"/>
              <w:right w:val="single" w:sz="4" w:space="0" w:color="auto"/>
            </w:tcBorders>
            <w:shd w:val="clear" w:color="auto" w:fill="auto"/>
            <w:noWrap/>
            <w:vAlign w:val="center"/>
            <w:hideMark/>
          </w:tcPr>
          <w:p w:rsidR="004203A9" w:rsidRPr="000242CD" w:rsidRDefault="004203A9" w:rsidP="004203A9">
            <w:pPr>
              <w:spacing w:line="240" w:lineRule="auto"/>
              <w:jc w:val="center"/>
              <w:rPr>
                <w:rFonts w:eastAsia="Times New Roman"/>
              </w:rPr>
            </w:pPr>
            <w:r w:rsidRPr="000242CD">
              <w:rPr>
                <w:rFonts w:eastAsia="Times New Roman"/>
              </w:rPr>
              <w:t>12.882</w:t>
            </w:r>
          </w:p>
        </w:tc>
        <w:tc>
          <w:tcPr>
            <w:tcW w:w="978" w:type="dxa"/>
            <w:tcBorders>
              <w:top w:val="nil"/>
              <w:left w:val="nil"/>
              <w:bottom w:val="single" w:sz="4" w:space="0" w:color="auto"/>
              <w:right w:val="single" w:sz="4" w:space="0" w:color="auto"/>
            </w:tcBorders>
            <w:shd w:val="clear" w:color="auto" w:fill="auto"/>
            <w:noWrap/>
            <w:vAlign w:val="center"/>
            <w:hideMark/>
          </w:tcPr>
          <w:p w:rsidR="004203A9" w:rsidRPr="000242CD" w:rsidRDefault="004203A9" w:rsidP="004203A9">
            <w:pPr>
              <w:spacing w:line="240" w:lineRule="auto"/>
              <w:jc w:val="center"/>
              <w:rPr>
                <w:rFonts w:eastAsia="Times New Roman"/>
              </w:rPr>
            </w:pPr>
            <w:r w:rsidRPr="000242CD">
              <w:rPr>
                <w:rFonts w:eastAsia="Times New Roman"/>
              </w:rPr>
              <w:t>61.124</w:t>
            </w:r>
          </w:p>
        </w:tc>
      </w:tr>
      <w:tr w:rsidR="004203A9" w:rsidRPr="000242CD" w:rsidTr="004203A9">
        <w:trPr>
          <w:gridAfter w:val="1"/>
          <w:wAfter w:w="6" w:type="dxa"/>
          <w:trHeight w:val="340"/>
        </w:trPr>
        <w:tc>
          <w:tcPr>
            <w:tcW w:w="1047" w:type="dxa"/>
            <w:tcBorders>
              <w:top w:val="nil"/>
              <w:left w:val="single" w:sz="4" w:space="0" w:color="auto"/>
              <w:bottom w:val="single" w:sz="4" w:space="0" w:color="auto"/>
              <w:right w:val="single" w:sz="4" w:space="0" w:color="auto"/>
            </w:tcBorders>
            <w:shd w:val="clear" w:color="auto" w:fill="auto"/>
            <w:noWrap/>
            <w:vAlign w:val="center"/>
            <w:hideMark/>
          </w:tcPr>
          <w:p w:rsidR="004203A9" w:rsidRPr="000242CD" w:rsidRDefault="004203A9" w:rsidP="004203A9">
            <w:pPr>
              <w:spacing w:line="240" w:lineRule="auto"/>
              <w:jc w:val="both"/>
              <w:rPr>
                <w:rFonts w:eastAsia="Times New Roman"/>
                <w:color w:val="000000"/>
              </w:rPr>
            </w:pPr>
            <w:r w:rsidRPr="000242CD">
              <w:rPr>
                <w:rFonts w:eastAsia="Times New Roman"/>
                <w:color w:val="000000"/>
              </w:rPr>
              <w:t>3</w:t>
            </w:r>
          </w:p>
        </w:tc>
        <w:tc>
          <w:tcPr>
            <w:tcW w:w="857" w:type="dxa"/>
            <w:tcBorders>
              <w:top w:val="nil"/>
              <w:left w:val="nil"/>
              <w:bottom w:val="single" w:sz="4" w:space="0" w:color="auto"/>
              <w:right w:val="single" w:sz="4" w:space="0" w:color="auto"/>
            </w:tcBorders>
            <w:shd w:val="clear" w:color="auto" w:fill="auto"/>
            <w:noWrap/>
            <w:vAlign w:val="center"/>
            <w:hideMark/>
          </w:tcPr>
          <w:p w:rsidR="004203A9" w:rsidRPr="000242CD" w:rsidRDefault="004203A9" w:rsidP="004203A9">
            <w:pPr>
              <w:spacing w:line="240" w:lineRule="auto"/>
              <w:jc w:val="center"/>
              <w:rPr>
                <w:rFonts w:eastAsia="Times New Roman"/>
                <w:color w:val="000000"/>
              </w:rPr>
            </w:pPr>
            <w:r w:rsidRPr="000242CD">
              <w:rPr>
                <w:rFonts w:eastAsia="Times New Roman"/>
                <w:color w:val="000000"/>
              </w:rPr>
              <w:t>1.358</w:t>
            </w:r>
          </w:p>
        </w:tc>
        <w:tc>
          <w:tcPr>
            <w:tcW w:w="952" w:type="dxa"/>
            <w:tcBorders>
              <w:top w:val="nil"/>
              <w:left w:val="nil"/>
              <w:bottom w:val="single" w:sz="4" w:space="0" w:color="auto"/>
              <w:right w:val="single" w:sz="4" w:space="0" w:color="auto"/>
            </w:tcBorders>
            <w:shd w:val="clear" w:color="auto" w:fill="auto"/>
            <w:noWrap/>
            <w:vAlign w:val="center"/>
            <w:hideMark/>
          </w:tcPr>
          <w:p w:rsidR="004203A9" w:rsidRPr="000242CD" w:rsidRDefault="004203A9" w:rsidP="004203A9">
            <w:pPr>
              <w:spacing w:line="240" w:lineRule="auto"/>
              <w:jc w:val="center"/>
              <w:rPr>
                <w:rFonts w:eastAsia="Times New Roman"/>
              </w:rPr>
            </w:pPr>
            <w:r w:rsidRPr="000242CD">
              <w:rPr>
                <w:rFonts w:eastAsia="Times New Roman"/>
              </w:rPr>
              <w:t>7.988</w:t>
            </w:r>
          </w:p>
        </w:tc>
        <w:tc>
          <w:tcPr>
            <w:tcW w:w="1107" w:type="dxa"/>
            <w:tcBorders>
              <w:top w:val="nil"/>
              <w:left w:val="nil"/>
              <w:bottom w:val="single" w:sz="4" w:space="0" w:color="auto"/>
              <w:right w:val="single" w:sz="4" w:space="0" w:color="auto"/>
            </w:tcBorders>
            <w:shd w:val="clear" w:color="auto" w:fill="auto"/>
            <w:noWrap/>
            <w:vAlign w:val="center"/>
            <w:hideMark/>
          </w:tcPr>
          <w:p w:rsidR="004203A9" w:rsidRPr="000242CD" w:rsidRDefault="004203A9" w:rsidP="004203A9">
            <w:pPr>
              <w:spacing w:line="240" w:lineRule="auto"/>
              <w:jc w:val="center"/>
              <w:rPr>
                <w:rFonts w:eastAsia="Times New Roman"/>
              </w:rPr>
            </w:pPr>
            <w:r w:rsidRPr="000242CD">
              <w:rPr>
                <w:rFonts w:eastAsia="Times New Roman"/>
              </w:rPr>
              <w:t>73.529</w:t>
            </w:r>
          </w:p>
        </w:tc>
        <w:tc>
          <w:tcPr>
            <w:tcW w:w="861" w:type="dxa"/>
            <w:tcBorders>
              <w:top w:val="nil"/>
              <w:left w:val="nil"/>
              <w:bottom w:val="single" w:sz="4" w:space="0" w:color="auto"/>
              <w:right w:val="single" w:sz="4" w:space="0" w:color="auto"/>
            </w:tcBorders>
            <w:shd w:val="clear" w:color="auto" w:fill="auto"/>
            <w:noWrap/>
            <w:vAlign w:val="center"/>
            <w:hideMark/>
          </w:tcPr>
          <w:p w:rsidR="004203A9" w:rsidRPr="000242CD" w:rsidRDefault="004203A9" w:rsidP="004203A9">
            <w:pPr>
              <w:spacing w:line="240" w:lineRule="auto"/>
              <w:jc w:val="center"/>
              <w:rPr>
                <w:rFonts w:eastAsia="Times New Roman"/>
                <w:color w:val="000000"/>
              </w:rPr>
            </w:pPr>
            <w:r w:rsidRPr="000242CD">
              <w:rPr>
                <w:rFonts w:eastAsia="Times New Roman"/>
                <w:color w:val="000000"/>
              </w:rPr>
              <w:t>1.358</w:t>
            </w:r>
          </w:p>
        </w:tc>
        <w:tc>
          <w:tcPr>
            <w:tcW w:w="947" w:type="dxa"/>
            <w:tcBorders>
              <w:top w:val="nil"/>
              <w:left w:val="nil"/>
              <w:bottom w:val="single" w:sz="4" w:space="0" w:color="auto"/>
              <w:right w:val="single" w:sz="4" w:space="0" w:color="auto"/>
            </w:tcBorders>
            <w:shd w:val="clear" w:color="auto" w:fill="auto"/>
            <w:noWrap/>
            <w:vAlign w:val="center"/>
            <w:hideMark/>
          </w:tcPr>
          <w:p w:rsidR="004203A9" w:rsidRPr="000242CD" w:rsidRDefault="004203A9" w:rsidP="004203A9">
            <w:pPr>
              <w:spacing w:line="240" w:lineRule="auto"/>
              <w:jc w:val="center"/>
              <w:rPr>
                <w:rFonts w:eastAsia="Times New Roman"/>
              </w:rPr>
            </w:pPr>
            <w:r w:rsidRPr="000242CD">
              <w:rPr>
                <w:rFonts w:eastAsia="Times New Roman"/>
              </w:rPr>
              <w:t>7.988</w:t>
            </w:r>
          </w:p>
        </w:tc>
        <w:tc>
          <w:tcPr>
            <w:tcW w:w="1040" w:type="dxa"/>
            <w:tcBorders>
              <w:top w:val="nil"/>
              <w:left w:val="nil"/>
              <w:bottom w:val="single" w:sz="4" w:space="0" w:color="auto"/>
              <w:right w:val="single" w:sz="4" w:space="0" w:color="auto"/>
            </w:tcBorders>
            <w:shd w:val="clear" w:color="auto" w:fill="auto"/>
            <w:noWrap/>
            <w:vAlign w:val="center"/>
            <w:hideMark/>
          </w:tcPr>
          <w:p w:rsidR="004203A9" w:rsidRPr="000242CD" w:rsidRDefault="004203A9" w:rsidP="004203A9">
            <w:pPr>
              <w:spacing w:line="240" w:lineRule="auto"/>
              <w:jc w:val="center"/>
              <w:rPr>
                <w:rFonts w:eastAsia="Times New Roman"/>
              </w:rPr>
            </w:pPr>
            <w:r w:rsidRPr="000242CD">
              <w:rPr>
                <w:rFonts w:eastAsia="Times New Roman"/>
              </w:rPr>
              <w:t>73.529</w:t>
            </w:r>
          </w:p>
        </w:tc>
        <w:tc>
          <w:tcPr>
            <w:tcW w:w="820" w:type="dxa"/>
            <w:tcBorders>
              <w:top w:val="nil"/>
              <w:left w:val="nil"/>
              <w:bottom w:val="single" w:sz="4" w:space="0" w:color="auto"/>
              <w:right w:val="single" w:sz="4" w:space="0" w:color="auto"/>
            </w:tcBorders>
            <w:shd w:val="clear" w:color="auto" w:fill="auto"/>
            <w:noWrap/>
            <w:vAlign w:val="center"/>
            <w:hideMark/>
          </w:tcPr>
          <w:p w:rsidR="004203A9" w:rsidRPr="000242CD" w:rsidRDefault="004203A9" w:rsidP="004203A9">
            <w:pPr>
              <w:spacing w:line="240" w:lineRule="auto"/>
              <w:jc w:val="center"/>
              <w:rPr>
                <w:rFonts w:eastAsia="Times New Roman"/>
              </w:rPr>
            </w:pPr>
            <w:r w:rsidRPr="000242CD">
              <w:rPr>
                <w:rFonts w:eastAsia="Times New Roman"/>
              </w:rPr>
              <w:t>2.109</w:t>
            </w:r>
          </w:p>
        </w:tc>
        <w:tc>
          <w:tcPr>
            <w:tcW w:w="953" w:type="dxa"/>
            <w:tcBorders>
              <w:top w:val="nil"/>
              <w:left w:val="nil"/>
              <w:bottom w:val="single" w:sz="4" w:space="0" w:color="auto"/>
              <w:right w:val="single" w:sz="4" w:space="0" w:color="auto"/>
            </w:tcBorders>
            <w:shd w:val="clear" w:color="auto" w:fill="auto"/>
            <w:noWrap/>
            <w:vAlign w:val="center"/>
            <w:hideMark/>
          </w:tcPr>
          <w:p w:rsidR="004203A9" w:rsidRPr="000242CD" w:rsidRDefault="004203A9" w:rsidP="004203A9">
            <w:pPr>
              <w:spacing w:line="240" w:lineRule="auto"/>
              <w:jc w:val="center"/>
              <w:rPr>
                <w:rFonts w:eastAsia="Times New Roman"/>
              </w:rPr>
            </w:pPr>
            <w:r w:rsidRPr="000242CD">
              <w:rPr>
                <w:rFonts w:eastAsia="Times New Roman"/>
              </w:rPr>
              <w:t>12.406</w:t>
            </w:r>
          </w:p>
        </w:tc>
        <w:tc>
          <w:tcPr>
            <w:tcW w:w="978" w:type="dxa"/>
            <w:tcBorders>
              <w:top w:val="nil"/>
              <w:left w:val="nil"/>
              <w:bottom w:val="single" w:sz="4" w:space="0" w:color="auto"/>
              <w:right w:val="single" w:sz="4" w:space="0" w:color="auto"/>
            </w:tcBorders>
            <w:shd w:val="clear" w:color="auto" w:fill="auto"/>
            <w:noWrap/>
            <w:vAlign w:val="center"/>
            <w:hideMark/>
          </w:tcPr>
          <w:p w:rsidR="004203A9" w:rsidRPr="000242CD" w:rsidRDefault="004203A9" w:rsidP="004203A9">
            <w:pPr>
              <w:spacing w:line="240" w:lineRule="auto"/>
              <w:jc w:val="center"/>
              <w:rPr>
                <w:rFonts w:eastAsia="Times New Roman"/>
              </w:rPr>
            </w:pPr>
            <w:r w:rsidRPr="000242CD">
              <w:rPr>
                <w:rFonts w:eastAsia="Times New Roman"/>
              </w:rPr>
              <w:t>73.529</w:t>
            </w:r>
          </w:p>
        </w:tc>
      </w:tr>
    </w:tbl>
    <w:p w:rsidR="00C9289F" w:rsidRPr="000242CD" w:rsidRDefault="00C9289F" w:rsidP="000242CD">
      <w:pPr>
        <w:pStyle w:val="Default"/>
        <w:jc w:val="both"/>
      </w:pPr>
    </w:p>
    <w:p w:rsidR="00C9289F" w:rsidRPr="000242CD" w:rsidRDefault="00C9289F" w:rsidP="000242CD">
      <w:pPr>
        <w:pStyle w:val="Default"/>
        <w:jc w:val="both"/>
      </w:pPr>
    </w:p>
    <w:tbl>
      <w:tblPr>
        <w:tblW w:w="8401" w:type="dxa"/>
        <w:jc w:val="center"/>
        <w:tblLayout w:type="fixed"/>
        <w:tblLook w:val="04A0" w:firstRow="1" w:lastRow="0" w:firstColumn="1" w:lastColumn="0" w:noHBand="0" w:noVBand="1"/>
      </w:tblPr>
      <w:tblGrid>
        <w:gridCol w:w="5783"/>
        <w:gridCol w:w="919"/>
        <w:gridCol w:w="835"/>
        <w:gridCol w:w="864"/>
      </w:tblGrid>
      <w:tr w:rsidR="00C9289F" w:rsidRPr="000242CD" w:rsidTr="004203A9">
        <w:trPr>
          <w:trHeight w:val="145"/>
          <w:jc w:val="center"/>
        </w:trPr>
        <w:tc>
          <w:tcPr>
            <w:tcW w:w="8401" w:type="dxa"/>
            <w:gridSpan w:val="4"/>
            <w:tcBorders>
              <w:top w:val="nil"/>
              <w:left w:val="nil"/>
              <w:bottom w:val="single" w:sz="4" w:space="0" w:color="auto"/>
              <w:right w:val="nil"/>
            </w:tcBorders>
            <w:shd w:val="clear" w:color="auto" w:fill="auto"/>
            <w:vAlign w:val="center"/>
            <w:hideMark/>
          </w:tcPr>
          <w:p w:rsidR="00C9289F" w:rsidRPr="000242CD" w:rsidRDefault="00C9289F" w:rsidP="000242CD">
            <w:pPr>
              <w:spacing w:line="240" w:lineRule="auto"/>
              <w:jc w:val="center"/>
              <w:outlineLvl w:val="0"/>
              <w:rPr>
                <w:b/>
              </w:rPr>
            </w:pPr>
            <w:r w:rsidRPr="000242CD">
              <w:rPr>
                <w:b/>
              </w:rPr>
              <w:t xml:space="preserve">Table 3: </w:t>
            </w:r>
            <w:r w:rsidRPr="000242CD">
              <w:rPr>
                <w:rFonts w:eastAsia="Times New Roman"/>
                <w:b/>
                <w:bCs/>
                <w:color w:val="000000"/>
              </w:rPr>
              <w:t>Rotated Component Matrix</w:t>
            </w:r>
          </w:p>
        </w:tc>
      </w:tr>
      <w:tr w:rsidR="00C9289F" w:rsidRPr="000242CD" w:rsidTr="004203A9">
        <w:trPr>
          <w:trHeight w:val="284"/>
          <w:jc w:val="center"/>
        </w:trPr>
        <w:tc>
          <w:tcPr>
            <w:tcW w:w="5783" w:type="dxa"/>
            <w:vMerge w:val="restart"/>
            <w:tcBorders>
              <w:top w:val="single" w:sz="4" w:space="0" w:color="auto"/>
              <w:left w:val="single" w:sz="4" w:space="0" w:color="auto"/>
              <w:bottom w:val="single" w:sz="12" w:space="0" w:color="000000"/>
              <w:right w:val="single" w:sz="4" w:space="0" w:color="auto"/>
            </w:tcBorders>
            <w:shd w:val="clear" w:color="auto" w:fill="auto"/>
            <w:vAlign w:val="bottom"/>
            <w:hideMark/>
          </w:tcPr>
          <w:p w:rsidR="00C9289F" w:rsidRPr="000242CD" w:rsidRDefault="00C9289F" w:rsidP="000242CD">
            <w:pPr>
              <w:spacing w:line="240" w:lineRule="auto"/>
              <w:jc w:val="both"/>
              <w:rPr>
                <w:rFonts w:eastAsia="Times New Roman"/>
                <w:b/>
                <w:color w:val="000000"/>
              </w:rPr>
            </w:pPr>
            <w:r w:rsidRPr="000242CD">
              <w:rPr>
                <w:rFonts w:eastAsia="Times New Roman"/>
                <w:b/>
                <w:color w:val="000000"/>
              </w:rPr>
              <w:t> Variables</w:t>
            </w:r>
          </w:p>
        </w:tc>
        <w:tc>
          <w:tcPr>
            <w:tcW w:w="2617" w:type="dxa"/>
            <w:gridSpan w:val="3"/>
            <w:tcBorders>
              <w:top w:val="single" w:sz="4" w:space="0" w:color="auto"/>
              <w:left w:val="single" w:sz="4" w:space="0" w:color="auto"/>
              <w:bottom w:val="single" w:sz="4" w:space="0" w:color="000000"/>
              <w:right w:val="single" w:sz="4" w:space="0" w:color="auto"/>
            </w:tcBorders>
            <w:shd w:val="clear" w:color="auto" w:fill="auto"/>
            <w:vAlign w:val="bottom"/>
            <w:hideMark/>
          </w:tcPr>
          <w:p w:rsidR="00C9289F" w:rsidRPr="000242CD" w:rsidRDefault="00C9289F" w:rsidP="000242CD">
            <w:pPr>
              <w:spacing w:line="240" w:lineRule="auto"/>
              <w:jc w:val="both"/>
              <w:rPr>
                <w:rFonts w:eastAsia="Times New Roman"/>
                <w:b/>
                <w:color w:val="000000"/>
              </w:rPr>
            </w:pPr>
            <w:r w:rsidRPr="000242CD">
              <w:rPr>
                <w:rFonts w:eastAsia="Times New Roman"/>
                <w:b/>
                <w:color w:val="000000"/>
              </w:rPr>
              <w:t>Component</w:t>
            </w:r>
          </w:p>
        </w:tc>
      </w:tr>
      <w:tr w:rsidR="00C9289F" w:rsidRPr="000242CD" w:rsidTr="004203A9">
        <w:trPr>
          <w:trHeight w:val="198"/>
          <w:jc w:val="center"/>
        </w:trPr>
        <w:tc>
          <w:tcPr>
            <w:tcW w:w="5783" w:type="dxa"/>
            <w:vMerge/>
            <w:tcBorders>
              <w:top w:val="single" w:sz="12" w:space="0" w:color="000000"/>
              <w:left w:val="single" w:sz="4" w:space="0" w:color="auto"/>
              <w:bottom w:val="single" w:sz="4" w:space="0" w:color="auto"/>
              <w:right w:val="single" w:sz="4" w:space="0" w:color="auto"/>
            </w:tcBorders>
            <w:vAlign w:val="center"/>
            <w:hideMark/>
          </w:tcPr>
          <w:p w:rsidR="00C9289F" w:rsidRPr="000242CD" w:rsidRDefault="00C9289F" w:rsidP="000242CD">
            <w:pPr>
              <w:spacing w:line="240" w:lineRule="auto"/>
              <w:jc w:val="both"/>
              <w:rPr>
                <w:rFonts w:eastAsia="Times New Roman"/>
                <w:b/>
                <w:color w:val="000000"/>
              </w:rPr>
            </w:pPr>
          </w:p>
        </w:tc>
        <w:tc>
          <w:tcPr>
            <w:tcW w:w="919" w:type="dxa"/>
            <w:tcBorders>
              <w:top w:val="nil"/>
              <w:left w:val="single" w:sz="4" w:space="0" w:color="auto"/>
              <w:bottom w:val="single" w:sz="4" w:space="0" w:color="auto"/>
              <w:right w:val="single" w:sz="4" w:space="0" w:color="000000"/>
            </w:tcBorders>
            <w:shd w:val="clear" w:color="auto" w:fill="auto"/>
            <w:noWrap/>
            <w:vAlign w:val="bottom"/>
            <w:hideMark/>
          </w:tcPr>
          <w:p w:rsidR="00C9289F" w:rsidRPr="000242CD" w:rsidRDefault="00C9289F" w:rsidP="000242CD">
            <w:pPr>
              <w:spacing w:line="240" w:lineRule="auto"/>
              <w:jc w:val="both"/>
              <w:rPr>
                <w:rFonts w:eastAsia="Times New Roman"/>
                <w:b/>
                <w:color w:val="000000"/>
              </w:rPr>
            </w:pPr>
            <w:r w:rsidRPr="000242CD">
              <w:rPr>
                <w:rFonts w:eastAsia="Times New Roman"/>
                <w:b/>
                <w:color w:val="000000"/>
              </w:rPr>
              <w:t>1</w:t>
            </w:r>
          </w:p>
        </w:tc>
        <w:tc>
          <w:tcPr>
            <w:tcW w:w="835" w:type="dxa"/>
            <w:tcBorders>
              <w:top w:val="nil"/>
              <w:left w:val="nil"/>
              <w:bottom w:val="single" w:sz="4" w:space="0" w:color="auto"/>
              <w:right w:val="single" w:sz="4" w:space="0" w:color="000000"/>
            </w:tcBorders>
            <w:shd w:val="clear" w:color="auto" w:fill="auto"/>
            <w:noWrap/>
            <w:vAlign w:val="bottom"/>
            <w:hideMark/>
          </w:tcPr>
          <w:p w:rsidR="00C9289F" w:rsidRPr="000242CD" w:rsidRDefault="00C9289F" w:rsidP="000242CD">
            <w:pPr>
              <w:spacing w:line="240" w:lineRule="auto"/>
              <w:jc w:val="both"/>
              <w:rPr>
                <w:rFonts w:eastAsia="Times New Roman"/>
                <w:b/>
                <w:color w:val="000000"/>
              </w:rPr>
            </w:pPr>
            <w:r w:rsidRPr="000242CD">
              <w:rPr>
                <w:rFonts w:eastAsia="Times New Roman"/>
                <w:b/>
                <w:color w:val="000000"/>
              </w:rPr>
              <w:t>2</w:t>
            </w:r>
          </w:p>
        </w:tc>
        <w:tc>
          <w:tcPr>
            <w:tcW w:w="861" w:type="dxa"/>
            <w:tcBorders>
              <w:top w:val="nil"/>
              <w:left w:val="nil"/>
              <w:bottom w:val="single" w:sz="4" w:space="0" w:color="auto"/>
              <w:right w:val="single" w:sz="4" w:space="0" w:color="auto"/>
            </w:tcBorders>
            <w:shd w:val="clear" w:color="auto" w:fill="auto"/>
            <w:noWrap/>
            <w:vAlign w:val="bottom"/>
            <w:hideMark/>
          </w:tcPr>
          <w:p w:rsidR="00C9289F" w:rsidRPr="000242CD" w:rsidRDefault="00C9289F" w:rsidP="000242CD">
            <w:pPr>
              <w:spacing w:line="240" w:lineRule="auto"/>
              <w:jc w:val="both"/>
              <w:rPr>
                <w:rFonts w:eastAsia="Times New Roman"/>
                <w:b/>
                <w:color w:val="000000"/>
              </w:rPr>
            </w:pPr>
            <w:r w:rsidRPr="000242CD">
              <w:rPr>
                <w:rFonts w:eastAsia="Times New Roman"/>
                <w:b/>
                <w:color w:val="000000"/>
              </w:rPr>
              <w:t>3</w:t>
            </w:r>
          </w:p>
        </w:tc>
      </w:tr>
      <w:tr w:rsidR="00C9289F" w:rsidRPr="000242CD" w:rsidTr="004203A9">
        <w:trPr>
          <w:trHeight w:val="358"/>
          <w:jc w:val="center"/>
        </w:trPr>
        <w:tc>
          <w:tcPr>
            <w:tcW w:w="5783" w:type="dxa"/>
            <w:tcBorders>
              <w:top w:val="single" w:sz="4" w:space="0" w:color="auto"/>
              <w:left w:val="single" w:sz="4" w:space="0" w:color="auto"/>
              <w:right w:val="single" w:sz="4" w:space="0" w:color="auto"/>
            </w:tcBorders>
            <w:shd w:val="clear" w:color="auto" w:fill="auto"/>
            <w:vAlign w:val="center"/>
          </w:tcPr>
          <w:p w:rsidR="00C9289F" w:rsidRPr="000242CD" w:rsidRDefault="00C9289F" w:rsidP="000242CD">
            <w:pPr>
              <w:spacing w:line="240" w:lineRule="auto"/>
              <w:jc w:val="both"/>
              <w:rPr>
                <w:rFonts w:eastAsia="Times New Roman"/>
                <w:b/>
                <w:color w:val="000000"/>
              </w:rPr>
            </w:pPr>
            <w:r w:rsidRPr="000242CD">
              <w:rPr>
                <w:rFonts w:eastAsia="Times New Roman"/>
                <w:b/>
                <w:color w:val="000000"/>
              </w:rPr>
              <w:t>Responsiveness</w:t>
            </w:r>
          </w:p>
        </w:tc>
        <w:tc>
          <w:tcPr>
            <w:tcW w:w="919" w:type="dxa"/>
            <w:tcBorders>
              <w:top w:val="single" w:sz="4" w:space="0" w:color="auto"/>
              <w:left w:val="single" w:sz="4" w:space="0" w:color="auto"/>
              <w:right w:val="single" w:sz="4" w:space="0" w:color="auto"/>
            </w:tcBorders>
            <w:shd w:val="clear" w:color="auto" w:fill="auto"/>
            <w:noWrap/>
          </w:tcPr>
          <w:p w:rsidR="00C9289F" w:rsidRPr="000242CD" w:rsidRDefault="00C9289F" w:rsidP="000242CD">
            <w:pPr>
              <w:spacing w:line="240" w:lineRule="auto"/>
              <w:jc w:val="both"/>
              <w:rPr>
                <w:rFonts w:eastAsia="Times New Roman"/>
                <w:color w:val="000000"/>
              </w:rPr>
            </w:pPr>
          </w:p>
        </w:tc>
        <w:tc>
          <w:tcPr>
            <w:tcW w:w="835" w:type="dxa"/>
            <w:tcBorders>
              <w:top w:val="single" w:sz="4" w:space="0" w:color="auto"/>
              <w:left w:val="single" w:sz="4" w:space="0" w:color="auto"/>
              <w:right w:val="single" w:sz="4" w:space="0" w:color="auto"/>
            </w:tcBorders>
            <w:shd w:val="clear" w:color="auto" w:fill="auto"/>
          </w:tcPr>
          <w:p w:rsidR="00C9289F" w:rsidRPr="000242CD" w:rsidRDefault="00C9289F" w:rsidP="000242CD">
            <w:pPr>
              <w:spacing w:line="240" w:lineRule="auto"/>
              <w:jc w:val="both"/>
              <w:rPr>
                <w:rFonts w:eastAsia="Times New Roman"/>
                <w:color w:val="000000"/>
              </w:rPr>
            </w:pPr>
          </w:p>
        </w:tc>
        <w:tc>
          <w:tcPr>
            <w:tcW w:w="861" w:type="dxa"/>
            <w:tcBorders>
              <w:top w:val="single" w:sz="4" w:space="0" w:color="auto"/>
              <w:left w:val="single" w:sz="4" w:space="0" w:color="auto"/>
              <w:right w:val="single" w:sz="4" w:space="0" w:color="auto"/>
            </w:tcBorders>
            <w:shd w:val="clear" w:color="auto" w:fill="auto"/>
          </w:tcPr>
          <w:p w:rsidR="00C9289F" w:rsidRPr="000242CD" w:rsidRDefault="00C9289F" w:rsidP="000242CD">
            <w:pPr>
              <w:spacing w:line="240" w:lineRule="auto"/>
              <w:jc w:val="both"/>
              <w:rPr>
                <w:rFonts w:eastAsia="Times New Roman"/>
                <w:color w:val="000000"/>
              </w:rPr>
            </w:pPr>
          </w:p>
        </w:tc>
      </w:tr>
      <w:tr w:rsidR="00C9289F" w:rsidRPr="000242CD" w:rsidTr="004203A9">
        <w:trPr>
          <w:trHeight w:val="59"/>
          <w:jc w:val="center"/>
        </w:trPr>
        <w:tc>
          <w:tcPr>
            <w:tcW w:w="5783" w:type="dxa"/>
            <w:tcBorders>
              <w:left w:val="single" w:sz="4" w:space="0" w:color="auto"/>
              <w:right w:val="single" w:sz="4" w:space="0" w:color="auto"/>
            </w:tcBorders>
            <w:shd w:val="clear" w:color="auto" w:fill="auto"/>
            <w:vAlign w:val="center"/>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Hospital staffs Provide comfort to patients</w:t>
            </w:r>
          </w:p>
        </w:tc>
        <w:tc>
          <w:tcPr>
            <w:tcW w:w="919" w:type="dxa"/>
            <w:tcBorders>
              <w:left w:val="single" w:sz="4" w:space="0" w:color="auto"/>
              <w:bottom w:val="nil"/>
              <w:right w:val="single" w:sz="4" w:space="0" w:color="auto"/>
            </w:tcBorders>
            <w:shd w:val="clear" w:color="auto" w:fill="auto"/>
            <w:noWrap/>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.870</w:t>
            </w:r>
          </w:p>
        </w:tc>
        <w:tc>
          <w:tcPr>
            <w:tcW w:w="835" w:type="dxa"/>
            <w:tcBorders>
              <w:left w:val="single" w:sz="4" w:space="0" w:color="auto"/>
              <w:bottom w:val="nil"/>
              <w:right w:val="single" w:sz="4" w:space="0" w:color="auto"/>
            </w:tcBorders>
            <w:shd w:val="clear" w:color="auto" w:fill="auto"/>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 </w:t>
            </w:r>
          </w:p>
        </w:tc>
        <w:tc>
          <w:tcPr>
            <w:tcW w:w="861" w:type="dxa"/>
            <w:tcBorders>
              <w:left w:val="single" w:sz="4" w:space="0" w:color="auto"/>
              <w:bottom w:val="nil"/>
              <w:right w:val="single" w:sz="4" w:space="0" w:color="auto"/>
            </w:tcBorders>
            <w:shd w:val="clear" w:color="auto" w:fill="auto"/>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 </w:t>
            </w:r>
          </w:p>
        </w:tc>
      </w:tr>
      <w:tr w:rsidR="00C9289F" w:rsidRPr="000242CD" w:rsidTr="004203A9">
        <w:trPr>
          <w:trHeight w:val="59"/>
          <w:jc w:val="center"/>
        </w:trPr>
        <w:tc>
          <w:tcPr>
            <w:tcW w:w="5783" w:type="dxa"/>
            <w:tcBorders>
              <w:top w:val="nil"/>
              <w:left w:val="single" w:sz="4" w:space="0" w:color="auto"/>
              <w:right w:val="single" w:sz="4" w:space="0" w:color="auto"/>
            </w:tcBorders>
            <w:shd w:val="clear" w:color="auto" w:fill="auto"/>
            <w:vAlign w:val="center"/>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Doctors provide enough reply to clarify everything</w:t>
            </w:r>
          </w:p>
        </w:tc>
        <w:tc>
          <w:tcPr>
            <w:tcW w:w="919" w:type="dxa"/>
            <w:tcBorders>
              <w:top w:val="nil"/>
              <w:left w:val="single" w:sz="4" w:space="0" w:color="auto"/>
              <w:bottom w:val="nil"/>
              <w:right w:val="single" w:sz="4" w:space="0" w:color="auto"/>
            </w:tcBorders>
            <w:shd w:val="clear" w:color="auto" w:fill="auto"/>
            <w:noWrap/>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.846</w:t>
            </w:r>
          </w:p>
        </w:tc>
        <w:tc>
          <w:tcPr>
            <w:tcW w:w="835" w:type="dxa"/>
            <w:tcBorders>
              <w:top w:val="nil"/>
              <w:left w:val="single" w:sz="4" w:space="0" w:color="auto"/>
              <w:bottom w:val="nil"/>
              <w:right w:val="single" w:sz="4" w:space="0" w:color="000000"/>
            </w:tcBorders>
            <w:shd w:val="clear" w:color="auto" w:fill="auto"/>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 </w:t>
            </w:r>
          </w:p>
        </w:tc>
        <w:tc>
          <w:tcPr>
            <w:tcW w:w="861" w:type="dxa"/>
            <w:tcBorders>
              <w:top w:val="nil"/>
              <w:left w:val="nil"/>
              <w:bottom w:val="nil"/>
              <w:right w:val="single" w:sz="4" w:space="0" w:color="auto"/>
            </w:tcBorders>
            <w:shd w:val="clear" w:color="auto" w:fill="auto"/>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 </w:t>
            </w:r>
          </w:p>
        </w:tc>
      </w:tr>
      <w:tr w:rsidR="00C9289F" w:rsidRPr="000242CD" w:rsidTr="004203A9">
        <w:trPr>
          <w:trHeight w:val="59"/>
          <w:jc w:val="center"/>
        </w:trPr>
        <w:tc>
          <w:tcPr>
            <w:tcW w:w="5783" w:type="dxa"/>
            <w:tcBorders>
              <w:top w:val="nil"/>
              <w:left w:val="single" w:sz="4" w:space="0" w:color="auto"/>
              <w:right w:val="single" w:sz="4" w:space="0" w:color="auto"/>
            </w:tcBorders>
            <w:shd w:val="clear" w:color="auto" w:fill="auto"/>
            <w:vAlign w:val="center"/>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Doctors/ staff are willing to help/facilitate the patients</w:t>
            </w:r>
          </w:p>
        </w:tc>
        <w:tc>
          <w:tcPr>
            <w:tcW w:w="919" w:type="dxa"/>
            <w:tcBorders>
              <w:top w:val="nil"/>
              <w:left w:val="single" w:sz="4" w:space="0" w:color="auto"/>
              <w:bottom w:val="nil"/>
              <w:right w:val="single" w:sz="4" w:space="0" w:color="auto"/>
            </w:tcBorders>
            <w:shd w:val="clear" w:color="auto" w:fill="auto"/>
            <w:noWrap/>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.842</w:t>
            </w:r>
          </w:p>
        </w:tc>
        <w:tc>
          <w:tcPr>
            <w:tcW w:w="835" w:type="dxa"/>
            <w:tcBorders>
              <w:top w:val="nil"/>
              <w:left w:val="single" w:sz="4" w:space="0" w:color="auto"/>
              <w:bottom w:val="nil"/>
              <w:right w:val="single" w:sz="4" w:space="0" w:color="000000"/>
            </w:tcBorders>
            <w:shd w:val="clear" w:color="auto" w:fill="auto"/>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 </w:t>
            </w:r>
          </w:p>
        </w:tc>
        <w:tc>
          <w:tcPr>
            <w:tcW w:w="861" w:type="dxa"/>
            <w:tcBorders>
              <w:top w:val="nil"/>
              <w:left w:val="nil"/>
              <w:bottom w:val="nil"/>
              <w:right w:val="single" w:sz="4" w:space="0" w:color="auto"/>
            </w:tcBorders>
            <w:shd w:val="clear" w:color="auto" w:fill="auto"/>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 </w:t>
            </w:r>
          </w:p>
        </w:tc>
      </w:tr>
      <w:tr w:rsidR="00C9289F" w:rsidRPr="000242CD" w:rsidTr="004203A9">
        <w:trPr>
          <w:trHeight w:val="66"/>
          <w:jc w:val="center"/>
        </w:trPr>
        <w:tc>
          <w:tcPr>
            <w:tcW w:w="5783" w:type="dxa"/>
            <w:tcBorders>
              <w:top w:val="nil"/>
              <w:left w:val="single" w:sz="4" w:space="0" w:color="auto"/>
              <w:right w:val="single" w:sz="4" w:space="0" w:color="auto"/>
            </w:tcBorders>
            <w:shd w:val="clear" w:color="auto" w:fill="auto"/>
            <w:vAlign w:val="center"/>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Explain the procedure of treatment</w:t>
            </w:r>
          </w:p>
        </w:tc>
        <w:tc>
          <w:tcPr>
            <w:tcW w:w="919" w:type="dxa"/>
            <w:tcBorders>
              <w:top w:val="nil"/>
              <w:left w:val="single" w:sz="4" w:space="0" w:color="auto"/>
              <w:bottom w:val="nil"/>
              <w:right w:val="single" w:sz="4" w:space="0" w:color="auto"/>
            </w:tcBorders>
            <w:shd w:val="clear" w:color="auto" w:fill="auto"/>
            <w:noWrap/>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.817</w:t>
            </w:r>
          </w:p>
        </w:tc>
        <w:tc>
          <w:tcPr>
            <w:tcW w:w="835" w:type="dxa"/>
            <w:tcBorders>
              <w:top w:val="nil"/>
              <w:left w:val="single" w:sz="4" w:space="0" w:color="auto"/>
              <w:bottom w:val="nil"/>
              <w:right w:val="single" w:sz="4" w:space="0" w:color="000000"/>
            </w:tcBorders>
            <w:shd w:val="clear" w:color="auto" w:fill="auto"/>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 </w:t>
            </w:r>
          </w:p>
        </w:tc>
        <w:tc>
          <w:tcPr>
            <w:tcW w:w="861" w:type="dxa"/>
            <w:tcBorders>
              <w:top w:val="nil"/>
              <w:left w:val="nil"/>
              <w:bottom w:val="nil"/>
              <w:right w:val="single" w:sz="4" w:space="0" w:color="auto"/>
            </w:tcBorders>
            <w:shd w:val="clear" w:color="auto" w:fill="auto"/>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 </w:t>
            </w:r>
          </w:p>
        </w:tc>
      </w:tr>
      <w:tr w:rsidR="00C9289F" w:rsidRPr="000242CD" w:rsidTr="004203A9">
        <w:trPr>
          <w:trHeight w:val="166"/>
          <w:jc w:val="center"/>
        </w:trPr>
        <w:tc>
          <w:tcPr>
            <w:tcW w:w="5783" w:type="dxa"/>
            <w:tcBorders>
              <w:top w:val="nil"/>
              <w:left w:val="single" w:sz="4" w:space="0" w:color="auto"/>
              <w:right w:val="single" w:sz="4" w:space="0" w:color="auto"/>
            </w:tcBorders>
            <w:shd w:val="clear" w:color="auto" w:fill="auto"/>
            <w:vAlign w:val="center"/>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Giving enough time for checkup</w:t>
            </w:r>
          </w:p>
        </w:tc>
        <w:tc>
          <w:tcPr>
            <w:tcW w:w="919" w:type="dxa"/>
            <w:tcBorders>
              <w:top w:val="nil"/>
              <w:left w:val="single" w:sz="4" w:space="0" w:color="auto"/>
              <w:bottom w:val="nil"/>
              <w:right w:val="single" w:sz="4" w:space="0" w:color="auto"/>
            </w:tcBorders>
            <w:shd w:val="clear" w:color="auto" w:fill="auto"/>
            <w:noWrap/>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.815</w:t>
            </w:r>
          </w:p>
        </w:tc>
        <w:tc>
          <w:tcPr>
            <w:tcW w:w="835" w:type="dxa"/>
            <w:tcBorders>
              <w:top w:val="nil"/>
              <w:left w:val="single" w:sz="4" w:space="0" w:color="auto"/>
              <w:bottom w:val="nil"/>
              <w:right w:val="single" w:sz="4" w:space="0" w:color="000000"/>
            </w:tcBorders>
            <w:shd w:val="clear" w:color="auto" w:fill="auto"/>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 </w:t>
            </w:r>
          </w:p>
        </w:tc>
        <w:tc>
          <w:tcPr>
            <w:tcW w:w="861" w:type="dxa"/>
            <w:tcBorders>
              <w:top w:val="nil"/>
              <w:left w:val="nil"/>
              <w:bottom w:val="nil"/>
              <w:right w:val="single" w:sz="4" w:space="0" w:color="auto"/>
            </w:tcBorders>
            <w:shd w:val="clear" w:color="auto" w:fill="auto"/>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 </w:t>
            </w:r>
          </w:p>
        </w:tc>
      </w:tr>
      <w:tr w:rsidR="00C9289F" w:rsidRPr="000242CD" w:rsidTr="004203A9">
        <w:trPr>
          <w:trHeight w:val="199"/>
          <w:jc w:val="center"/>
        </w:trPr>
        <w:tc>
          <w:tcPr>
            <w:tcW w:w="5783" w:type="dxa"/>
            <w:tcBorders>
              <w:top w:val="nil"/>
              <w:left w:val="single" w:sz="4" w:space="0" w:color="auto"/>
              <w:right w:val="single" w:sz="4" w:space="0" w:color="auto"/>
            </w:tcBorders>
            <w:shd w:val="clear" w:color="auto" w:fill="auto"/>
            <w:vAlign w:val="center"/>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 xml:space="preserve">Patients are taken individual attention by health care provider     </w:t>
            </w:r>
          </w:p>
        </w:tc>
        <w:tc>
          <w:tcPr>
            <w:tcW w:w="919" w:type="dxa"/>
            <w:tcBorders>
              <w:top w:val="nil"/>
              <w:left w:val="single" w:sz="4" w:space="0" w:color="auto"/>
              <w:bottom w:val="nil"/>
              <w:right w:val="single" w:sz="4" w:space="0" w:color="auto"/>
            </w:tcBorders>
            <w:shd w:val="clear" w:color="auto" w:fill="auto"/>
            <w:noWrap/>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.802</w:t>
            </w:r>
          </w:p>
        </w:tc>
        <w:tc>
          <w:tcPr>
            <w:tcW w:w="835" w:type="dxa"/>
            <w:tcBorders>
              <w:top w:val="nil"/>
              <w:left w:val="single" w:sz="4" w:space="0" w:color="auto"/>
              <w:bottom w:val="nil"/>
              <w:right w:val="single" w:sz="4" w:space="0" w:color="000000"/>
            </w:tcBorders>
            <w:shd w:val="clear" w:color="auto" w:fill="auto"/>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 </w:t>
            </w:r>
          </w:p>
        </w:tc>
        <w:tc>
          <w:tcPr>
            <w:tcW w:w="861" w:type="dxa"/>
            <w:tcBorders>
              <w:top w:val="nil"/>
              <w:left w:val="nil"/>
              <w:bottom w:val="nil"/>
              <w:right w:val="single" w:sz="4" w:space="0" w:color="auto"/>
            </w:tcBorders>
            <w:shd w:val="clear" w:color="auto" w:fill="auto"/>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 </w:t>
            </w:r>
          </w:p>
        </w:tc>
      </w:tr>
      <w:tr w:rsidR="00C9289F" w:rsidRPr="000242CD" w:rsidTr="004203A9">
        <w:trPr>
          <w:trHeight w:val="133"/>
          <w:jc w:val="center"/>
        </w:trPr>
        <w:tc>
          <w:tcPr>
            <w:tcW w:w="5783" w:type="dxa"/>
            <w:tcBorders>
              <w:top w:val="nil"/>
              <w:left w:val="single" w:sz="4" w:space="0" w:color="auto"/>
              <w:right w:val="single" w:sz="4" w:space="0" w:color="auto"/>
            </w:tcBorders>
            <w:shd w:val="clear" w:color="auto" w:fill="auto"/>
            <w:noWrap/>
            <w:vAlign w:val="center"/>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Explain whom to contact in case the disease is worsening</w:t>
            </w:r>
          </w:p>
        </w:tc>
        <w:tc>
          <w:tcPr>
            <w:tcW w:w="919" w:type="dxa"/>
            <w:tcBorders>
              <w:top w:val="nil"/>
              <w:left w:val="single" w:sz="4" w:space="0" w:color="auto"/>
              <w:bottom w:val="nil"/>
              <w:right w:val="single" w:sz="4" w:space="0" w:color="auto"/>
            </w:tcBorders>
            <w:shd w:val="clear" w:color="auto" w:fill="auto"/>
            <w:noWrap/>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.795</w:t>
            </w:r>
          </w:p>
        </w:tc>
        <w:tc>
          <w:tcPr>
            <w:tcW w:w="835" w:type="dxa"/>
            <w:tcBorders>
              <w:top w:val="nil"/>
              <w:left w:val="single" w:sz="4" w:space="0" w:color="auto"/>
              <w:bottom w:val="nil"/>
              <w:right w:val="single" w:sz="4" w:space="0" w:color="000000"/>
            </w:tcBorders>
            <w:shd w:val="clear" w:color="auto" w:fill="auto"/>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 </w:t>
            </w:r>
          </w:p>
        </w:tc>
        <w:tc>
          <w:tcPr>
            <w:tcW w:w="861" w:type="dxa"/>
            <w:tcBorders>
              <w:top w:val="nil"/>
              <w:left w:val="nil"/>
              <w:bottom w:val="nil"/>
              <w:right w:val="single" w:sz="4" w:space="0" w:color="auto"/>
            </w:tcBorders>
            <w:shd w:val="clear" w:color="auto" w:fill="auto"/>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 </w:t>
            </w:r>
          </w:p>
        </w:tc>
      </w:tr>
      <w:tr w:rsidR="00C9289F" w:rsidRPr="000242CD" w:rsidTr="004203A9">
        <w:trPr>
          <w:trHeight w:val="59"/>
          <w:jc w:val="center"/>
        </w:trPr>
        <w:tc>
          <w:tcPr>
            <w:tcW w:w="5783" w:type="dxa"/>
            <w:tcBorders>
              <w:top w:val="nil"/>
              <w:left w:val="single" w:sz="4" w:space="0" w:color="auto"/>
              <w:right w:val="single" w:sz="4" w:space="0" w:color="auto"/>
            </w:tcBorders>
            <w:shd w:val="clear" w:color="000000" w:fill="FFFFFF"/>
            <w:vAlign w:val="center"/>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Staff understand patients’ specific need</w:t>
            </w:r>
          </w:p>
        </w:tc>
        <w:tc>
          <w:tcPr>
            <w:tcW w:w="919" w:type="dxa"/>
            <w:tcBorders>
              <w:top w:val="nil"/>
              <w:left w:val="single" w:sz="4" w:space="0" w:color="auto"/>
              <w:bottom w:val="nil"/>
              <w:right w:val="single" w:sz="4" w:space="0" w:color="auto"/>
            </w:tcBorders>
            <w:shd w:val="clear" w:color="auto" w:fill="auto"/>
            <w:noWrap/>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.779</w:t>
            </w:r>
          </w:p>
        </w:tc>
        <w:tc>
          <w:tcPr>
            <w:tcW w:w="835" w:type="dxa"/>
            <w:tcBorders>
              <w:top w:val="nil"/>
              <w:left w:val="single" w:sz="4" w:space="0" w:color="auto"/>
              <w:bottom w:val="nil"/>
              <w:right w:val="single" w:sz="4" w:space="0" w:color="000000"/>
            </w:tcBorders>
            <w:shd w:val="clear" w:color="auto" w:fill="auto"/>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 </w:t>
            </w:r>
          </w:p>
        </w:tc>
        <w:tc>
          <w:tcPr>
            <w:tcW w:w="861" w:type="dxa"/>
            <w:tcBorders>
              <w:top w:val="nil"/>
              <w:left w:val="nil"/>
              <w:bottom w:val="nil"/>
              <w:right w:val="single" w:sz="4" w:space="0" w:color="auto"/>
            </w:tcBorders>
            <w:shd w:val="clear" w:color="auto" w:fill="auto"/>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 </w:t>
            </w:r>
          </w:p>
        </w:tc>
      </w:tr>
      <w:tr w:rsidR="00C9289F" w:rsidRPr="000242CD" w:rsidTr="004203A9">
        <w:trPr>
          <w:trHeight w:val="66"/>
          <w:jc w:val="center"/>
        </w:trPr>
        <w:tc>
          <w:tcPr>
            <w:tcW w:w="5783" w:type="dxa"/>
            <w:tcBorders>
              <w:top w:val="nil"/>
              <w:left w:val="single" w:sz="4" w:space="0" w:color="auto"/>
              <w:right w:val="single" w:sz="4" w:space="0" w:color="auto"/>
            </w:tcBorders>
            <w:shd w:val="clear" w:color="auto" w:fill="auto"/>
            <w:vAlign w:val="center"/>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Providers involve patients in decisions regarding treatment</w:t>
            </w:r>
          </w:p>
        </w:tc>
        <w:tc>
          <w:tcPr>
            <w:tcW w:w="919" w:type="dxa"/>
            <w:tcBorders>
              <w:top w:val="nil"/>
              <w:left w:val="single" w:sz="4" w:space="0" w:color="auto"/>
              <w:bottom w:val="nil"/>
              <w:right w:val="single" w:sz="4" w:space="0" w:color="auto"/>
            </w:tcBorders>
            <w:shd w:val="clear" w:color="auto" w:fill="auto"/>
            <w:noWrap/>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.770</w:t>
            </w:r>
          </w:p>
        </w:tc>
        <w:tc>
          <w:tcPr>
            <w:tcW w:w="835" w:type="dxa"/>
            <w:tcBorders>
              <w:top w:val="nil"/>
              <w:left w:val="single" w:sz="4" w:space="0" w:color="auto"/>
              <w:bottom w:val="nil"/>
              <w:right w:val="single" w:sz="4" w:space="0" w:color="000000"/>
            </w:tcBorders>
            <w:shd w:val="clear" w:color="auto" w:fill="auto"/>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 </w:t>
            </w:r>
          </w:p>
        </w:tc>
        <w:tc>
          <w:tcPr>
            <w:tcW w:w="861" w:type="dxa"/>
            <w:tcBorders>
              <w:top w:val="nil"/>
              <w:left w:val="nil"/>
              <w:bottom w:val="nil"/>
              <w:right w:val="single" w:sz="4" w:space="0" w:color="auto"/>
            </w:tcBorders>
            <w:shd w:val="clear" w:color="auto" w:fill="auto"/>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 </w:t>
            </w:r>
          </w:p>
        </w:tc>
      </w:tr>
      <w:tr w:rsidR="00C9289F" w:rsidRPr="000242CD" w:rsidTr="004203A9">
        <w:trPr>
          <w:trHeight w:val="59"/>
          <w:jc w:val="center"/>
        </w:trPr>
        <w:tc>
          <w:tcPr>
            <w:tcW w:w="5783" w:type="dxa"/>
            <w:tcBorders>
              <w:top w:val="nil"/>
              <w:left w:val="single" w:sz="4" w:space="0" w:color="auto"/>
              <w:right w:val="single" w:sz="4" w:space="0" w:color="auto"/>
            </w:tcBorders>
            <w:shd w:val="clear" w:color="auto" w:fill="auto"/>
            <w:vAlign w:val="center"/>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Provider's explaining things could be understand</w:t>
            </w:r>
          </w:p>
        </w:tc>
        <w:tc>
          <w:tcPr>
            <w:tcW w:w="919" w:type="dxa"/>
            <w:tcBorders>
              <w:top w:val="nil"/>
              <w:left w:val="single" w:sz="4" w:space="0" w:color="auto"/>
              <w:bottom w:val="nil"/>
              <w:right w:val="single" w:sz="4" w:space="0" w:color="auto"/>
            </w:tcBorders>
            <w:shd w:val="clear" w:color="auto" w:fill="auto"/>
            <w:noWrap/>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.714</w:t>
            </w:r>
          </w:p>
        </w:tc>
        <w:tc>
          <w:tcPr>
            <w:tcW w:w="835" w:type="dxa"/>
            <w:tcBorders>
              <w:top w:val="nil"/>
              <w:left w:val="single" w:sz="4" w:space="0" w:color="auto"/>
              <w:bottom w:val="nil"/>
              <w:right w:val="single" w:sz="4" w:space="0" w:color="000000"/>
            </w:tcBorders>
            <w:shd w:val="clear" w:color="auto" w:fill="auto"/>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 </w:t>
            </w:r>
          </w:p>
        </w:tc>
        <w:tc>
          <w:tcPr>
            <w:tcW w:w="861" w:type="dxa"/>
            <w:tcBorders>
              <w:top w:val="nil"/>
              <w:left w:val="nil"/>
              <w:bottom w:val="nil"/>
              <w:right w:val="single" w:sz="4" w:space="0" w:color="auto"/>
            </w:tcBorders>
            <w:shd w:val="clear" w:color="auto" w:fill="auto"/>
            <w:noWrap/>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 </w:t>
            </w:r>
          </w:p>
        </w:tc>
      </w:tr>
      <w:tr w:rsidR="00C9289F" w:rsidRPr="000242CD" w:rsidTr="004203A9">
        <w:trPr>
          <w:trHeight w:val="66"/>
          <w:jc w:val="center"/>
        </w:trPr>
        <w:tc>
          <w:tcPr>
            <w:tcW w:w="5783" w:type="dxa"/>
            <w:tcBorders>
              <w:top w:val="nil"/>
              <w:left w:val="single" w:sz="4" w:space="0" w:color="auto"/>
              <w:right w:val="single" w:sz="4" w:space="0" w:color="auto"/>
            </w:tcBorders>
            <w:shd w:val="clear" w:color="auto" w:fill="auto"/>
            <w:vAlign w:val="center"/>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 xml:space="preserve">Maintenance of patient privacy and confidentiality </w:t>
            </w:r>
          </w:p>
        </w:tc>
        <w:tc>
          <w:tcPr>
            <w:tcW w:w="919" w:type="dxa"/>
            <w:tcBorders>
              <w:top w:val="nil"/>
              <w:left w:val="single" w:sz="4" w:space="0" w:color="auto"/>
              <w:bottom w:val="nil"/>
              <w:right w:val="single" w:sz="4" w:space="0" w:color="auto"/>
            </w:tcBorders>
            <w:shd w:val="clear" w:color="auto" w:fill="auto"/>
            <w:noWrap/>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.713</w:t>
            </w:r>
          </w:p>
        </w:tc>
        <w:tc>
          <w:tcPr>
            <w:tcW w:w="835" w:type="dxa"/>
            <w:tcBorders>
              <w:top w:val="nil"/>
              <w:left w:val="single" w:sz="4" w:space="0" w:color="auto"/>
              <w:bottom w:val="nil"/>
              <w:right w:val="single" w:sz="4" w:space="0" w:color="000000"/>
            </w:tcBorders>
            <w:shd w:val="clear" w:color="auto" w:fill="auto"/>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 </w:t>
            </w:r>
          </w:p>
        </w:tc>
        <w:tc>
          <w:tcPr>
            <w:tcW w:w="861" w:type="dxa"/>
            <w:tcBorders>
              <w:top w:val="nil"/>
              <w:left w:val="nil"/>
              <w:bottom w:val="nil"/>
              <w:right w:val="single" w:sz="4" w:space="0" w:color="auto"/>
            </w:tcBorders>
            <w:shd w:val="clear" w:color="auto" w:fill="auto"/>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 </w:t>
            </w:r>
          </w:p>
        </w:tc>
      </w:tr>
      <w:tr w:rsidR="00C9289F" w:rsidRPr="000242CD" w:rsidTr="004203A9">
        <w:trPr>
          <w:trHeight w:val="153"/>
          <w:jc w:val="center"/>
        </w:trPr>
        <w:tc>
          <w:tcPr>
            <w:tcW w:w="5783" w:type="dxa"/>
            <w:tcBorders>
              <w:top w:val="nil"/>
              <w:left w:val="single" w:sz="4" w:space="0" w:color="auto"/>
              <w:bottom w:val="single" w:sz="4" w:space="0" w:color="auto"/>
              <w:right w:val="single" w:sz="4" w:space="0" w:color="auto"/>
            </w:tcBorders>
            <w:shd w:val="clear" w:color="auto" w:fill="auto"/>
            <w:vAlign w:val="center"/>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Cooperate with patients' family</w:t>
            </w:r>
          </w:p>
        </w:tc>
        <w:tc>
          <w:tcPr>
            <w:tcW w:w="919" w:type="dxa"/>
            <w:tcBorders>
              <w:top w:val="nil"/>
              <w:left w:val="single" w:sz="4" w:space="0" w:color="auto"/>
              <w:bottom w:val="single" w:sz="4" w:space="0" w:color="auto"/>
              <w:right w:val="single" w:sz="4" w:space="0" w:color="auto"/>
            </w:tcBorders>
            <w:shd w:val="clear" w:color="auto" w:fill="auto"/>
            <w:noWrap/>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.679</w:t>
            </w:r>
          </w:p>
        </w:tc>
        <w:tc>
          <w:tcPr>
            <w:tcW w:w="835" w:type="dxa"/>
            <w:tcBorders>
              <w:top w:val="nil"/>
              <w:left w:val="single" w:sz="4" w:space="0" w:color="auto"/>
              <w:bottom w:val="single" w:sz="4" w:space="0" w:color="auto"/>
              <w:right w:val="single" w:sz="4" w:space="0" w:color="000000"/>
            </w:tcBorders>
            <w:shd w:val="clear" w:color="auto" w:fill="auto"/>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 </w:t>
            </w:r>
          </w:p>
        </w:tc>
        <w:tc>
          <w:tcPr>
            <w:tcW w:w="861" w:type="dxa"/>
            <w:tcBorders>
              <w:top w:val="nil"/>
              <w:left w:val="nil"/>
              <w:bottom w:val="nil"/>
              <w:right w:val="single" w:sz="4" w:space="0" w:color="auto"/>
            </w:tcBorders>
            <w:shd w:val="clear" w:color="auto" w:fill="auto"/>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 </w:t>
            </w:r>
          </w:p>
        </w:tc>
      </w:tr>
      <w:tr w:rsidR="00C9289F" w:rsidRPr="000242CD" w:rsidTr="004203A9">
        <w:trPr>
          <w:trHeight w:val="79"/>
          <w:jc w:val="center"/>
        </w:trPr>
        <w:tc>
          <w:tcPr>
            <w:tcW w:w="5783" w:type="dxa"/>
            <w:tcBorders>
              <w:top w:val="single" w:sz="4" w:space="0" w:color="auto"/>
              <w:left w:val="single" w:sz="4" w:space="0" w:color="auto"/>
              <w:right w:val="single" w:sz="4" w:space="0" w:color="auto"/>
            </w:tcBorders>
            <w:shd w:val="clear" w:color="auto" w:fill="auto"/>
            <w:vAlign w:val="center"/>
          </w:tcPr>
          <w:p w:rsidR="00C9289F" w:rsidRPr="000242CD" w:rsidRDefault="00C9289F" w:rsidP="000242CD">
            <w:pPr>
              <w:spacing w:line="240" w:lineRule="auto"/>
              <w:jc w:val="both"/>
              <w:rPr>
                <w:rFonts w:eastAsia="Times New Roman"/>
                <w:b/>
                <w:color w:val="000000"/>
              </w:rPr>
            </w:pPr>
            <w:r w:rsidRPr="000242CD">
              <w:rPr>
                <w:rFonts w:eastAsia="Times New Roman"/>
                <w:b/>
                <w:color w:val="000000"/>
              </w:rPr>
              <w:t>Cleanliness</w:t>
            </w:r>
          </w:p>
        </w:tc>
        <w:tc>
          <w:tcPr>
            <w:tcW w:w="919" w:type="dxa"/>
            <w:tcBorders>
              <w:top w:val="single" w:sz="4" w:space="0" w:color="auto"/>
              <w:left w:val="single" w:sz="4" w:space="0" w:color="auto"/>
              <w:right w:val="single" w:sz="4" w:space="0" w:color="auto"/>
            </w:tcBorders>
            <w:shd w:val="clear" w:color="auto" w:fill="auto"/>
            <w:noWrap/>
          </w:tcPr>
          <w:p w:rsidR="00C9289F" w:rsidRPr="000242CD" w:rsidRDefault="00C9289F" w:rsidP="000242CD">
            <w:pPr>
              <w:spacing w:line="240" w:lineRule="auto"/>
              <w:jc w:val="both"/>
              <w:rPr>
                <w:rFonts w:eastAsia="Times New Roman"/>
                <w:color w:val="000000"/>
              </w:rPr>
            </w:pPr>
          </w:p>
        </w:tc>
        <w:tc>
          <w:tcPr>
            <w:tcW w:w="835" w:type="dxa"/>
            <w:tcBorders>
              <w:top w:val="single" w:sz="4" w:space="0" w:color="auto"/>
              <w:left w:val="single" w:sz="4" w:space="0" w:color="auto"/>
              <w:right w:val="single" w:sz="4" w:space="0" w:color="000000"/>
            </w:tcBorders>
            <w:shd w:val="clear" w:color="auto" w:fill="auto"/>
          </w:tcPr>
          <w:p w:rsidR="00C9289F" w:rsidRPr="000242CD" w:rsidRDefault="00C9289F" w:rsidP="000242CD">
            <w:pPr>
              <w:spacing w:line="240" w:lineRule="auto"/>
              <w:jc w:val="both"/>
              <w:rPr>
                <w:rFonts w:eastAsia="Times New Roman"/>
                <w:color w:val="000000"/>
              </w:rPr>
            </w:pPr>
          </w:p>
        </w:tc>
        <w:tc>
          <w:tcPr>
            <w:tcW w:w="861" w:type="dxa"/>
            <w:tcBorders>
              <w:top w:val="nil"/>
              <w:left w:val="nil"/>
              <w:bottom w:val="nil"/>
              <w:right w:val="single" w:sz="4" w:space="0" w:color="auto"/>
            </w:tcBorders>
            <w:shd w:val="clear" w:color="auto" w:fill="auto"/>
          </w:tcPr>
          <w:p w:rsidR="00C9289F" w:rsidRPr="000242CD" w:rsidRDefault="00C9289F" w:rsidP="000242CD">
            <w:pPr>
              <w:spacing w:line="240" w:lineRule="auto"/>
              <w:jc w:val="both"/>
              <w:rPr>
                <w:rFonts w:eastAsia="Times New Roman"/>
                <w:color w:val="000000"/>
              </w:rPr>
            </w:pPr>
          </w:p>
        </w:tc>
      </w:tr>
      <w:tr w:rsidR="00C9289F" w:rsidRPr="000242CD" w:rsidTr="004203A9">
        <w:trPr>
          <w:trHeight w:val="170"/>
          <w:jc w:val="center"/>
        </w:trPr>
        <w:tc>
          <w:tcPr>
            <w:tcW w:w="5783" w:type="dxa"/>
            <w:tcBorders>
              <w:left w:val="single" w:sz="4" w:space="0" w:color="auto"/>
              <w:right w:val="single" w:sz="4" w:space="0" w:color="auto"/>
            </w:tcBorders>
            <w:shd w:val="clear" w:color="auto" w:fill="auto"/>
            <w:vAlign w:val="center"/>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Cleanliness in wards / rooms</w:t>
            </w:r>
          </w:p>
        </w:tc>
        <w:tc>
          <w:tcPr>
            <w:tcW w:w="919" w:type="dxa"/>
            <w:tcBorders>
              <w:left w:val="single" w:sz="4" w:space="0" w:color="auto"/>
              <w:bottom w:val="nil"/>
              <w:right w:val="single" w:sz="4" w:space="0" w:color="000000"/>
            </w:tcBorders>
            <w:shd w:val="clear" w:color="auto" w:fill="auto"/>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 </w:t>
            </w:r>
          </w:p>
        </w:tc>
        <w:tc>
          <w:tcPr>
            <w:tcW w:w="835" w:type="dxa"/>
            <w:tcBorders>
              <w:left w:val="nil"/>
              <w:bottom w:val="nil"/>
              <w:right w:val="single" w:sz="4" w:space="0" w:color="auto"/>
            </w:tcBorders>
            <w:shd w:val="clear" w:color="auto" w:fill="auto"/>
            <w:noWrap/>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.819</w:t>
            </w:r>
          </w:p>
        </w:tc>
        <w:tc>
          <w:tcPr>
            <w:tcW w:w="861" w:type="dxa"/>
            <w:tcBorders>
              <w:top w:val="nil"/>
              <w:left w:val="single" w:sz="4" w:space="0" w:color="auto"/>
              <w:bottom w:val="nil"/>
              <w:right w:val="single" w:sz="4" w:space="0" w:color="auto"/>
            </w:tcBorders>
            <w:shd w:val="clear" w:color="auto" w:fill="auto"/>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 </w:t>
            </w:r>
          </w:p>
        </w:tc>
      </w:tr>
      <w:tr w:rsidR="00C9289F" w:rsidRPr="000242CD" w:rsidTr="004203A9">
        <w:trPr>
          <w:trHeight w:val="170"/>
          <w:jc w:val="center"/>
        </w:trPr>
        <w:tc>
          <w:tcPr>
            <w:tcW w:w="5783" w:type="dxa"/>
            <w:tcBorders>
              <w:top w:val="nil"/>
              <w:left w:val="single" w:sz="4" w:space="0" w:color="auto"/>
              <w:bottom w:val="single" w:sz="4" w:space="0" w:color="auto"/>
              <w:right w:val="single" w:sz="4" w:space="0" w:color="auto"/>
            </w:tcBorders>
            <w:shd w:val="clear" w:color="auto" w:fill="auto"/>
            <w:vAlign w:val="center"/>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Cleanliness of toilets</w:t>
            </w:r>
          </w:p>
        </w:tc>
        <w:tc>
          <w:tcPr>
            <w:tcW w:w="919" w:type="dxa"/>
            <w:tcBorders>
              <w:top w:val="nil"/>
              <w:left w:val="single" w:sz="4" w:space="0" w:color="auto"/>
              <w:bottom w:val="single" w:sz="4" w:space="0" w:color="auto"/>
              <w:right w:val="single" w:sz="4" w:space="0" w:color="000000"/>
            </w:tcBorders>
            <w:shd w:val="clear" w:color="auto" w:fill="auto"/>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 </w:t>
            </w:r>
          </w:p>
        </w:tc>
        <w:tc>
          <w:tcPr>
            <w:tcW w:w="835" w:type="dxa"/>
            <w:tcBorders>
              <w:top w:val="nil"/>
              <w:left w:val="nil"/>
              <w:bottom w:val="single" w:sz="4" w:space="0" w:color="auto"/>
              <w:right w:val="single" w:sz="4" w:space="0" w:color="auto"/>
            </w:tcBorders>
            <w:shd w:val="clear" w:color="auto" w:fill="auto"/>
            <w:noWrap/>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.811</w:t>
            </w:r>
          </w:p>
        </w:tc>
        <w:tc>
          <w:tcPr>
            <w:tcW w:w="861" w:type="dxa"/>
            <w:tcBorders>
              <w:top w:val="nil"/>
              <w:left w:val="single" w:sz="4" w:space="0" w:color="auto"/>
              <w:bottom w:val="single" w:sz="4" w:space="0" w:color="auto"/>
              <w:right w:val="single" w:sz="4" w:space="0" w:color="auto"/>
            </w:tcBorders>
            <w:shd w:val="clear" w:color="auto" w:fill="auto"/>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 </w:t>
            </w:r>
          </w:p>
        </w:tc>
      </w:tr>
      <w:tr w:rsidR="00C9289F" w:rsidRPr="000242CD" w:rsidTr="004203A9">
        <w:trPr>
          <w:trHeight w:val="170"/>
          <w:jc w:val="center"/>
        </w:trPr>
        <w:tc>
          <w:tcPr>
            <w:tcW w:w="5783" w:type="dxa"/>
            <w:tcBorders>
              <w:top w:val="single" w:sz="4" w:space="0" w:color="auto"/>
              <w:left w:val="single" w:sz="4" w:space="0" w:color="auto"/>
              <w:right w:val="single" w:sz="4" w:space="0" w:color="auto"/>
            </w:tcBorders>
            <w:shd w:val="clear" w:color="auto" w:fill="auto"/>
            <w:vAlign w:val="center"/>
          </w:tcPr>
          <w:p w:rsidR="00C9289F" w:rsidRPr="000242CD" w:rsidRDefault="00C9289F" w:rsidP="000242CD">
            <w:pPr>
              <w:spacing w:line="240" w:lineRule="auto"/>
              <w:jc w:val="both"/>
              <w:rPr>
                <w:rFonts w:eastAsia="Times New Roman"/>
                <w:b/>
                <w:color w:val="000000"/>
              </w:rPr>
            </w:pPr>
            <w:r w:rsidRPr="000242CD">
              <w:rPr>
                <w:rFonts w:eastAsia="Times New Roman"/>
                <w:b/>
                <w:color w:val="000000"/>
              </w:rPr>
              <w:t>Infrastructure</w:t>
            </w:r>
          </w:p>
        </w:tc>
        <w:tc>
          <w:tcPr>
            <w:tcW w:w="919" w:type="dxa"/>
            <w:tcBorders>
              <w:top w:val="single" w:sz="4" w:space="0" w:color="auto"/>
              <w:left w:val="single" w:sz="4" w:space="0" w:color="auto"/>
              <w:right w:val="single" w:sz="4" w:space="0" w:color="000000"/>
            </w:tcBorders>
            <w:shd w:val="clear" w:color="auto" w:fill="auto"/>
          </w:tcPr>
          <w:p w:rsidR="00C9289F" w:rsidRPr="000242CD" w:rsidRDefault="00C9289F" w:rsidP="000242CD">
            <w:pPr>
              <w:spacing w:line="240" w:lineRule="auto"/>
              <w:jc w:val="both"/>
              <w:rPr>
                <w:rFonts w:eastAsia="Times New Roman"/>
                <w:color w:val="000000"/>
              </w:rPr>
            </w:pPr>
          </w:p>
        </w:tc>
        <w:tc>
          <w:tcPr>
            <w:tcW w:w="835" w:type="dxa"/>
            <w:tcBorders>
              <w:top w:val="single" w:sz="4" w:space="0" w:color="auto"/>
              <w:left w:val="nil"/>
              <w:right w:val="single" w:sz="4" w:space="0" w:color="auto"/>
            </w:tcBorders>
            <w:shd w:val="clear" w:color="auto" w:fill="auto"/>
            <w:noWrap/>
          </w:tcPr>
          <w:p w:rsidR="00C9289F" w:rsidRPr="000242CD" w:rsidRDefault="00C9289F" w:rsidP="000242CD">
            <w:pPr>
              <w:spacing w:line="240" w:lineRule="auto"/>
              <w:jc w:val="both"/>
              <w:rPr>
                <w:rFonts w:eastAsia="Times New Roman"/>
                <w:color w:val="000000"/>
              </w:rPr>
            </w:pPr>
          </w:p>
        </w:tc>
        <w:tc>
          <w:tcPr>
            <w:tcW w:w="861" w:type="dxa"/>
            <w:tcBorders>
              <w:top w:val="single" w:sz="4" w:space="0" w:color="auto"/>
              <w:left w:val="single" w:sz="4" w:space="0" w:color="auto"/>
              <w:right w:val="single" w:sz="4" w:space="0" w:color="auto"/>
            </w:tcBorders>
            <w:shd w:val="clear" w:color="auto" w:fill="auto"/>
          </w:tcPr>
          <w:p w:rsidR="00C9289F" w:rsidRPr="000242CD" w:rsidRDefault="00C9289F" w:rsidP="000242CD">
            <w:pPr>
              <w:spacing w:line="240" w:lineRule="auto"/>
              <w:jc w:val="both"/>
              <w:rPr>
                <w:rFonts w:eastAsia="Times New Roman"/>
                <w:color w:val="000000"/>
              </w:rPr>
            </w:pPr>
          </w:p>
        </w:tc>
      </w:tr>
      <w:tr w:rsidR="00C9289F" w:rsidRPr="000242CD" w:rsidTr="004203A9">
        <w:trPr>
          <w:trHeight w:val="170"/>
          <w:jc w:val="center"/>
        </w:trPr>
        <w:tc>
          <w:tcPr>
            <w:tcW w:w="5783" w:type="dxa"/>
            <w:tcBorders>
              <w:left w:val="single" w:sz="4" w:space="0" w:color="auto"/>
              <w:right w:val="single" w:sz="4" w:space="0" w:color="auto"/>
            </w:tcBorders>
            <w:shd w:val="clear" w:color="auto" w:fill="auto"/>
            <w:vAlign w:val="center"/>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Availability of Bedding Facilities</w:t>
            </w:r>
          </w:p>
        </w:tc>
        <w:tc>
          <w:tcPr>
            <w:tcW w:w="919" w:type="dxa"/>
            <w:tcBorders>
              <w:left w:val="single" w:sz="4" w:space="0" w:color="auto"/>
              <w:bottom w:val="nil"/>
              <w:right w:val="single" w:sz="4" w:space="0" w:color="000000"/>
            </w:tcBorders>
            <w:shd w:val="clear" w:color="auto" w:fill="auto"/>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 </w:t>
            </w:r>
          </w:p>
        </w:tc>
        <w:tc>
          <w:tcPr>
            <w:tcW w:w="835" w:type="dxa"/>
            <w:tcBorders>
              <w:left w:val="nil"/>
              <w:bottom w:val="nil"/>
              <w:right w:val="single" w:sz="4" w:space="0" w:color="000000"/>
            </w:tcBorders>
            <w:shd w:val="clear" w:color="auto" w:fill="auto"/>
            <w:noWrap/>
            <w:hideMark/>
          </w:tcPr>
          <w:p w:rsidR="00C9289F" w:rsidRPr="000242CD" w:rsidRDefault="00C9289F" w:rsidP="000242CD">
            <w:pPr>
              <w:spacing w:line="240" w:lineRule="auto"/>
              <w:jc w:val="both"/>
              <w:rPr>
                <w:rFonts w:eastAsia="Times New Roman"/>
                <w:color w:val="000000"/>
              </w:rPr>
            </w:pPr>
          </w:p>
        </w:tc>
        <w:tc>
          <w:tcPr>
            <w:tcW w:w="861" w:type="dxa"/>
            <w:tcBorders>
              <w:left w:val="nil"/>
              <w:bottom w:val="nil"/>
              <w:right w:val="single" w:sz="4" w:space="0" w:color="auto"/>
            </w:tcBorders>
            <w:shd w:val="clear" w:color="auto" w:fill="auto"/>
            <w:noWrap/>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.749</w:t>
            </w:r>
          </w:p>
        </w:tc>
      </w:tr>
      <w:tr w:rsidR="00C9289F" w:rsidRPr="000242CD" w:rsidTr="004203A9">
        <w:trPr>
          <w:trHeight w:val="70"/>
          <w:jc w:val="center"/>
        </w:trPr>
        <w:tc>
          <w:tcPr>
            <w:tcW w:w="5783" w:type="dxa"/>
            <w:tcBorders>
              <w:top w:val="nil"/>
              <w:left w:val="single" w:sz="4" w:space="0" w:color="auto"/>
              <w:right w:val="single" w:sz="4" w:space="0" w:color="auto"/>
            </w:tcBorders>
            <w:shd w:val="clear" w:color="auto" w:fill="auto"/>
            <w:vAlign w:val="center"/>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In time delivery of reports/ service</w:t>
            </w:r>
          </w:p>
        </w:tc>
        <w:tc>
          <w:tcPr>
            <w:tcW w:w="919" w:type="dxa"/>
            <w:tcBorders>
              <w:top w:val="nil"/>
              <w:left w:val="single" w:sz="4" w:space="0" w:color="auto"/>
              <w:bottom w:val="nil"/>
              <w:right w:val="single" w:sz="4" w:space="0" w:color="000000"/>
            </w:tcBorders>
            <w:shd w:val="clear" w:color="auto" w:fill="auto"/>
            <w:noWrap/>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 </w:t>
            </w:r>
          </w:p>
        </w:tc>
        <w:tc>
          <w:tcPr>
            <w:tcW w:w="835" w:type="dxa"/>
            <w:tcBorders>
              <w:top w:val="nil"/>
              <w:left w:val="nil"/>
              <w:bottom w:val="nil"/>
              <w:right w:val="single" w:sz="4" w:space="0" w:color="000000"/>
            </w:tcBorders>
            <w:shd w:val="clear" w:color="auto" w:fill="auto"/>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 </w:t>
            </w:r>
          </w:p>
        </w:tc>
        <w:tc>
          <w:tcPr>
            <w:tcW w:w="861" w:type="dxa"/>
            <w:tcBorders>
              <w:top w:val="nil"/>
              <w:left w:val="nil"/>
              <w:bottom w:val="nil"/>
              <w:right w:val="single" w:sz="4" w:space="0" w:color="auto"/>
            </w:tcBorders>
            <w:shd w:val="clear" w:color="auto" w:fill="auto"/>
            <w:noWrap/>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.652</w:t>
            </w:r>
          </w:p>
        </w:tc>
      </w:tr>
      <w:tr w:rsidR="00C9289F" w:rsidRPr="000242CD" w:rsidTr="004203A9">
        <w:trPr>
          <w:trHeight w:val="219"/>
          <w:jc w:val="center"/>
        </w:trPr>
        <w:tc>
          <w:tcPr>
            <w:tcW w:w="5783" w:type="dxa"/>
            <w:tcBorders>
              <w:top w:val="nil"/>
              <w:left w:val="single" w:sz="4" w:space="0" w:color="auto"/>
              <w:bottom w:val="single" w:sz="4" w:space="0" w:color="auto"/>
              <w:right w:val="single" w:sz="4" w:space="0" w:color="auto"/>
            </w:tcBorders>
            <w:shd w:val="clear" w:color="auto" w:fill="auto"/>
            <w:vAlign w:val="center"/>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Level of availability of required drugs on time</w:t>
            </w:r>
          </w:p>
        </w:tc>
        <w:tc>
          <w:tcPr>
            <w:tcW w:w="919" w:type="dxa"/>
            <w:tcBorders>
              <w:top w:val="nil"/>
              <w:left w:val="single" w:sz="4" w:space="0" w:color="auto"/>
              <w:bottom w:val="single" w:sz="4" w:space="0" w:color="auto"/>
              <w:right w:val="single" w:sz="4" w:space="0" w:color="000000"/>
            </w:tcBorders>
            <w:shd w:val="clear" w:color="auto" w:fill="auto"/>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 </w:t>
            </w:r>
          </w:p>
        </w:tc>
        <w:tc>
          <w:tcPr>
            <w:tcW w:w="835" w:type="dxa"/>
            <w:tcBorders>
              <w:top w:val="nil"/>
              <w:left w:val="nil"/>
              <w:bottom w:val="single" w:sz="4" w:space="0" w:color="auto"/>
              <w:right w:val="single" w:sz="4" w:space="0" w:color="000000"/>
            </w:tcBorders>
            <w:shd w:val="clear" w:color="auto" w:fill="auto"/>
            <w:noWrap/>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 </w:t>
            </w:r>
          </w:p>
        </w:tc>
        <w:tc>
          <w:tcPr>
            <w:tcW w:w="861" w:type="dxa"/>
            <w:tcBorders>
              <w:top w:val="nil"/>
              <w:left w:val="nil"/>
              <w:bottom w:val="single" w:sz="4" w:space="0" w:color="auto"/>
              <w:right w:val="single" w:sz="4" w:space="0" w:color="auto"/>
            </w:tcBorders>
            <w:shd w:val="clear" w:color="auto" w:fill="auto"/>
            <w:noWrap/>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.652</w:t>
            </w:r>
          </w:p>
        </w:tc>
      </w:tr>
      <w:tr w:rsidR="00C9289F" w:rsidRPr="000242CD" w:rsidTr="004203A9">
        <w:trPr>
          <w:trHeight w:val="176"/>
          <w:jc w:val="center"/>
        </w:trPr>
        <w:tc>
          <w:tcPr>
            <w:tcW w:w="8401" w:type="dxa"/>
            <w:gridSpan w:val="4"/>
            <w:tcBorders>
              <w:top w:val="single" w:sz="4" w:space="0" w:color="auto"/>
              <w:left w:val="nil"/>
              <w:bottom w:val="nil"/>
              <w:right w:val="nil"/>
            </w:tcBorders>
            <w:shd w:val="clear" w:color="auto" w:fill="auto"/>
            <w:hideMark/>
          </w:tcPr>
          <w:p w:rsidR="00C9289F" w:rsidRPr="000242CD" w:rsidRDefault="00C9289F" w:rsidP="000242CD">
            <w:pPr>
              <w:spacing w:line="240" w:lineRule="auto"/>
              <w:jc w:val="both"/>
              <w:rPr>
                <w:rFonts w:eastAsia="Times New Roman"/>
                <w:color w:val="000000"/>
              </w:rPr>
            </w:pPr>
            <w:r w:rsidRPr="000242CD">
              <w:rPr>
                <w:rFonts w:eastAsia="Times New Roman"/>
                <w:color w:val="000000"/>
              </w:rPr>
              <w:t xml:space="preserve">Extraction Method: Principal Component Analysis. </w:t>
            </w:r>
          </w:p>
          <w:p w:rsidR="00C9289F" w:rsidRPr="000242CD" w:rsidRDefault="00C9289F" w:rsidP="000242CD">
            <w:pPr>
              <w:spacing w:line="240" w:lineRule="auto"/>
              <w:jc w:val="both"/>
              <w:rPr>
                <w:rFonts w:eastAsia="Times New Roman"/>
                <w:color w:val="000000"/>
              </w:rPr>
            </w:pPr>
            <w:r w:rsidRPr="000242CD">
              <w:rPr>
                <w:rFonts w:eastAsia="Times New Roman"/>
                <w:color w:val="000000"/>
              </w:rPr>
              <w:t>Rotation Method: Varimax with Kaiser Normalization.</w:t>
            </w:r>
          </w:p>
        </w:tc>
      </w:tr>
      <w:tr w:rsidR="00C9289F" w:rsidRPr="000242CD" w:rsidTr="004203A9">
        <w:trPr>
          <w:trHeight w:val="59"/>
          <w:jc w:val="center"/>
        </w:trPr>
        <w:tc>
          <w:tcPr>
            <w:tcW w:w="8401" w:type="dxa"/>
            <w:gridSpan w:val="4"/>
            <w:tcBorders>
              <w:top w:val="nil"/>
              <w:left w:val="nil"/>
              <w:bottom w:val="nil"/>
              <w:right w:val="nil"/>
            </w:tcBorders>
            <w:shd w:val="clear" w:color="auto" w:fill="auto"/>
            <w:hideMark/>
          </w:tcPr>
          <w:p w:rsidR="00C9289F" w:rsidRPr="000242CD" w:rsidRDefault="00C9289F" w:rsidP="000242CD">
            <w:pPr>
              <w:spacing w:line="240" w:lineRule="auto"/>
              <w:jc w:val="both"/>
              <w:rPr>
                <w:rFonts w:eastAsia="Times New Roman"/>
                <w:color w:val="000000"/>
              </w:rPr>
            </w:pPr>
          </w:p>
        </w:tc>
      </w:tr>
    </w:tbl>
    <w:p w:rsidR="00C9289F" w:rsidRPr="000242CD" w:rsidRDefault="00C9289F" w:rsidP="004203A9">
      <w:pPr>
        <w:spacing w:line="240" w:lineRule="auto"/>
        <w:jc w:val="center"/>
        <w:rPr>
          <w:b/>
          <w:bCs/>
        </w:rPr>
      </w:pPr>
      <w:r w:rsidRPr="000242CD">
        <w:rPr>
          <w:b/>
        </w:rPr>
        <w:lastRenderedPageBreak/>
        <w:t xml:space="preserve">Table4: </w:t>
      </w:r>
      <w:r w:rsidRPr="000242CD">
        <w:rPr>
          <w:b/>
          <w:bCs/>
        </w:rPr>
        <w:t>Descriptive Statistics of Components of Healthcare Quality and Measurements Results</w:t>
      </w:r>
    </w:p>
    <w:tbl>
      <w:tblPr>
        <w:tblpPr w:leftFromText="180" w:rightFromText="180" w:vertAnchor="page" w:horzAnchor="margin" w:tblpXSpec="center" w:tblpY="1996"/>
        <w:tblW w:w="6750" w:type="dxa"/>
        <w:tblLook w:val="04A0" w:firstRow="1" w:lastRow="0" w:firstColumn="1" w:lastColumn="0" w:noHBand="0" w:noVBand="1"/>
      </w:tblPr>
      <w:tblGrid>
        <w:gridCol w:w="2862"/>
        <w:gridCol w:w="1188"/>
        <w:gridCol w:w="1264"/>
        <w:gridCol w:w="1436"/>
      </w:tblGrid>
      <w:tr w:rsidR="001716EE" w:rsidRPr="000242CD" w:rsidTr="001716EE">
        <w:trPr>
          <w:trHeight w:val="350"/>
        </w:trPr>
        <w:tc>
          <w:tcPr>
            <w:tcW w:w="28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16EE" w:rsidRPr="000242CD" w:rsidRDefault="001716EE" w:rsidP="004203A9">
            <w:pPr>
              <w:spacing w:line="240" w:lineRule="auto"/>
              <w:jc w:val="center"/>
              <w:rPr>
                <w:rFonts w:eastAsia="Times New Roman"/>
                <w:b/>
                <w:bCs/>
                <w:color w:val="000000"/>
              </w:rPr>
            </w:pPr>
            <w:r w:rsidRPr="000242CD">
              <w:rPr>
                <w:b/>
                <w:bCs/>
                <w:color w:val="000000"/>
              </w:rPr>
              <w:t>Services</w:t>
            </w:r>
          </w:p>
        </w:tc>
        <w:tc>
          <w:tcPr>
            <w:tcW w:w="1188" w:type="dxa"/>
            <w:tcBorders>
              <w:top w:val="single" w:sz="4" w:space="0" w:color="auto"/>
              <w:left w:val="nil"/>
              <w:bottom w:val="single" w:sz="4" w:space="0" w:color="auto"/>
              <w:right w:val="single" w:sz="4" w:space="0" w:color="auto"/>
            </w:tcBorders>
            <w:shd w:val="clear" w:color="auto" w:fill="auto"/>
            <w:vAlign w:val="center"/>
            <w:hideMark/>
          </w:tcPr>
          <w:p w:rsidR="001716EE" w:rsidRPr="000242CD" w:rsidRDefault="001716EE" w:rsidP="004203A9">
            <w:pPr>
              <w:spacing w:line="240" w:lineRule="auto"/>
              <w:jc w:val="center"/>
              <w:rPr>
                <w:b/>
                <w:bCs/>
                <w:color w:val="000000"/>
              </w:rPr>
            </w:pPr>
            <w:r w:rsidRPr="000242CD">
              <w:rPr>
                <w:b/>
                <w:bCs/>
                <w:color w:val="000000"/>
              </w:rPr>
              <w:t>Mean</w:t>
            </w:r>
          </w:p>
        </w:tc>
        <w:tc>
          <w:tcPr>
            <w:tcW w:w="1264" w:type="dxa"/>
            <w:tcBorders>
              <w:top w:val="single" w:sz="4" w:space="0" w:color="auto"/>
              <w:left w:val="nil"/>
              <w:bottom w:val="single" w:sz="4" w:space="0" w:color="auto"/>
              <w:right w:val="single" w:sz="4" w:space="0" w:color="auto"/>
            </w:tcBorders>
            <w:shd w:val="clear" w:color="auto" w:fill="auto"/>
            <w:vAlign w:val="center"/>
            <w:hideMark/>
          </w:tcPr>
          <w:p w:rsidR="001716EE" w:rsidRPr="000242CD" w:rsidRDefault="001716EE" w:rsidP="004203A9">
            <w:pPr>
              <w:spacing w:line="240" w:lineRule="auto"/>
              <w:jc w:val="center"/>
              <w:rPr>
                <w:b/>
                <w:bCs/>
                <w:color w:val="000000"/>
              </w:rPr>
            </w:pPr>
            <w:r w:rsidRPr="000242CD">
              <w:rPr>
                <w:b/>
                <w:bCs/>
                <w:color w:val="000000"/>
              </w:rPr>
              <w:t>Std. Deviation</w:t>
            </w:r>
          </w:p>
        </w:tc>
        <w:tc>
          <w:tcPr>
            <w:tcW w:w="1436" w:type="dxa"/>
            <w:tcBorders>
              <w:top w:val="single" w:sz="4" w:space="0" w:color="auto"/>
              <w:left w:val="nil"/>
              <w:bottom w:val="single" w:sz="4" w:space="0" w:color="auto"/>
              <w:right w:val="single" w:sz="4" w:space="0" w:color="auto"/>
            </w:tcBorders>
            <w:shd w:val="clear" w:color="auto" w:fill="auto"/>
            <w:vAlign w:val="center"/>
            <w:hideMark/>
          </w:tcPr>
          <w:p w:rsidR="001716EE" w:rsidRPr="000242CD" w:rsidRDefault="001716EE" w:rsidP="004203A9">
            <w:pPr>
              <w:spacing w:line="240" w:lineRule="auto"/>
              <w:jc w:val="center"/>
              <w:rPr>
                <w:b/>
                <w:bCs/>
                <w:color w:val="000000"/>
              </w:rPr>
            </w:pPr>
            <w:r w:rsidRPr="000242CD">
              <w:rPr>
                <w:b/>
                <w:bCs/>
                <w:color w:val="000000"/>
              </w:rPr>
              <w:t>Cronbach's Alpha</w:t>
            </w:r>
          </w:p>
        </w:tc>
      </w:tr>
      <w:tr w:rsidR="001716EE" w:rsidRPr="000242CD" w:rsidTr="001716EE">
        <w:trPr>
          <w:trHeight w:val="167"/>
        </w:trPr>
        <w:tc>
          <w:tcPr>
            <w:tcW w:w="2862" w:type="dxa"/>
            <w:tcBorders>
              <w:top w:val="nil"/>
              <w:left w:val="single" w:sz="4" w:space="0" w:color="auto"/>
              <w:bottom w:val="single" w:sz="4" w:space="0" w:color="auto"/>
              <w:right w:val="single" w:sz="4" w:space="0" w:color="auto"/>
            </w:tcBorders>
            <w:shd w:val="clear" w:color="auto" w:fill="auto"/>
            <w:vAlign w:val="center"/>
            <w:hideMark/>
          </w:tcPr>
          <w:p w:rsidR="001716EE" w:rsidRPr="000242CD" w:rsidRDefault="001716EE" w:rsidP="004203A9">
            <w:pPr>
              <w:spacing w:line="240" w:lineRule="auto"/>
              <w:jc w:val="center"/>
              <w:rPr>
                <w:b/>
                <w:bCs/>
                <w:color w:val="000000"/>
              </w:rPr>
            </w:pPr>
            <w:r w:rsidRPr="000242CD">
              <w:rPr>
                <w:b/>
                <w:bCs/>
                <w:color w:val="000000"/>
              </w:rPr>
              <w:t>Responsiveness</w:t>
            </w:r>
          </w:p>
        </w:tc>
        <w:tc>
          <w:tcPr>
            <w:tcW w:w="1188" w:type="dxa"/>
            <w:tcBorders>
              <w:top w:val="nil"/>
              <w:left w:val="nil"/>
              <w:bottom w:val="single" w:sz="4" w:space="0" w:color="auto"/>
              <w:right w:val="single" w:sz="4" w:space="0" w:color="auto"/>
            </w:tcBorders>
            <w:shd w:val="clear" w:color="auto" w:fill="auto"/>
            <w:noWrap/>
            <w:vAlign w:val="center"/>
            <w:hideMark/>
          </w:tcPr>
          <w:p w:rsidR="001716EE" w:rsidRPr="000242CD" w:rsidRDefault="001716EE" w:rsidP="004203A9">
            <w:pPr>
              <w:spacing w:line="240" w:lineRule="auto"/>
              <w:jc w:val="center"/>
              <w:rPr>
                <w:color w:val="000000"/>
              </w:rPr>
            </w:pPr>
            <w:r w:rsidRPr="000242CD">
              <w:rPr>
                <w:color w:val="000000"/>
              </w:rPr>
              <w:t>4.231</w:t>
            </w:r>
          </w:p>
        </w:tc>
        <w:tc>
          <w:tcPr>
            <w:tcW w:w="1264" w:type="dxa"/>
            <w:tcBorders>
              <w:top w:val="nil"/>
              <w:left w:val="nil"/>
              <w:bottom w:val="single" w:sz="4" w:space="0" w:color="auto"/>
              <w:right w:val="single" w:sz="4" w:space="0" w:color="auto"/>
            </w:tcBorders>
            <w:shd w:val="clear" w:color="auto" w:fill="auto"/>
            <w:noWrap/>
            <w:vAlign w:val="center"/>
            <w:hideMark/>
          </w:tcPr>
          <w:p w:rsidR="001716EE" w:rsidRPr="000242CD" w:rsidRDefault="001716EE" w:rsidP="004203A9">
            <w:pPr>
              <w:spacing w:line="240" w:lineRule="auto"/>
              <w:jc w:val="center"/>
              <w:rPr>
                <w:color w:val="000000"/>
              </w:rPr>
            </w:pPr>
            <w:r w:rsidRPr="000242CD">
              <w:rPr>
                <w:color w:val="000000"/>
              </w:rPr>
              <w:t>1.017</w:t>
            </w:r>
          </w:p>
        </w:tc>
        <w:tc>
          <w:tcPr>
            <w:tcW w:w="1436" w:type="dxa"/>
            <w:tcBorders>
              <w:top w:val="nil"/>
              <w:left w:val="nil"/>
              <w:bottom w:val="single" w:sz="4" w:space="0" w:color="auto"/>
              <w:right w:val="single" w:sz="4" w:space="0" w:color="auto"/>
            </w:tcBorders>
            <w:shd w:val="clear" w:color="auto" w:fill="auto"/>
            <w:noWrap/>
            <w:vAlign w:val="center"/>
            <w:hideMark/>
          </w:tcPr>
          <w:p w:rsidR="001716EE" w:rsidRPr="000242CD" w:rsidRDefault="001716EE" w:rsidP="004203A9">
            <w:pPr>
              <w:spacing w:line="240" w:lineRule="auto"/>
              <w:jc w:val="center"/>
              <w:rPr>
                <w:color w:val="000000"/>
              </w:rPr>
            </w:pPr>
            <w:r w:rsidRPr="000242CD">
              <w:rPr>
                <w:color w:val="000000"/>
              </w:rPr>
              <w:t>0.955</w:t>
            </w:r>
          </w:p>
        </w:tc>
      </w:tr>
      <w:tr w:rsidR="001716EE" w:rsidRPr="000242CD" w:rsidTr="001716EE">
        <w:trPr>
          <w:trHeight w:val="236"/>
        </w:trPr>
        <w:tc>
          <w:tcPr>
            <w:tcW w:w="2862" w:type="dxa"/>
            <w:tcBorders>
              <w:top w:val="nil"/>
              <w:left w:val="single" w:sz="4" w:space="0" w:color="auto"/>
              <w:bottom w:val="single" w:sz="4" w:space="0" w:color="auto"/>
              <w:right w:val="single" w:sz="4" w:space="0" w:color="auto"/>
            </w:tcBorders>
            <w:shd w:val="clear" w:color="auto" w:fill="auto"/>
            <w:vAlign w:val="center"/>
            <w:hideMark/>
          </w:tcPr>
          <w:p w:rsidR="001716EE" w:rsidRPr="000242CD" w:rsidRDefault="001716EE" w:rsidP="004203A9">
            <w:pPr>
              <w:spacing w:line="240" w:lineRule="auto"/>
              <w:jc w:val="center"/>
              <w:rPr>
                <w:b/>
                <w:bCs/>
                <w:color w:val="000000"/>
              </w:rPr>
            </w:pPr>
            <w:r w:rsidRPr="000242CD">
              <w:rPr>
                <w:b/>
                <w:bCs/>
                <w:color w:val="000000"/>
              </w:rPr>
              <w:t>Cleanliness</w:t>
            </w:r>
          </w:p>
        </w:tc>
        <w:tc>
          <w:tcPr>
            <w:tcW w:w="1188" w:type="dxa"/>
            <w:tcBorders>
              <w:top w:val="nil"/>
              <w:left w:val="nil"/>
              <w:bottom w:val="single" w:sz="4" w:space="0" w:color="auto"/>
              <w:right w:val="single" w:sz="4" w:space="0" w:color="auto"/>
            </w:tcBorders>
            <w:shd w:val="clear" w:color="auto" w:fill="auto"/>
            <w:noWrap/>
            <w:vAlign w:val="center"/>
            <w:hideMark/>
          </w:tcPr>
          <w:p w:rsidR="001716EE" w:rsidRPr="000242CD" w:rsidRDefault="001716EE" w:rsidP="004203A9">
            <w:pPr>
              <w:spacing w:line="240" w:lineRule="auto"/>
              <w:jc w:val="center"/>
              <w:rPr>
                <w:color w:val="000000"/>
              </w:rPr>
            </w:pPr>
            <w:r w:rsidRPr="000242CD">
              <w:rPr>
                <w:color w:val="000000"/>
              </w:rPr>
              <w:t>2.252</w:t>
            </w:r>
          </w:p>
        </w:tc>
        <w:tc>
          <w:tcPr>
            <w:tcW w:w="1264" w:type="dxa"/>
            <w:tcBorders>
              <w:top w:val="nil"/>
              <w:left w:val="nil"/>
              <w:bottom w:val="single" w:sz="4" w:space="0" w:color="auto"/>
              <w:right w:val="single" w:sz="4" w:space="0" w:color="auto"/>
            </w:tcBorders>
            <w:shd w:val="clear" w:color="auto" w:fill="auto"/>
            <w:noWrap/>
            <w:vAlign w:val="center"/>
            <w:hideMark/>
          </w:tcPr>
          <w:p w:rsidR="001716EE" w:rsidRPr="000242CD" w:rsidRDefault="001716EE" w:rsidP="004203A9">
            <w:pPr>
              <w:spacing w:line="240" w:lineRule="auto"/>
              <w:jc w:val="center"/>
              <w:rPr>
                <w:color w:val="000000"/>
              </w:rPr>
            </w:pPr>
            <w:r w:rsidRPr="000242CD">
              <w:rPr>
                <w:color w:val="000000"/>
              </w:rPr>
              <w:t>0.604</w:t>
            </w:r>
          </w:p>
        </w:tc>
        <w:tc>
          <w:tcPr>
            <w:tcW w:w="1436" w:type="dxa"/>
            <w:tcBorders>
              <w:top w:val="nil"/>
              <w:left w:val="nil"/>
              <w:bottom w:val="single" w:sz="4" w:space="0" w:color="auto"/>
              <w:right w:val="single" w:sz="4" w:space="0" w:color="auto"/>
            </w:tcBorders>
            <w:shd w:val="clear" w:color="auto" w:fill="auto"/>
            <w:noWrap/>
            <w:vAlign w:val="center"/>
            <w:hideMark/>
          </w:tcPr>
          <w:p w:rsidR="001716EE" w:rsidRPr="000242CD" w:rsidRDefault="001716EE" w:rsidP="004203A9">
            <w:pPr>
              <w:spacing w:line="240" w:lineRule="auto"/>
              <w:jc w:val="center"/>
              <w:rPr>
                <w:color w:val="000000"/>
              </w:rPr>
            </w:pPr>
            <w:r w:rsidRPr="000242CD">
              <w:rPr>
                <w:color w:val="000000"/>
              </w:rPr>
              <w:t>0.766</w:t>
            </w:r>
          </w:p>
        </w:tc>
      </w:tr>
      <w:tr w:rsidR="001716EE" w:rsidRPr="000242CD" w:rsidTr="001716EE">
        <w:trPr>
          <w:trHeight w:val="172"/>
        </w:trPr>
        <w:tc>
          <w:tcPr>
            <w:tcW w:w="2862" w:type="dxa"/>
            <w:tcBorders>
              <w:top w:val="nil"/>
              <w:left w:val="single" w:sz="4" w:space="0" w:color="auto"/>
              <w:bottom w:val="single" w:sz="4" w:space="0" w:color="auto"/>
              <w:right w:val="single" w:sz="4" w:space="0" w:color="auto"/>
            </w:tcBorders>
            <w:shd w:val="clear" w:color="auto" w:fill="auto"/>
            <w:vAlign w:val="center"/>
            <w:hideMark/>
          </w:tcPr>
          <w:p w:rsidR="001716EE" w:rsidRPr="000242CD" w:rsidRDefault="001716EE" w:rsidP="004203A9">
            <w:pPr>
              <w:spacing w:line="240" w:lineRule="auto"/>
              <w:jc w:val="center"/>
              <w:rPr>
                <w:b/>
                <w:bCs/>
                <w:color w:val="000000"/>
              </w:rPr>
            </w:pPr>
            <w:r w:rsidRPr="000242CD">
              <w:rPr>
                <w:b/>
                <w:bCs/>
                <w:color w:val="000000"/>
              </w:rPr>
              <w:t>Infrastructure</w:t>
            </w:r>
          </w:p>
        </w:tc>
        <w:tc>
          <w:tcPr>
            <w:tcW w:w="1188" w:type="dxa"/>
            <w:tcBorders>
              <w:top w:val="nil"/>
              <w:left w:val="nil"/>
              <w:bottom w:val="single" w:sz="4" w:space="0" w:color="auto"/>
              <w:right w:val="single" w:sz="4" w:space="0" w:color="auto"/>
            </w:tcBorders>
            <w:shd w:val="clear" w:color="auto" w:fill="auto"/>
            <w:noWrap/>
            <w:vAlign w:val="center"/>
            <w:hideMark/>
          </w:tcPr>
          <w:p w:rsidR="001716EE" w:rsidRPr="000242CD" w:rsidRDefault="001716EE" w:rsidP="004203A9">
            <w:pPr>
              <w:spacing w:line="240" w:lineRule="auto"/>
              <w:jc w:val="center"/>
              <w:rPr>
                <w:color w:val="000000"/>
              </w:rPr>
            </w:pPr>
            <w:r w:rsidRPr="000242CD">
              <w:rPr>
                <w:color w:val="000000"/>
              </w:rPr>
              <w:t>3.283</w:t>
            </w:r>
          </w:p>
        </w:tc>
        <w:tc>
          <w:tcPr>
            <w:tcW w:w="1264" w:type="dxa"/>
            <w:tcBorders>
              <w:top w:val="nil"/>
              <w:left w:val="nil"/>
              <w:bottom w:val="single" w:sz="4" w:space="0" w:color="auto"/>
              <w:right w:val="single" w:sz="4" w:space="0" w:color="auto"/>
            </w:tcBorders>
            <w:shd w:val="clear" w:color="auto" w:fill="auto"/>
            <w:noWrap/>
            <w:vAlign w:val="center"/>
            <w:hideMark/>
          </w:tcPr>
          <w:p w:rsidR="001716EE" w:rsidRPr="000242CD" w:rsidRDefault="001716EE" w:rsidP="004203A9">
            <w:pPr>
              <w:spacing w:line="240" w:lineRule="auto"/>
              <w:jc w:val="center"/>
              <w:rPr>
                <w:color w:val="000000"/>
              </w:rPr>
            </w:pPr>
            <w:r w:rsidRPr="000242CD">
              <w:rPr>
                <w:color w:val="000000"/>
              </w:rPr>
              <w:t>0.692</w:t>
            </w:r>
          </w:p>
        </w:tc>
        <w:tc>
          <w:tcPr>
            <w:tcW w:w="1436" w:type="dxa"/>
            <w:tcBorders>
              <w:top w:val="nil"/>
              <w:left w:val="nil"/>
              <w:bottom w:val="single" w:sz="4" w:space="0" w:color="auto"/>
              <w:right w:val="single" w:sz="4" w:space="0" w:color="auto"/>
            </w:tcBorders>
            <w:shd w:val="clear" w:color="auto" w:fill="auto"/>
            <w:noWrap/>
            <w:vAlign w:val="center"/>
            <w:hideMark/>
          </w:tcPr>
          <w:p w:rsidR="001716EE" w:rsidRPr="000242CD" w:rsidRDefault="001716EE" w:rsidP="004203A9">
            <w:pPr>
              <w:spacing w:line="240" w:lineRule="auto"/>
              <w:jc w:val="center"/>
            </w:pPr>
            <w:r w:rsidRPr="000242CD">
              <w:t>0.705</w:t>
            </w:r>
          </w:p>
        </w:tc>
      </w:tr>
      <w:tr w:rsidR="001716EE" w:rsidRPr="000242CD" w:rsidTr="001716EE">
        <w:trPr>
          <w:trHeight w:val="452"/>
        </w:trPr>
        <w:tc>
          <w:tcPr>
            <w:tcW w:w="2862" w:type="dxa"/>
            <w:tcBorders>
              <w:top w:val="nil"/>
              <w:left w:val="single" w:sz="4" w:space="0" w:color="auto"/>
              <w:bottom w:val="single" w:sz="4" w:space="0" w:color="auto"/>
              <w:right w:val="single" w:sz="4" w:space="0" w:color="auto"/>
            </w:tcBorders>
            <w:shd w:val="clear" w:color="auto" w:fill="auto"/>
            <w:vAlign w:val="center"/>
            <w:hideMark/>
          </w:tcPr>
          <w:p w:rsidR="001716EE" w:rsidRPr="000242CD" w:rsidRDefault="001716EE" w:rsidP="004203A9">
            <w:pPr>
              <w:spacing w:line="240" w:lineRule="auto"/>
              <w:jc w:val="center"/>
              <w:rPr>
                <w:b/>
                <w:bCs/>
                <w:color w:val="000000"/>
              </w:rPr>
            </w:pPr>
            <w:r w:rsidRPr="000242CD">
              <w:rPr>
                <w:b/>
                <w:bCs/>
                <w:color w:val="000000"/>
              </w:rPr>
              <w:t>Overall Patients' Experience</w:t>
            </w:r>
          </w:p>
        </w:tc>
        <w:tc>
          <w:tcPr>
            <w:tcW w:w="1188" w:type="dxa"/>
            <w:tcBorders>
              <w:top w:val="nil"/>
              <w:left w:val="nil"/>
              <w:bottom w:val="single" w:sz="4" w:space="0" w:color="auto"/>
              <w:right w:val="single" w:sz="4" w:space="0" w:color="auto"/>
            </w:tcBorders>
            <w:shd w:val="clear" w:color="auto" w:fill="auto"/>
            <w:noWrap/>
            <w:vAlign w:val="center"/>
            <w:hideMark/>
          </w:tcPr>
          <w:p w:rsidR="001716EE" w:rsidRPr="000242CD" w:rsidRDefault="001716EE" w:rsidP="004203A9">
            <w:pPr>
              <w:spacing w:line="240" w:lineRule="auto"/>
              <w:jc w:val="center"/>
              <w:rPr>
                <w:color w:val="000000"/>
              </w:rPr>
            </w:pPr>
            <w:r w:rsidRPr="000242CD">
              <w:rPr>
                <w:color w:val="000000"/>
              </w:rPr>
              <w:t>3.255</w:t>
            </w:r>
          </w:p>
        </w:tc>
        <w:tc>
          <w:tcPr>
            <w:tcW w:w="1264" w:type="dxa"/>
            <w:tcBorders>
              <w:top w:val="nil"/>
              <w:left w:val="nil"/>
              <w:bottom w:val="single" w:sz="4" w:space="0" w:color="auto"/>
              <w:right w:val="single" w:sz="4" w:space="0" w:color="auto"/>
            </w:tcBorders>
            <w:shd w:val="clear" w:color="auto" w:fill="auto"/>
            <w:noWrap/>
            <w:vAlign w:val="center"/>
            <w:hideMark/>
          </w:tcPr>
          <w:p w:rsidR="001716EE" w:rsidRPr="000242CD" w:rsidRDefault="001716EE" w:rsidP="004203A9">
            <w:pPr>
              <w:spacing w:line="240" w:lineRule="auto"/>
              <w:jc w:val="center"/>
              <w:rPr>
                <w:color w:val="000000"/>
              </w:rPr>
            </w:pPr>
            <w:r w:rsidRPr="000242CD">
              <w:rPr>
                <w:color w:val="000000"/>
              </w:rPr>
              <w:t>0.614</w:t>
            </w:r>
          </w:p>
        </w:tc>
        <w:tc>
          <w:tcPr>
            <w:tcW w:w="1436" w:type="dxa"/>
            <w:tcBorders>
              <w:top w:val="nil"/>
              <w:left w:val="nil"/>
              <w:bottom w:val="single" w:sz="4" w:space="0" w:color="auto"/>
              <w:right w:val="single" w:sz="4" w:space="0" w:color="auto"/>
            </w:tcBorders>
            <w:shd w:val="clear" w:color="auto" w:fill="auto"/>
            <w:noWrap/>
            <w:vAlign w:val="center"/>
            <w:hideMark/>
          </w:tcPr>
          <w:p w:rsidR="001716EE" w:rsidRPr="000242CD" w:rsidRDefault="001716EE" w:rsidP="004203A9">
            <w:pPr>
              <w:spacing w:line="240" w:lineRule="auto"/>
              <w:jc w:val="center"/>
              <w:rPr>
                <w:color w:val="000000"/>
              </w:rPr>
            </w:pPr>
            <w:r w:rsidRPr="000242CD">
              <w:rPr>
                <w:color w:val="000000"/>
              </w:rPr>
              <w:t>0.926</w:t>
            </w:r>
          </w:p>
        </w:tc>
      </w:tr>
    </w:tbl>
    <w:p w:rsidR="00C9289F" w:rsidRPr="000242CD" w:rsidRDefault="00C9289F" w:rsidP="000242CD">
      <w:pPr>
        <w:pStyle w:val="Default"/>
        <w:jc w:val="both"/>
      </w:pPr>
    </w:p>
    <w:p w:rsidR="00C9289F" w:rsidRPr="000242CD" w:rsidRDefault="00C9289F" w:rsidP="000242CD">
      <w:pPr>
        <w:pStyle w:val="Default"/>
        <w:jc w:val="both"/>
      </w:pPr>
    </w:p>
    <w:p w:rsidR="00C9289F" w:rsidRPr="000242CD" w:rsidRDefault="00C9289F" w:rsidP="000242CD">
      <w:pPr>
        <w:pStyle w:val="Default"/>
        <w:jc w:val="both"/>
      </w:pPr>
    </w:p>
    <w:p w:rsidR="00C9289F" w:rsidRPr="000242CD" w:rsidRDefault="00C9289F" w:rsidP="000242CD">
      <w:pPr>
        <w:pStyle w:val="Default"/>
        <w:jc w:val="both"/>
      </w:pPr>
    </w:p>
    <w:p w:rsidR="00C9289F" w:rsidRPr="000242CD" w:rsidRDefault="00C9289F" w:rsidP="000242CD">
      <w:pPr>
        <w:pStyle w:val="Default"/>
        <w:jc w:val="both"/>
      </w:pPr>
    </w:p>
    <w:p w:rsidR="00C9289F" w:rsidRPr="000242CD" w:rsidRDefault="00C9289F" w:rsidP="000242CD">
      <w:pPr>
        <w:pStyle w:val="Default"/>
        <w:jc w:val="both"/>
      </w:pPr>
    </w:p>
    <w:p w:rsidR="004203A9" w:rsidRDefault="004203A9" w:rsidP="000242CD">
      <w:pPr>
        <w:pStyle w:val="Default"/>
        <w:jc w:val="both"/>
      </w:pPr>
    </w:p>
    <w:p w:rsidR="004203A9" w:rsidRDefault="004203A9" w:rsidP="000242CD">
      <w:pPr>
        <w:pStyle w:val="Default"/>
        <w:jc w:val="both"/>
      </w:pPr>
    </w:p>
    <w:p w:rsidR="00C9289F" w:rsidRPr="000242CD" w:rsidRDefault="00B36DFE" w:rsidP="000242CD">
      <w:pPr>
        <w:pStyle w:val="Default"/>
        <w:jc w:val="both"/>
      </w:pPr>
      <w:r w:rsidRPr="000242CD">
        <w:t>Source: Compiled by Author</w:t>
      </w:r>
    </w:p>
    <w:p w:rsidR="00C9289F" w:rsidRPr="000242CD" w:rsidRDefault="00C9289F" w:rsidP="000242CD">
      <w:pPr>
        <w:pStyle w:val="Default"/>
        <w:jc w:val="both"/>
      </w:pPr>
    </w:p>
    <w:p w:rsidR="00C9289F" w:rsidRPr="000242CD" w:rsidRDefault="00C9289F" w:rsidP="000242CD">
      <w:pPr>
        <w:pStyle w:val="Default"/>
        <w:jc w:val="both"/>
      </w:pPr>
    </w:p>
    <w:p w:rsidR="001716EE" w:rsidRPr="000242CD" w:rsidRDefault="001716EE" w:rsidP="000242CD">
      <w:pPr>
        <w:pStyle w:val="Default"/>
        <w:jc w:val="both"/>
      </w:pPr>
    </w:p>
    <w:p w:rsidR="001716EE" w:rsidRPr="000242CD" w:rsidRDefault="001716EE" w:rsidP="000242CD">
      <w:pPr>
        <w:pStyle w:val="Default"/>
        <w:jc w:val="both"/>
      </w:pPr>
    </w:p>
    <w:p w:rsidR="001716EE" w:rsidRPr="000242CD" w:rsidRDefault="001716EE" w:rsidP="000242CD">
      <w:pPr>
        <w:pStyle w:val="Default"/>
        <w:jc w:val="both"/>
      </w:pPr>
    </w:p>
    <w:p w:rsidR="001716EE" w:rsidRPr="000242CD" w:rsidRDefault="001716EE" w:rsidP="000242CD">
      <w:pPr>
        <w:pStyle w:val="Default"/>
        <w:jc w:val="both"/>
      </w:pPr>
    </w:p>
    <w:p w:rsidR="00C9289F" w:rsidRPr="000242CD" w:rsidRDefault="00C9289F" w:rsidP="004203A9">
      <w:pPr>
        <w:spacing w:line="240" w:lineRule="auto"/>
        <w:jc w:val="center"/>
        <w:rPr>
          <w:rFonts w:eastAsia="Times New Roman"/>
          <w:b/>
          <w:color w:val="1C1E29"/>
        </w:rPr>
      </w:pPr>
      <w:r w:rsidRPr="000242CD">
        <w:rPr>
          <w:b/>
        </w:rPr>
        <w:t xml:space="preserve">Table 5: </w:t>
      </w:r>
      <w:r w:rsidRPr="000242CD">
        <w:rPr>
          <w:rFonts w:eastAsia="Times New Roman"/>
          <w:b/>
          <w:color w:val="1C1E29"/>
        </w:rPr>
        <w:t xml:space="preserve">Result of ANOVA to Identify Variation in Patients’ Experience among different </w:t>
      </w:r>
      <w:r w:rsidRPr="000242CD">
        <w:rPr>
          <w:rFonts w:eastAsia="Times New Roman"/>
          <w:b/>
          <w:bCs/>
        </w:rPr>
        <w:t>Healthcare Center</w:t>
      </w:r>
      <w:r w:rsidRPr="000242CD">
        <w:rPr>
          <w:rFonts w:eastAsia="Times New Roman"/>
          <w:b/>
          <w:color w:val="1C1E29"/>
        </w:rPr>
        <w:t>s</w:t>
      </w:r>
    </w:p>
    <w:p w:rsidR="00C9289F" w:rsidRPr="000242CD" w:rsidRDefault="00C9289F" w:rsidP="000242CD">
      <w:pPr>
        <w:spacing w:line="240" w:lineRule="auto"/>
        <w:jc w:val="both"/>
        <w:rPr>
          <w:rFonts w:eastAsia="Times New Roman"/>
          <w:b/>
          <w:color w:val="1C1E29"/>
        </w:rPr>
      </w:pPr>
    </w:p>
    <w:tbl>
      <w:tblPr>
        <w:tblW w:w="8995" w:type="dxa"/>
        <w:jc w:val="center"/>
        <w:tblLook w:val="04A0" w:firstRow="1" w:lastRow="0" w:firstColumn="1" w:lastColumn="0" w:noHBand="0" w:noVBand="1"/>
      </w:tblPr>
      <w:tblGrid>
        <w:gridCol w:w="1790"/>
        <w:gridCol w:w="1622"/>
        <w:gridCol w:w="1072"/>
        <w:gridCol w:w="1247"/>
        <w:gridCol w:w="996"/>
        <w:gridCol w:w="1008"/>
        <w:gridCol w:w="1260"/>
      </w:tblGrid>
      <w:tr w:rsidR="00C9289F" w:rsidRPr="000242CD" w:rsidTr="004203A9">
        <w:trPr>
          <w:trHeight w:val="373"/>
          <w:jc w:val="center"/>
        </w:trPr>
        <w:tc>
          <w:tcPr>
            <w:tcW w:w="179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9289F" w:rsidRPr="000242CD" w:rsidRDefault="00C9289F" w:rsidP="004203A9">
            <w:pPr>
              <w:spacing w:line="240" w:lineRule="auto"/>
              <w:jc w:val="center"/>
              <w:rPr>
                <w:rFonts w:eastAsia="Times New Roman"/>
                <w:b/>
                <w:bCs/>
              </w:rPr>
            </w:pPr>
            <w:r w:rsidRPr="000242CD">
              <w:rPr>
                <w:rFonts w:eastAsia="Times New Roman"/>
                <w:b/>
                <w:bCs/>
              </w:rPr>
              <w:t>Services</w:t>
            </w:r>
          </w:p>
        </w:tc>
        <w:tc>
          <w:tcPr>
            <w:tcW w:w="1622" w:type="dxa"/>
            <w:tcBorders>
              <w:top w:val="single" w:sz="4" w:space="0" w:color="auto"/>
              <w:left w:val="nil"/>
              <w:bottom w:val="single" w:sz="4" w:space="0" w:color="auto"/>
              <w:right w:val="single" w:sz="4" w:space="0" w:color="auto"/>
            </w:tcBorders>
            <w:shd w:val="clear" w:color="000000" w:fill="FFFFFF"/>
            <w:vAlign w:val="center"/>
            <w:hideMark/>
          </w:tcPr>
          <w:p w:rsidR="00C9289F" w:rsidRPr="000242CD" w:rsidRDefault="00C9289F" w:rsidP="004203A9">
            <w:pPr>
              <w:spacing w:line="240" w:lineRule="auto"/>
              <w:jc w:val="center"/>
              <w:rPr>
                <w:rFonts w:eastAsia="Times New Roman"/>
                <w:b/>
                <w:bCs/>
              </w:rPr>
            </w:pPr>
            <w:r w:rsidRPr="000242CD">
              <w:rPr>
                <w:rFonts w:eastAsia="Times New Roman"/>
                <w:b/>
                <w:bCs/>
              </w:rPr>
              <w:t>Type of Healthcare Center</w:t>
            </w:r>
          </w:p>
        </w:tc>
        <w:tc>
          <w:tcPr>
            <w:tcW w:w="1072" w:type="dxa"/>
            <w:tcBorders>
              <w:top w:val="single" w:sz="4" w:space="0" w:color="auto"/>
              <w:left w:val="nil"/>
              <w:bottom w:val="single" w:sz="4" w:space="0" w:color="auto"/>
              <w:right w:val="single" w:sz="4" w:space="0" w:color="auto"/>
            </w:tcBorders>
            <w:shd w:val="clear" w:color="000000" w:fill="FFFFFF"/>
            <w:vAlign w:val="center"/>
            <w:hideMark/>
          </w:tcPr>
          <w:p w:rsidR="00C9289F" w:rsidRPr="000242CD" w:rsidRDefault="00C9289F" w:rsidP="004203A9">
            <w:pPr>
              <w:spacing w:line="240" w:lineRule="auto"/>
              <w:jc w:val="center"/>
              <w:rPr>
                <w:rFonts w:eastAsia="Times New Roman"/>
                <w:b/>
                <w:bCs/>
              </w:rPr>
            </w:pPr>
            <w:r w:rsidRPr="000242CD">
              <w:rPr>
                <w:rFonts w:eastAsia="Times New Roman"/>
                <w:b/>
                <w:bCs/>
              </w:rPr>
              <w:t>Mean</w:t>
            </w:r>
          </w:p>
        </w:tc>
        <w:tc>
          <w:tcPr>
            <w:tcW w:w="1247" w:type="dxa"/>
            <w:tcBorders>
              <w:top w:val="single" w:sz="4" w:space="0" w:color="auto"/>
              <w:left w:val="nil"/>
              <w:bottom w:val="single" w:sz="4" w:space="0" w:color="auto"/>
              <w:right w:val="single" w:sz="4" w:space="0" w:color="auto"/>
            </w:tcBorders>
            <w:shd w:val="clear" w:color="000000" w:fill="FFFFFF"/>
            <w:vAlign w:val="center"/>
            <w:hideMark/>
          </w:tcPr>
          <w:p w:rsidR="00C9289F" w:rsidRPr="000242CD" w:rsidRDefault="00C9289F" w:rsidP="004203A9">
            <w:pPr>
              <w:spacing w:line="240" w:lineRule="auto"/>
              <w:jc w:val="center"/>
              <w:rPr>
                <w:rFonts w:eastAsia="Times New Roman"/>
                <w:b/>
                <w:bCs/>
              </w:rPr>
            </w:pPr>
            <w:r w:rsidRPr="000242CD">
              <w:rPr>
                <w:rFonts w:eastAsia="Times New Roman"/>
                <w:b/>
                <w:bCs/>
              </w:rPr>
              <w:t>Std. Deviation</w:t>
            </w:r>
          </w:p>
        </w:tc>
        <w:tc>
          <w:tcPr>
            <w:tcW w:w="996" w:type="dxa"/>
            <w:tcBorders>
              <w:top w:val="single" w:sz="4" w:space="0" w:color="auto"/>
              <w:left w:val="nil"/>
              <w:bottom w:val="single" w:sz="4" w:space="0" w:color="auto"/>
              <w:right w:val="single" w:sz="4" w:space="0" w:color="auto"/>
            </w:tcBorders>
            <w:shd w:val="clear" w:color="000000" w:fill="FFFFFF"/>
            <w:vAlign w:val="center"/>
            <w:hideMark/>
          </w:tcPr>
          <w:p w:rsidR="00C9289F" w:rsidRPr="000242CD" w:rsidRDefault="00C9289F" w:rsidP="004203A9">
            <w:pPr>
              <w:spacing w:line="240" w:lineRule="auto"/>
              <w:jc w:val="center"/>
              <w:rPr>
                <w:rFonts w:eastAsia="Times New Roman"/>
                <w:b/>
                <w:bCs/>
              </w:rPr>
            </w:pPr>
            <w:r w:rsidRPr="000242CD">
              <w:rPr>
                <w:rFonts w:eastAsia="Times New Roman"/>
                <w:b/>
                <w:bCs/>
              </w:rPr>
              <w:t>F</w:t>
            </w:r>
          </w:p>
        </w:tc>
        <w:tc>
          <w:tcPr>
            <w:tcW w:w="1008" w:type="dxa"/>
            <w:tcBorders>
              <w:top w:val="single" w:sz="4" w:space="0" w:color="auto"/>
              <w:left w:val="nil"/>
              <w:bottom w:val="single" w:sz="4" w:space="0" w:color="auto"/>
              <w:right w:val="single" w:sz="4" w:space="0" w:color="auto"/>
            </w:tcBorders>
            <w:shd w:val="clear" w:color="000000" w:fill="FFFFFF"/>
            <w:vAlign w:val="center"/>
            <w:hideMark/>
          </w:tcPr>
          <w:p w:rsidR="00C9289F" w:rsidRPr="000242CD" w:rsidRDefault="00C9289F" w:rsidP="004203A9">
            <w:pPr>
              <w:spacing w:line="240" w:lineRule="auto"/>
              <w:jc w:val="center"/>
              <w:rPr>
                <w:rFonts w:eastAsia="Times New Roman"/>
                <w:b/>
                <w:bCs/>
              </w:rPr>
            </w:pPr>
            <w:r w:rsidRPr="000242CD">
              <w:rPr>
                <w:rFonts w:eastAsia="Times New Roman"/>
                <w:b/>
                <w:bCs/>
              </w:rPr>
              <w:t>Sig.</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C9289F" w:rsidRPr="000242CD" w:rsidRDefault="00C9289F" w:rsidP="004203A9">
            <w:pPr>
              <w:spacing w:line="240" w:lineRule="auto"/>
              <w:jc w:val="center"/>
              <w:rPr>
                <w:rFonts w:eastAsia="Times New Roman"/>
                <w:b/>
                <w:bCs/>
                <w:color w:val="000000"/>
              </w:rPr>
            </w:pPr>
            <w:r w:rsidRPr="000242CD">
              <w:rPr>
                <w:rFonts w:eastAsia="Times New Roman"/>
                <w:b/>
                <w:bCs/>
                <w:color w:val="000000"/>
                <w:lang w:val="en-GB"/>
              </w:rPr>
              <w:t xml:space="preserve">Effect Size </w:t>
            </w:r>
            <w:r w:rsidRPr="000242CD">
              <w:rPr>
                <w:b/>
                <w:color w:val="000000"/>
              </w:rPr>
              <w:t>( η2 )</w:t>
            </w:r>
          </w:p>
        </w:tc>
      </w:tr>
      <w:tr w:rsidR="00C9289F" w:rsidRPr="000242CD" w:rsidTr="004203A9">
        <w:trPr>
          <w:trHeight w:val="215"/>
          <w:jc w:val="center"/>
        </w:trPr>
        <w:tc>
          <w:tcPr>
            <w:tcW w:w="1790" w:type="dxa"/>
            <w:vMerge w:val="restart"/>
            <w:tcBorders>
              <w:top w:val="nil"/>
              <w:left w:val="single" w:sz="4" w:space="0" w:color="auto"/>
              <w:bottom w:val="single" w:sz="4" w:space="0" w:color="auto"/>
              <w:right w:val="single" w:sz="4" w:space="0" w:color="auto"/>
            </w:tcBorders>
            <w:shd w:val="clear" w:color="000000" w:fill="FFFFFF"/>
            <w:vAlign w:val="center"/>
            <w:hideMark/>
          </w:tcPr>
          <w:p w:rsidR="00C9289F" w:rsidRPr="000242CD" w:rsidRDefault="00C9289F" w:rsidP="004203A9">
            <w:pPr>
              <w:spacing w:line="240" w:lineRule="auto"/>
              <w:jc w:val="center"/>
              <w:rPr>
                <w:rFonts w:eastAsia="Times New Roman"/>
                <w:b/>
                <w:bCs/>
              </w:rPr>
            </w:pPr>
            <w:r w:rsidRPr="000242CD">
              <w:rPr>
                <w:rFonts w:eastAsia="Times New Roman"/>
                <w:b/>
                <w:bCs/>
              </w:rPr>
              <w:t>Responsiveness</w:t>
            </w:r>
          </w:p>
        </w:tc>
        <w:tc>
          <w:tcPr>
            <w:tcW w:w="1622" w:type="dxa"/>
            <w:tcBorders>
              <w:top w:val="nil"/>
              <w:left w:val="nil"/>
              <w:bottom w:val="single" w:sz="4" w:space="0" w:color="auto"/>
              <w:right w:val="single" w:sz="4" w:space="0" w:color="auto"/>
            </w:tcBorders>
            <w:shd w:val="clear" w:color="000000" w:fill="FFFFFF"/>
            <w:vAlign w:val="center"/>
            <w:hideMark/>
          </w:tcPr>
          <w:p w:rsidR="00C9289F" w:rsidRPr="000242CD" w:rsidRDefault="00C9289F" w:rsidP="004203A9">
            <w:pPr>
              <w:spacing w:line="240" w:lineRule="auto"/>
              <w:jc w:val="center"/>
              <w:rPr>
                <w:rFonts w:eastAsia="Times New Roman"/>
                <w:b/>
                <w:bCs/>
              </w:rPr>
            </w:pPr>
            <w:r w:rsidRPr="000242CD">
              <w:rPr>
                <w:rFonts w:eastAsia="Times New Roman"/>
                <w:b/>
                <w:bCs/>
              </w:rPr>
              <w:t>PHC</w:t>
            </w:r>
          </w:p>
        </w:tc>
        <w:tc>
          <w:tcPr>
            <w:tcW w:w="1072"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color w:val="000000"/>
              </w:rPr>
            </w:pPr>
            <w:r w:rsidRPr="000242CD">
              <w:rPr>
                <w:rFonts w:eastAsia="Times New Roman"/>
                <w:color w:val="000000"/>
              </w:rPr>
              <w:t>1.0978</w:t>
            </w:r>
          </w:p>
        </w:tc>
        <w:tc>
          <w:tcPr>
            <w:tcW w:w="1247"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color w:val="000000"/>
              </w:rPr>
            </w:pPr>
            <w:r w:rsidRPr="000242CD">
              <w:rPr>
                <w:rFonts w:eastAsia="Times New Roman"/>
                <w:color w:val="000000"/>
              </w:rPr>
              <w:t>0.4899</w:t>
            </w:r>
          </w:p>
        </w:tc>
        <w:tc>
          <w:tcPr>
            <w:tcW w:w="996" w:type="dxa"/>
            <w:vMerge w:val="restart"/>
            <w:tcBorders>
              <w:top w:val="nil"/>
              <w:left w:val="single" w:sz="4" w:space="0" w:color="auto"/>
              <w:bottom w:val="single" w:sz="4" w:space="0" w:color="auto"/>
              <w:right w:val="single" w:sz="4" w:space="0" w:color="auto"/>
            </w:tcBorders>
            <w:shd w:val="clear" w:color="000000" w:fill="FFFFFF"/>
            <w:vAlign w:val="center"/>
            <w:hideMark/>
          </w:tcPr>
          <w:p w:rsidR="00C9289F" w:rsidRPr="000242CD" w:rsidRDefault="00C9289F" w:rsidP="004203A9">
            <w:pPr>
              <w:spacing w:line="240" w:lineRule="auto"/>
              <w:jc w:val="center"/>
              <w:rPr>
                <w:rFonts w:eastAsia="Times New Roman"/>
              </w:rPr>
            </w:pPr>
            <w:r w:rsidRPr="000242CD">
              <w:rPr>
                <w:rFonts w:eastAsia="Times New Roman"/>
              </w:rPr>
              <w:t>428.982</w:t>
            </w:r>
          </w:p>
        </w:tc>
        <w:tc>
          <w:tcPr>
            <w:tcW w:w="1008" w:type="dxa"/>
            <w:vMerge w:val="restart"/>
            <w:tcBorders>
              <w:top w:val="nil"/>
              <w:left w:val="single" w:sz="4" w:space="0" w:color="auto"/>
              <w:bottom w:val="single" w:sz="4" w:space="0" w:color="auto"/>
              <w:right w:val="single" w:sz="4" w:space="0" w:color="auto"/>
            </w:tcBorders>
            <w:shd w:val="clear" w:color="000000" w:fill="FFFFFF"/>
            <w:vAlign w:val="center"/>
            <w:hideMark/>
          </w:tcPr>
          <w:p w:rsidR="00C9289F" w:rsidRPr="000242CD" w:rsidRDefault="00C9289F" w:rsidP="004203A9">
            <w:pPr>
              <w:spacing w:line="240" w:lineRule="auto"/>
              <w:jc w:val="center"/>
              <w:rPr>
                <w:rFonts w:eastAsia="Times New Roman"/>
              </w:rPr>
            </w:pPr>
            <w:r w:rsidRPr="000242CD">
              <w:rPr>
                <w:rFonts w:eastAsia="Times New Roman"/>
              </w:rPr>
              <w:t>0.000</w:t>
            </w:r>
          </w:p>
        </w:tc>
        <w:tc>
          <w:tcPr>
            <w:tcW w:w="1260" w:type="dxa"/>
            <w:vMerge w:val="restart"/>
            <w:tcBorders>
              <w:top w:val="nil"/>
              <w:left w:val="single" w:sz="4" w:space="0" w:color="auto"/>
              <w:bottom w:val="single" w:sz="4" w:space="0" w:color="auto"/>
              <w:right w:val="single" w:sz="4" w:space="0" w:color="auto"/>
            </w:tcBorders>
            <w:shd w:val="clear" w:color="auto" w:fill="auto"/>
            <w:vAlign w:val="center"/>
            <w:hideMark/>
          </w:tcPr>
          <w:p w:rsidR="00C9289F" w:rsidRPr="000242CD" w:rsidRDefault="00C9289F" w:rsidP="004203A9">
            <w:pPr>
              <w:spacing w:line="240" w:lineRule="auto"/>
              <w:jc w:val="center"/>
              <w:rPr>
                <w:rFonts w:eastAsia="Times New Roman"/>
                <w:color w:val="000000"/>
              </w:rPr>
            </w:pPr>
            <w:r w:rsidRPr="000242CD">
              <w:rPr>
                <w:rFonts w:eastAsia="Times New Roman"/>
                <w:color w:val="000000"/>
              </w:rPr>
              <w:t>0.743</w:t>
            </w:r>
          </w:p>
        </w:tc>
      </w:tr>
      <w:tr w:rsidR="00C9289F" w:rsidRPr="000242CD" w:rsidTr="004203A9">
        <w:trPr>
          <w:trHeight w:val="248"/>
          <w:jc w:val="center"/>
        </w:trPr>
        <w:tc>
          <w:tcPr>
            <w:tcW w:w="1790" w:type="dxa"/>
            <w:vMerge/>
            <w:tcBorders>
              <w:top w:val="nil"/>
              <w:left w:val="single" w:sz="4" w:space="0" w:color="auto"/>
              <w:bottom w:val="single" w:sz="4" w:space="0" w:color="auto"/>
              <w:right w:val="single" w:sz="4" w:space="0" w:color="auto"/>
            </w:tcBorders>
            <w:vAlign w:val="center"/>
            <w:hideMark/>
          </w:tcPr>
          <w:p w:rsidR="00C9289F" w:rsidRPr="000242CD" w:rsidRDefault="00C9289F" w:rsidP="004203A9">
            <w:pPr>
              <w:spacing w:line="240" w:lineRule="auto"/>
              <w:jc w:val="center"/>
              <w:rPr>
                <w:rFonts w:eastAsia="Times New Roman"/>
                <w:b/>
                <w:bCs/>
              </w:rPr>
            </w:pPr>
          </w:p>
        </w:tc>
        <w:tc>
          <w:tcPr>
            <w:tcW w:w="1622" w:type="dxa"/>
            <w:tcBorders>
              <w:top w:val="nil"/>
              <w:left w:val="nil"/>
              <w:bottom w:val="single" w:sz="4" w:space="0" w:color="auto"/>
              <w:right w:val="single" w:sz="4" w:space="0" w:color="auto"/>
            </w:tcBorders>
            <w:shd w:val="clear" w:color="000000" w:fill="FFFFFF"/>
            <w:vAlign w:val="center"/>
            <w:hideMark/>
          </w:tcPr>
          <w:p w:rsidR="00C9289F" w:rsidRPr="000242CD" w:rsidRDefault="00C9289F" w:rsidP="004203A9">
            <w:pPr>
              <w:spacing w:line="240" w:lineRule="auto"/>
              <w:jc w:val="center"/>
              <w:rPr>
                <w:rFonts w:eastAsia="Times New Roman"/>
                <w:b/>
                <w:bCs/>
              </w:rPr>
            </w:pPr>
            <w:r w:rsidRPr="000242CD">
              <w:rPr>
                <w:rFonts w:eastAsia="Times New Roman"/>
                <w:b/>
                <w:bCs/>
              </w:rPr>
              <w:t>RH / CHC</w:t>
            </w:r>
          </w:p>
        </w:tc>
        <w:tc>
          <w:tcPr>
            <w:tcW w:w="1072"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color w:val="000000"/>
              </w:rPr>
            </w:pPr>
            <w:r w:rsidRPr="000242CD">
              <w:rPr>
                <w:rFonts w:eastAsia="Times New Roman"/>
                <w:color w:val="000000"/>
              </w:rPr>
              <w:t>-0.0942</w:t>
            </w:r>
          </w:p>
        </w:tc>
        <w:tc>
          <w:tcPr>
            <w:tcW w:w="1247"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color w:val="000000"/>
              </w:rPr>
            </w:pPr>
            <w:r w:rsidRPr="000242CD">
              <w:rPr>
                <w:rFonts w:eastAsia="Times New Roman"/>
                <w:color w:val="000000"/>
              </w:rPr>
              <w:t>0.6659</w:t>
            </w:r>
          </w:p>
        </w:tc>
        <w:tc>
          <w:tcPr>
            <w:tcW w:w="996" w:type="dxa"/>
            <w:vMerge/>
            <w:tcBorders>
              <w:top w:val="nil"/>
              <w:left w:val="single" w:sz="4" w:space="0" w:color="auto"/>
              <w:bottom w:val="single" w:sz="4" w:space="0" w:color="auto"/>
              <w:right w:val="single" w:sz="4" w:space="0" w:color="auto"/>
            </w:tcBorders>
            <w:vAlign w:val="center"/>
            <w:hideMark/>
          </w:tcPr>
          <w:p w:rsidR="00C9289F" w:rsidRPr="000242CD" w:rsidRDefault="00C9289F" w:rsidP="004203A9">
            <w:pPr>
              <w:spacing w:line="240" w:lineRule="auto"/>
              <w:jc w:val="center"/>
              <w:rPr>
                <w:rFonts w:eastAsia="Times New Roman"/>
              </w:rPr>
            </w:pPr>
          </w:p>
        </w:tc>
        <w:tc>
          <w:tcPr>
            <w:tcW w:w="1008" w:type="dxa"/>
            <w:vMerge/>
            <w:tcBorders>
              <w:top w:val="nil"/>
              <w:left w:val="single" w:sz="4" w:space="0" w:color="auto"/>
              <w:bottom w:val="single" w:sz="4" w:space="0" w:color="auto"/>
              <w:right w:val="single" w:sz="4" w:space="0" w:color="auto"/>
            </w:tcBorders>
            <w:vAlign w:val="center"/>
            <w:hideMark/>
          </w:tcPr>
          <w:p w:rsidR="00C9289F" w:rsidRPr="000242CD" w:rsidRDefault="00C9289F" w:rsidP="004203A9">
            <w:pPr>
              <w:spacing w:line="240" w:lineRule="auto"/>
              <w:jc w:val="center"/>
              <w:rPr>
                <w:rFonts w:eastAsia="Times New Roman"/>
              </w:rPr>
            </w:pPr>
          </w:p>
        </w:tc>
        <w:tc>
          <w:tcPr>
            <w:tcW w:w="1260" w:type="dxa"/>
            <w:vMerge/>
            <w:tcBorders>
              <w:top w:val="nil"/>
              <w:left w:val="single" w:sz="4" w:space="0" w:color="auto"/>
              <w:bottom w:val="single" w:sz="4" w:space="0" w:color="auto"/>
              <w:right w:val="single" w:sz="4" w:space="0" w:color="auto"/>
            </w:tcBorders>
            <w:vAlign w:val="center"/>
            <w:hideMark/>
          </w:tcPr>
          <w:p w:rsidR="00C9289F" w:rsidRPr="000242CD" w:rsidRDefault="00C9289F" w:rsidP="004203A9">
            <w:pPr>
              <w:spacing w:line="240" w:lineRule="auto"/>
              <w:jc w:val="center"/>
              <w:rPr>
                <w:rFonts w:eastAsia="Times New Roman"/>
                <w:color w:val="000000"/>
              </w:rPr>
            </w:pPr>
          </w:p>
        </w:tc>
      </w:tr>
      <w:tr w:rsidR="00C9289F" w:rsidRPr="000242CD" w:rsidTr="004203A9">
        <w:trPr>
          <w:trHeight w:val="196"/>
          <w:jc w:val="center"/>
        </w:trPr>
        <w:tc>
          <w:tcPr>
            <w:tcW w:w="1790" w:type="dxa"/>
            <w:vMerge/>
            <w:tcBorders>
              <w:top w:val="nil"/>
              <w:left w:val="single" w:sz="4" w:space="0" w:color="auto"/>
              <w:bottom w:val="single" w:sz="4" w:space="0" w:color="auto"/>
              <w:right w:val="single" w:sz="4" w:space="0" w:color="auto"/>
            </w:tcBorders>
            <w:vAlign w:val="center"/>
            <w:hideMark/>
          </w:tcPr>
          <w:p w:rsidR="00C9289F" w:rsidRPr="000242CD" w:rsidRDefault="00C9289F" w:rsidP="004203A9">
            <w:pPr>
              <w:spacing w:line="240" w:lineRule="auto"/>
              <w:jc w:val="center"/>
              <w:rPr>
                <w:rFonts w:eastAsia="Times New Roman"/>
                <w:b/>
                <w:bCs/>
              </w:rPr>
            </w:pPr>
          </w:p>
        </w:tc>
        <w:tc>
          <w:tcPr>
            <w:tcW w:w="1622" w:type="dxa"/>
            <w:tcBorders>
              <w:top w:val="nil"/>
              <w:left w:val="nil"/>
              <w:bottom w:val="single" w:sz="4" w:space="0" w:color="auto"/>
              <w:right w:val="single" w:sz="4" w:space="0" w:color="auto"/>
            </w:tcBorders>
            <w:shd w:val="clear" w:color="000000" w:fill="FFFFFF"/>
            <w:vAlign w:val="center"/>
            <w:hideMark/>
          </w:tcPr>
          <w:p w:rsidR="00C9289F" w:rsidRPr="000242CD" w:rsidRDefault="00C9289F" w:rsidP="004203A9">
            <w:pPr>
              <w:spacing w:line="240" w:lineRule="auto"/>
              <w:jc w:val="center"/>
              <w:rPr>
                <w:rFonts w:eastAsia="Times New Roman"/>
                <w:b/>
                <w:bCs/>
              </w:rPr>
            </w:pPr>
            <w:r w:rsidRPr="000242CD">
              <w:rPr>
                <w:rFonts w:eastAsia="Times New Roman"/>
                <w:b/>
                <w:bCs/>
              </w:rPr>
              <w:t>Dist. HOS</w:t>
            </w:r>
          </w:p>
        </w:tc>
        <w:tc>
          <w:tcPr>
            <w:tcW w:w="1072"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color w:val="000000"/>
              </w:rPr>
            </w:pPr>
            <w:r w:rsidRPr="000242CD">
              <w:rPr>
                <w:rFonts w:eastAsia="Times New Roman"/>
                <w:color w:val="000000"/>
              </w:rPr>
              <w:t>-1.0036</w:t>
            </w:r>
          </w:p>
        </w:tc>
        <w:tc>
          <w:tcPr>
            <w:tcW w:w="1247"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color w:val="000000"/>
              </w:rPr>
            </w:pPr>
            <w:r w:rsidRPr="000242CD">
              <w:rPr>
                <w:rFonts w:eastAsia="Times New Roman"/>
                <w:color w:val="000000"/>
              </w:rPr>
              <w:t>0.3054</w:t>
            </w:r>
          </w:p>
        </w:tc>
        <w:tc>
          <w:tcPr>
            <w:tcW w:w="996" w:type="dxa"/>
            <w:vMerge/>
            <w:tcBorders>
              <w:top w:val="nil"/>
              <w:left w:val="single" w:sz="4" w:space="0" w:color="auto"/>
              <w:bottom w:val="single" w:sz="4" w:space="0" w:color="auto"/>
              <w:right w:val="single" w:sz="4" w:space="0" w:color="auto"/>
            </w:tcBorders>
            <w:vAlign w:val="center"/>
            <w:hideMark/>
          </w:tcPr>
          <w:p w:rsidR="00C9289F" w:rsidRPr="000242CD" w:rsidRDefault="00C9289F" w:rsidP="004203A9">
            <w:pPr>
              <w:spacing w:line="240" w:lineRule="auto"/>
              <w:jc w:val="center"/>
              <w:rPr>
                <w:rFonts w:eastAsia="Times New Roman"/>
              </w:rPr>
            </w:pPr>
          </w:p>
        </w:tc>
        <w:tc>
          <w:tcPr>
            <w:tcW w:w="1008" w:type="dxa"/>
            <w:vMerge/>
            <w:tcBorders>
              <w:top w:val="nil"/>
              <w:left w:val="single" w:sz="4" w:space="0" w:color="auto"/>
              <w:bottom w:val="single" w:sz="4" w:space="0" w:color="auto"/>
              <w:right w:val="single" w:sz="4" w:space="0" w:color="auto"/>
            </w:tcBorders>
            <w:vAlign w:val="center"/>
            <w:hideMark/>
          </w:tcPr>
          <w:p w:rsidR="00C9289F" w:rsidRPr="000242CD" w:rsidRDefault="00C9289F" w:rsidP="004203A9">
            <w:pPr>
              <w:spacing w:line="240" w:lineRule="auto"/>
              <w:jc w:val="center"/>
              <w:rPr>
                <w:rFonts w:eastAsia="Times New Roman"/>
              </w:rPr>
            </w:pPr>
          </w:p>
        </w:tc>
        <w:tc>
          <w:tcPr>
            <w:tcW w:w="1260" w:type="dxa"/>
            <w:vMerge/>
            <w:tcBorders>
              <w:top w:val="nil"/>
              <w:left w:val="single" w:sz="4" w:space="0" w:color="auto"/>
              <w:bottom w:val="single" w:sz="4" w:space="0" w:color="auto"/>
              <w:right w:val="single" w:sz="4" w:space="0" w:color="auto"/>
            </w:tcBorders>
            <w:vAlign w:val="center"/>
            <w:hideMark/>
          </w:tcPr>
          <w:p w:rsidR="00C9289F" w:rsidRPr="000242CD" w:rsidRDefault="00C9289F" w:rsidP="004203A9">
            <w:pPr>
              <w:spacing w:line="240" w:lineRule="auto"/>
              <w:jc w:val="center"/>
              <w:rPr>
                <w:rFonts w:eastAsia="Times New Roman"/>
                <w:color w:val="000000"/>
              </w:rPr>
            </w:pPr>
          </w:p>
        </w:tc>
      </w:tr>
      <w:tr w:rsidR="00C9289F" w:rsidRPr="000242CD" w:rsidTr="004203A9">
        <w:trPr>
          <w:trHeight w:val="196"/>
          <w:jc w:val="center"/>
        </w:trPr>
        <w:tc>
          <w:tcPr>
            <w:tcW w:w="1790" w:type="dxa"/>
            <w:vMerge w:val="restart"/>
            <w:tcBorders>
              <w:top w:val="nil"/>
              <w:left w:val="single" w:sz="4" w:space="0" w:color="auto"/>
              <w:bottom w:val="single" w:sz="4" w:space="0" w:color="auto"/>
              <w:right w:val="single" w:sz="4" w:space="0" w:color="auto"/>
            </w:tcBorders>
            <w:shd w:val="clear" w:color="000000" w:fill="FFFFFF"/>
            <w:vAlign w:val="center"/>
            <w:hideMark/>
          </w:tcPr>
          <w:p w:rsidR="00C9289F" w:rsidRPr="000242CD" w:rsidRDefault="00C9289F" w:rsidP="004203A9">
            <w:pPr>
              <w:spacing w:line="240" w:lineRule="auto"/>
              <w:jc w:val="center"/>
              <w:rPr>
                <w:rFonts w:eastAsia="Times New Roman"/>
                <w:b/>
                <w:bCs/>
              </w:rPr>
            </w:pPr>
            <w:r w:rsidRPr="000242CD">
              <w:rPr>
                <w:rFonts w:eastAsia="Times New Roman"/>
                <w:b/>
                <w:bCs/>
                <w:color w:val="400040"/>
              </w:rPr>
              <w:t>Cleanliness</w:t>
            </w:r>
          </w:p>
        </w:tc>
        <w:tc>
          <w:tcPr>
            <w:tcW w:w="1622" w:type="dxa"/>
            <w:tcBorders>
              <w:top w:val="nil"/>
              <w:left w:val="nil"/>
              <w:bottom w:val="single" w:sz="4" w:space="0" w:color="auto"/>
              <w:right w:val="single" w:sz="4" w:space="0" w:color="auto"/>
            </w:tcBorders>
            <w:shd w:val="clear" w:color="000000" w:fill="FFFFFF"/>
            <w:vAlign w:val="center"/>
            <w:hideMark/>
          </w:tcPr>
          <w:p w:rsidR="00C9289F" w:rsidRPr="000242CD" w:rsidRDefault="00C9289F" w:rsidP="004203A9">
            <w:pPr>
              <w:spacing w:line="240" w:lineRule="auto"/>
              <w:jc w:val="center"/>
              <w:rPr>
                <w:rFonts w:eastAsia="Times New Roman"/>
                <w:b/>
                <w:bCs/>
              </w:rPr>
            </w:pPr>
            <w:r w:rsidRPr="000242CD">
              <w:rPr>
                <w:rFonts w:eastAsia="Times New Roman"/>
                <w:b/>
                <w:bCs/>
              </w:rPr>
              <w:t>PHC</w:t>
            </w:r>
          </w:p>
        </w:tc>
        <w:tc>
          <w:tcPr>
            <w:tcW w:w="1072"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color w:val="000000"/>
              </w:rPr>
            </w:pPr>
            <w:r w:rsidRPr="000242CD">
              <w:rPr>
                <w:rFonts w:eastAsia="Times New Roman"/>
                <w:color w:val="000000"/>
              </w:rPr>
              <w:t>0.1921</w:t>
            </w:r>
          </w:p>
        </w:tc>
        <w:tc>
          <w:tcPr>
            <w:tcW w:w="1247"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color w:val="000000"/>
              </w:rPr>
            </w:pPr>
            <w:r w:rsidRPr="000242CD">
              <w:rPr>
                <w:rFonts w:eastAsia="Times New Roman"/>
                <w:color w:val="000000"/>
              </w:rPr>
              <w:t>0.8580</w:t>
            </w:r>
          </w:p>
        </w:tc>
        <w:tc>
          <w:tcPr>
            <w:tcW w:w="996" w:type="dxa"/>
            <w:vMerge w:val="restart"/>
            <w:tcBorders>
              <w:top w:val="nil"/>
              <w:left w:val="single" w:sz="4" w:space="0" w:color="auto"/>
              <w:bottom w:val="single" w:sz="4" w:space="0" w:color="auto"/>
              <w:right w:val="single" w:sz="4" w:space="0" w:color="auto"/>
            </w:tcBorders>
            <w:shd w:val="clear" w:color="000000" w:fill="FFFFFF"/>
            <w:vAlign w:val="center"/>
            <w:hideMark/>
          </w:tcPr>
          <w:p w:rsidR="00C9289F" w:rsidRPr="000242CD" w:rsidRDefault="00C9289F" w:rsidP="004203A9">
            <w:pPr>
              <w:spacing w:line="240" w:lineRule="auto"/>
              <w:jc w:val="center"/>
              <w:rPr>
                <w:rFonts w:eastAsia="Times New Roman"/>
              </w:rPr>
            </w:pPr>
            <w:r w:rsidRPr="000242CD">
              <w:rPr>
                <w:rFonts w:eastAsia="Times New Roman"/>
              </w:rPr>
              <w:t>11.413</w:t>
            </w:r>
          </w:p>
        </w:tc>
        <w:tc>
          <w:tcPr>
            <w:tcW w:w="1008" w:type="dxa"/>
            <w:vMerge w:val="restart"/>
            <w:tcBorders>
              <w:top w:val="nil"/>
              <w:left w:val="single" w:sz="4" w:space="0" w:color="auto"/>
              <w:bottom w:val="single" w:sz="4" w:space="0" w:color="auto"/>
              <w:right w:val="single" w:sz="4" w:space="0" w:color="auto"/>
            </w:tcBorders>
            <w:shd w:val="clear" w:color="000000" w:fill="FFFFFF"/>
            <w:vAlign w:val="center"/>
            <w:hideMark/>
          </w:tcPr>
          <w:p w:rsidR="00C9289F" w:rsidRPr="000242CD" w:rsidRDefault="00C9289F" w:rsidP="004203A9">
            <w:pPr>
              <w:spacing w:line="240" w:lineRule="auto"/>
              <w:jc w:val="center"/>
              <w:rPr>
                <w:rFonts w:eastAsia="Times New Roman"/>
              </w:rPr>
            </w:pPr>
            <w:r w:rsidRPr="000242CD">
              <w:rPr>
                <w:rFonts w:eastAsia="Times New Roman"/>
              </w:rPr>
              <w:t>0.000</w:t>
            </w:r>
          </w:p>
        </w:tc>
        <w:tc>
          <w:tcPr>
            <w:tcW w:w="1260" w:type="dxa"/>
            <w:vMerge w:val="restart"/>
            <w:tcBorders>
              <w:top w:val="nil"/>
              <w:left w:val="single" w:sz="4" w:space="0" w:color="auto"/>
              <w:bottom w:val="single" w:sz="4" w:space="0" w:color="auto"/>
              <w:right w:val="single" w:sz="4" w:space="0" w:color="auto"/>
            </w:tcBorders>
            <w:shd w:val="clear" w:color="auto" w:fill="auto"/>
            <w:vAlign w:val="center"/>
            <w:hideMark/>
          </w:tcPr>
          <w:p w:rsidR="00C9289F" w:rsidRPr="000242CD" w:rsidRDefault="00C9289F" w:rsidP="004203A9">
            <w:pPr>
              <w:spacing w:line="240" w:lineRule="auto"/>
              <w:jc w:val="center"/>
              <w:rPr>
                <w:rFonts w:eastAsia="Times New Roman"/>
                <w:color w:val="000000"/>
              </w:rPr>
            </w:pPr>
            <w:r w:rsidRPr="000242CD">
              <w:rPr>
                <w:rFonts w:eastAsia="Times New Roman"/>
                <w:color w:val="000000"/>
              </w:rPr>
              <w:t>0.071</w:t>
            </w:r>
          </w:p>
        </w:tc>
      </w:tr>
      <w:tr w:rsidR="00C9289F" w:rsidRPr="000242CD" w:rsidTr="004203A9">
        <w:trPr>
          <w:trHeight w:val="196"/>
          <w:jc w:val="center"/>
        </w:trPr>
        <w:tc>
          <w:tcPr>
            <w:tcW w:w="1790" w:type="dxa"/>
            <w:vMerge/>
            <w:tcBorders>
              <w:top w:val="nil"/>
              <w:left w:val="single" w:sz="4" w:space="0" w:color="auto"/>
              <w:bottom w:val="single" w:sz="4" w:space="0" w:color="auto"/>
              <w:right w:val="single" w:sz="4" w:space="0" w:color="auto"/>
            </w:tcBorders>
            <w:vAlign w:val="center"/>
            <w:hideMark/>
          </w:tcPr>
          <w:p w:rsidR="00C9289F" w:rsidRPr="000242CD" w:rsidRDefault="00C9289F" w:rsidP="004203A9">
            <w:pPr>
              <w:spacing w:line="240" w:lineRule="auto"/>
              <w:jc w:val="center"/>
              <w:rPr>
                <w:rFonts w:eastAsia="Times New Roman"/>
                <w:b/>
                <w:bCs/>
              </w:rPr>
            </w:pPr>
          </w:p>
        </w:tc>
        <w:tc>
          <w:tcPr>
            <w:tcW w:w="1622" w:type="dxa"/>
            <w:tcBorders>
              <w:top w:val="nil"/>
              <w:left w:val="nil"/>
              <w:bottom w:val="single" w:sz="4" w:space="0" w:color="auto"/>
              <w:right w:val="single" w:sz="4" w:space="0" w:color="auto"/>
            </w:tcBorders>
            <w:shd w:val="clear" w:color="000000" w:fill="FFFFFF"/>
            <w:vAlign w:val="center"/>
            <w:hideMark/>
          </w:tcPr>
          <w:p w:rsidR="00C9289F" w:rsidRPr="000242CD" w:rsidRDefault="00C9289F" w:rsidP="004203A9">
            <w:pPr>
              <w:spacing w:line="240" w:lineRule="auto"/>
              <w:jc w:val="center"/>
              <w:rPr>
                <w:rFonts w:eastAsia="Times New Roman"/>
                <w:b/>
                <w:bCs/>
              </w:rPr>
            </w:pPr>
            <w:r w:rsidRPr="000242CD">
              <w:rPr>
                <w:rFonts w:eastAsia="Times New Roman"/>
                <w:b/>
                <w:bCs/>
              </w:rPr>
              <w:t>RH / CHC</w:t>
            </w:r>
          </w:p>
        </w:tc>
        <w:tc>
          <w:tcPr>
            <w:tcW w:w="1072"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color w:val="000000"/>
              </w:rPr>
            </w:pPr>
            <w:r w:rsidRPr="000242CD">
              <w:rPr>
                <w:rFonts w:eastAsia="Times New Roman"/>
                <w:color w:val="000000"/>
              </w:rPr>
              <w:t>0.1851</w:t>
            </w:r>
          </w:p>
        </w:tc>
        <w:tc>
          <w:tcPr>
            <w:tcW w:w="1247"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color w:val="000000"/>
              </w:rPr>
            </w:pPr>
            <w:r w:rsidRPr="000242CD">
              <w:rPr>
                <w:rFonts w:eastAsia="Times New Roman"/>
                <w:color w:val="000000"/>
              </w:rPr>
              <w:t>1.0575</w:t>
            </w:r>
          </w:p>
        </w:tc>
        <w:tc>
          <w:tcPr>
            <w:tcW w:w="996" w:type="dxa"/>
            <w:vMerge/>
            <w:tcBorders>
              <w:top w:val="nil"/>
              <w:left w:val="single" w:sz="4" w:space="0" w:color="auto"/>
              <w:bottom w:val="single" w:sz="4" w:space="0" w:color="auto"/>
              <w:right w:val="single" w:sz="4" w:space="0" w:color="auto"/>
            </w:tcBorders>
            <w:vAlign w:val="center"/>
            <w:hideMark/>
          </w:tcPr>
          <w:p w:rsidR="00C9289F" w:rsidRPr="000242CD" w:rsidRDefault="00C9289F" w:rsidP="004203A9">
            <w:pPr>
              <w:spacing w:line="240" w:lineRule="auto"/>
              <w:jc w:val="center"/>
              <w:rPr>
                <w:rFonts w:eastAsia="Times New Roman"/>
              </w:rPr>
            </w:pPr>
          </w:p>
        </w:tc>
        <w:tc>
          <w:tcPr>
            <w:tcW w:w="1008" w:type="dxa"/>
            <w:vMerge/>
            <w:tcBorders>
              <w:top w:val="nil"/>
              <w:left w:val="single" w:sz="4" w:space="0" w:color="auto"/>
              <w:bottom w:val="single" w:sz="4" w:space="0" w:color="auto"/>
              <w:right w:val="single" w:sz="4" w:space="0" w:color="auto"/>
            </w:tcBorders>
            <w:vAlign w:val="center"/>
            <w:hideMark/>
          </w:tcPr>
          <w:p w:rsidR="00C9289F" w:rsidRPr="000242CD" w:rsidRDefault="00C9289F" w:rsidP="004203A9">
            <w:pPr>
              <w:spacing w:line="240" w:lineRule="auto"/>
              <w:jc w:val="center"/>
              <w:rPr>
                <w:rFonts w:eastAsia="Times New Roman"/>
              </w:rPr>
            </w:pPr>
          </w:p>
        </w:tc>
        <w:tc>
          <w:tcPr>
            <w:tcW w:w="1260" w:type="dxa"/>
            <w:vMerge/>
            <w:tcBorders>
              <w:top w:val="nil"/>
              <w:left w:val="single" w:sz="4" w:space="0" w:color="auto"/>
              <w:bottom w:val="single" w:sz="4" w:space="0" w:color="auto"/>
              <w:right w:val="single" w:sz="4" w:space="0" w:color="auto"/>
            </w:tcBorders>
            <w:vAlign w:val="center"/>
            <w:hideMark/>
          </w:tcPr>
          <w:p w:rsidR="00C9289F" w:rsidRPr="000242CD" w:rsidRDefault="00C9289F" w:rsidP="004203A9">
            <w:pPr>
              <w:spacing w:line="240" w:lineRule="auto"/>
              <w:jc w:val="center"/>
              <w:rPr>
                <w:rFonts w:eastAsia="Times New Roman"/>
                <w:color w:val="000000"/>
              </w:rPr>
            </w:pPr>
          </w:p>
        </w:tc>
      </w:tr>
      <w:tr w:rsidR="00C9289F" w:rsidRPr="000242CD" w:rsidTr="004203A9">
        <w:trPr>
          <w:trHeight w:val="196"/>
          <w:jc w:val="center"/>
        </w:trPr>
        <w:tc>
          <w:tcPr>
            <w:tcW w:w="1790" w:type="dxa"/>
            <w:vMerge/>
            <w:tcBorders>
              <w:top w:val="nil"/>
              <w:left w:val="single" w:sz="4" w:space="0" w:color="auto"/>
              <w:bottom w:val="single" w:sz="4" w:space="0" w:color="auto"/>
              <w:right w:val="single" w:sz="4" w:space="0" w:color="auto"/>
            </w:tcBorders>
            <w:vAlign w:val="center"/>
            <w:hideMark/>
          </w:tcPr>
          <w:p w:rsidR="00C9289F" w:rsidRPr="000242CD" w:rsidRDefault="00C9289F" w:rsidP="004203A9">
            <w:pPr>
              <w:spacing w:line="240" w:lineRule="auto"/>
              <w:jc w:val="center"/>
              <w:rPr>
                <w:rFonts w:eastAsia="Times New Roman"/>
                <w:b/>
                <w:bCs/>
              </w:rPr>
            </w:pPr>
          </w:p>
        </w:tc>
        <w:tc>
          <w:tcPr>
            <w:tcW w:w="1622" w:type="dxa"/>
            <w:tcBorders>
              <w:top w:val="nil"/>
              <w:left w:val="nil"/>
              <w:bottom w:val="single" w:sz="4" w:space="0" w:color="auto"/>
              <w:right w:val="single" w:sz="4" w:space="0" w:color="auto"/>
            </w:tcBorders>
            <w:shd w:val="clear" w:color="000000" w:fill="FFFFFF"/>
            <w:vAlign w:val="center"/>
            <w:hideMark/>
          </w:tcPr>
          <w:p w:rsidR="00C9289F" w:rsidRPr="000242CD" w:rsidRDefault="00C9289F" w:rsidP="004203A9">
            <w:pPr>
              <w:spacing w:line="240" w:lineRule="auto"/>
              <w:jc w:val="center"/>
              <w:rPr>
                <w:rFonts w:eastAsia="Times New Roman"/>
                <w:b/>
                <w:bCs/>
              </w:rPr>
            </w:pPr>
            <w:r w:rsidRPr="000242CD">
              <w:rPr>
                <w:rFonts w:eastAsia="Times New Roman"/>
                <w:b/>
                <w:bCs/>
              </w:rPr>
              <w:t>Dist. HOS</w:t>
            </w:r>
          </w:p>
        </w:tc>
        <w:tc>
          <w:tcPr>
            <w:tcW w:w="1072"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color w:val="000000"/>
              </w:rPr>
            </w:pPr>
            <w:r w:rsidRPr="000242CD">
              <w:rPr>
                <w:rFonts w:eastAsia="Times New Roman"/>
                <w:color w:val="000000"/>
              </w:rPr>
              <w:t>-0.3772</w:t>
            </w:r>
          </w:p>
        </w:tc>
        <w:tc>
          <w:tcPr>
            <w:tcW w:w="1247"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color w:val="000000"/>
              </w:rPr>
            </w:pPr>
            <w:r w:rsidRPr="000242CD">
              <w:rPr>
                <w:rFonts w:eastAsia="Times New Roman"/>
                <w:color w:val="000000"/>
              </w:rPr>
              <w:t>0.9748</w:t>
            </w:r>
          </w:p>
        </w:tc>
        <w:tc>
          <w:tcPr>
            <w:tcW w:w="996" w:type="dxa"/>
            <w:vMerge/>
            <w:tcBorders>
              <w:top w:val="nil"/>
              <w:left w:val="single" w:sz="4" w:space="0" w:color="auto"/>
              <w:bottom w:val="single" w:sz="4" w:space="0" w:color="auto"/>
              <w:right w:val="single" w:sz="4" w:space="0" w:color="auto"/>
            </w:tcBorders>
            <w:vAlign w:val="center"/>
            <w:hideMark/>
          </w:tcPr>
          <w:p w:rsidR="00C9289F" w:rsidRPr="000242CD" w:rsidRDefault="00C9289F" w:rsidP="004203A9">
            <w:pPr>
              <w:spacing w:line="240" w:lineRule="auto"/>
              <w:jc w:val="center"/>
              <w:rPr>
                <w:rFonts w:eastAsia="Times New Roman"/>
              </w:rPr>
            </w:pPr>
          </w:p>
        </w:tc>
        <w:tc>
          <w:tcPr>
            <w:tcW w:w="1008" w:type="dxa"/>
            <w:vMerge/>
            <w:tcBorders>
              <w:top w:val="nil"/>
              <w:left w:val="single" w:sz="4" w:space="0" w:color="auto"/>
              <w:bottom w:val="single" w:sz="4" w:space="0" w:color="auto"/>
              <w:right w:val="single" w:sz="4" w:space="0" w:color="auto"/>
            </w:tcBorders>
            <w:vAlign w:val="center"/>
            <w:hideMark/>
          </w:tcPr>
          <w:p w:rsidR="00C9289F" w:rsidRPr="000242CD" w:rsidRDefault="00C9289F" w:rsidP="004203A9">
            <w:pPr>
              <w:spacing w:line="240" w:lineRule="auto"/>
              <w:jc w:val="center"/>
              <w:rPr>
                <w:rFonts w:eastAsia="Times New Roman"/>
              </w:rPr>
            </w:pPr>
          </w:p>
        </w:tc>
        <w:tc>
          <w:tcPr>
            <w:tcW w:w="1260" w:type="dxa"/>
            <w:vMerge/>
            <w:tcBorders>
              <w:top w:val="nil"/>
              <w:left w:val="single" w:sz="4" w:space="0" w:color="auto"/>
              <w:bottom w:val="single" w:sz="4" w:space="0" w:color="auto"/>
              <w:right w:val="single" w:sz="4" w:space="0" w:color="auto"/>
            </w:tcBorders>
            <w:vAlign w:val="center"/>
            <w:hideMark/>
          </w:tcPr>
          <w:p w:rsidR="00C9289F" w:rsidRPr="000242CD" w:rsidRDefault="00C9289F" w:rsidP="004203A9">
            <w:pPr>
              <w:spacing w:line="240" w:lineRule="auto"/>
              <w:jc w:val="center"/>
              <w:rPr>
                <w:rFonts w:eastAsia="Times New Roman"/>
                <w:color w:val="000000"/>
              </w:rPr>
            </w:pPr>
          </w:p>
        </w:tc>
      </w:tr>
      <w:tr w:rsidR="00C9289F" w:rsidRPr="000242CD" w:rsidTr="004203A9">
        <w:trPr>
          <w:trHeight w:val="196"/>
          <w:jc w:val="center"/>
        </w:trPr>
        <w:tc>
          <w:tcPr>
            <w:tcW w:w="1790" w:type="dxa"/>
            <w:vMerge w:val="restart"/>
            <w:tcBorders>
              <w:top w:val="nil"/>
              <w:left w:val="single" w:sz="4" w:space="0" w:color="auto"/>
              <w:bottom w:val="single" w:sz="4" w:space="0" w:color="auto"/>
              <w:right w:val="single" w:sz="4" w:space="0" w:color="auto"/>
            </w:tcBorders>
            <w:shd w:val="clear" w:color="000000" w:fill="FFFFFF"/>
            <w:vAlign w:val="center"/>
            <w:hideMark/>
          </w:tcPr>
          <w:p w:rsidR="00C9289F" w:rsidRPr="000242CD" w:rsidRDefault="00C9289F" w:rsidP="004203A9">
            <w:pPr>
              <w:spacing w:line="240" w:lineRule="auto"/>
              <w:jc w:val="center"/>
              <w:rPr>
                <w:rFonts w:eastAsia="Times New Roman"/>
                <w:b/>
                <w:bCs/>
              </w:rPr>
            </w:pPr>
            <w:r w:rsidRPr="000242CD">
              <w:rPr>
                <w:rFonts w:eastAsia="Times New Roman"/>
                <w:b/>
                <w:color w:val="000000"/>
              </w:rPr>
              <w:t>Infrastructure</w:t>
            </w:r>
          </w:p>
        </w:tc>
        <w:tc>
          <w:tcPr>
            <w:tcW w:w="1622" w:type="dxa"/>
            <w:tcBorders>
              <w:top w:val="nil"/>
              <w:left w:val="nil"/>
              <w:bottom w:val="single" w:sz="4" w:space="0" w:color="auto"/>
              <w:right w:val="single" w:sz="4" w:space="0" w:color="auto"/>
            </w:tcBorders>
            <w:shd w:val="clear" w:color="000000" w:fill="FFFFFF"/>
            <w:vAlign w:val="center"/>
            <w:hideMark/>
          </w:tcPr>
          <w:p w:rsidR="00C9289F" w:rsidRPr="000242CD" w:rsidRDefault="00C9289F" w:rsidP="004203A9">
            <w:pPr>
              <w:spacing w:line="240" w:lineRule="auto"/>
              <w:jc w:val="center"/>
              <w:rPr>
                <w:rFonts w:eastAsia="Times New Roman"/>
                <w:b/>
                <w:bCs/>
              </w:rPr>
            </w:pPr>
            <w:r w:rsidRPr="000242CD">
              <w:rPr>
                <w:rFonts w:eastAsia="Times New Roman"/>
                <w:b/>
                <w:bCs/>
              </w:rPr>
              <w:t>PHC</w:t>
            </w:r>
          </w:p>
        </w:tc>
        <w:tc>
          <w:tcPr>
            <w:tcW w:w="1072"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color w:val="000000"/>
              </w:rPr>
            </w:pPr>
            <w:r w:rsidRPr="000242CD">
              <w:rPr>
                <w:rFonts w:eastAsia="Times New Roman"/>
                <w:color w:val="000000"/>
              </w:rPr>
              <w:t>0.2392</w:t>
            </w:r>
          </w:p>
        </w:tc>
        <w:tc>
          <w:tcPr>
            <w:tcW w:w="1247"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color w:val="000000"/>
              </w:rPr>
            </w:pPr>
            <w:r w:rsidRPr="000242CD">
              <w:rPr>
                <w:rFonts w:eastAsia="Times New Roman"/>
                <w:color w:val="000000"/>
              </w:rPr>
              <w:t>1.0078</w:t>
            </w:r>
          </w:p>
        </w:tc>
        <w:tc>
          <w:tcPr>
            <w:tcW w:w="996" w:type="dxa"/>
            <w:vMerge w:val="restart"/>
            <w:tcBorders>
              <w:top w:val="nil"/>
              <w:left w:val="single" w:sz="4" w:space="0" w:color="auto"/>
              <w:bottom w:val="single" w:sz="4" w:space="0" w:color="auto"/>
              <w:right w:val="single" w:sz="4" w:space="0" w:color="auto"/>
            </w:tcBorders>
            <w:shd w:val="clear" w:color="000000" w:fill="FFFFFF"/>
            <w:vAlign w:val="center"/>
            <w:hideMark/>
          </w:tcPr>
          <w:p w:rsidR="00C9289F" w:rsidRPr="000242CD" w:rsidRDefault="00C9289F" w:rsidP="004203A9">
            <w:pPr>
              <w:spacing w:line="240" w:lineRule="auto"/>
              <w:jc w:val="center"/>
              <w:rPr>
                <w:rFonts w:eastAsia="Times New Roman"/>
              </w:rPr>
            </w:pPr>
            <w:r w:rsidRPr="000242CD">
              <w:rPr>
                <w:rFonts w:eastAsia="Times New Roman"/>
              </w:rPr>
              <w:t>9.436</w:t>
            </w:r>
          </w:p>
        </w:tc>
        <w:tc>
          <w:tcPr>
            <w:tcW w:w="1008" w:type="dxa"/>
            <w:vMerge w:val="restart"/>
            <w:tcBorders>
              <w:top w:val="nil"/>
              <w:left w:val="single" w:sz="4" w:space="0" w:color="auto"/>
              <w:bottom w:val="single" w:sz="4" w:space="0" w:color="auto"/>
              <w:right w:val="single" w:sz="4" w:space="0" w:color="auto"/>
            </w:tcBorders>
            <w:shd w:val="clear" w:color="000000" w:fill="FFFFFF"/>
            <w:vAlign w:val="center"/>
            <w:hideMark/>
          </w:tcPr>
          <w:p w:rsidR="00C9289F" w:rsidRPr="000242CD" w:rsidRDefault="00C9289F" w:rsidP="004203A9">
            <w:pPr>
              <w:spacing w:line="240" w:lineRule="auto"/>
              <w:jc w:val="center"/>
              <w:rPr>
                <w:rFonts w:eastAsia="Times New Roman"/>
              </w:rPr>
            </w:pPr>
            <w:r w:rsidRPr="000242CD">
              <w:rPr>
                <w:rFonts w:eastAsia="Times New Roman"/>
              </w:rPr>
              <w:t>0.000</w:t>
            </w:r>
          </w:p>
        </w:tc>
        <w:tc>
          <w:tcPr>
            <w:tcW w:w="1260" w:type="dxa"/>
            <w:vMerge w:val="restart"/>
            <w:tcBorders>
              <w:top w:val="nil"/>
              <w:left w:val="single" w:sz="4" w:space="0" w:color="auto"/>
              <w:bottom w:val="single" w:sz="4" w:space="0" w:color="auto"/>
              <w:right w:val="single" w:sz="4" w:space="0" w:color="auto"/>
            </w:tcBorders>
            <w:shd w:val="clear" w:color="auto" w:fill="auto"/>
            <w:vAlign w:val="center"/>
            <w:hideMark/>
          </w:tcPr>
          <w:p w:rsidR="00C9289F" w:rsidRPr="000242CD" w:rsidRDefault="00C9289F" w:rsidP="004203A9">
            <w:pPr>
              <w:spacing w:line="240" w:lineRule="auto"/>
              <w:jc w:val="center"/>
              <w:rPr>
                <w:rFonts w:eastAsia="Times New Roman"/>
                <w:color w:val="000000"/>
              </w:rPr>
            </w:pPr>
            <w:r w:rsidRPr="000242CD">
              <w:rPr>
                <w:rFonts w:eastAsia="Times New Roman"/>
                <w:color w:val="000000"/>
              </w:rPr>
              <w:t>0.060</w:t>
            </w:r>
          </w:p>
        </w:tc>
      </w:tr>
      <w:tr w:rsidR="00C9289F" w:rsidRPr="000242CD" w:rsidTr="004203A9">
        <w:trPr>
          <w:trHeight w:val="196"/>
          <w:jc w:val="center"/>
        </w:trPr>
        <w:tc>
          <w:tcPr>
            <w:tcW w:w="1790" w:type="dxa"/>
            <w:vMerge/>
            <w:tcBorders>
              <w:top w:val="nil"/>
              <w:left w:val="single" w:sz="4" w:space="0" w:color="auto"/>
              <w:bottom w:val="single" w:sz="4" w:space="0" w:color="auto"/>
              <w:right w:val="single" w:sz="4" w:space="0" w:color="auto"/>
            </w:tcBorders>
            <w:vAlign w:val="center"/>
            <w:hideMark/>
          </w:tcPr>
          <w:p w:rsidR="00C9289F" w:rsidRPr="000242CD" w:rsidRDefault="00C9289F" w:rsidP="004203A9">
            <w:pPr>
              <w:spacing w:line="240" w:lineRule="auto"/>
              <w:jc w:val="center"/>
              <w:rPr>
                <w:rFonts w:eastAsia="Times New Roman"/>
                <w:b/>
                <w:bCs/>
              </w:rPr>
            </w:pPr>
          </w:p>
        </w:tc>
        <w:tc>
          <w:tcPr>
            <w:tcW w:w="1622" w:type="dxa"/>
            <w:tcBorders>
              <w:top w:val="nil"/>
              <w:left w:val="nil"/>
              <w:bottom w:val="single" w:sz="4" w:space="0" w:color="auto"/>
              <w:right w:val="single" w:sz="4" w:space="0" w:color="auto"/>
            </w:tcBorders>
            <w:shd w:val="clear" w:color="000000" w:fill="FFFFFF"/>
            <w:vAlign w:val="center"/>
            <w:hideMark/>
          </w:tcPr>
          <w:p w:rsidR="00C9289F" w:rsidRPr="000242CD" w:rsidRDefault="00C9289F" w:rsidP="004203A9">
            <w:pPr>
              <w:spacing w:line="240" w:lineRule="auto"/>
              <w:jc w:val="center"/>
              <w:rPr>
                <w:rFonts w:eastAsia="Times New Roman"/>
                <w:b/>
                <w:bCs/>
              </w:rPr>
            </w:pPr>
            <w:r w:rsidRPr="000242CD">
              <w:rPr>
                <w:rFonts w:eastAsia="Times New Roman"/>
                <w:b/>
                <w:bCs/>
              </w:rPr>
              <w:t>R H / CHC</w:t>
            </w:r>
          </w:p>
        </w:tc>
        <w:tc>
          <w:tcPr>
            <w:tcW w:w="1072"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color w:val="000000"/>
              </w:rPr>
            </w:pPr>
            <w:r w:rsidRPr="000242CD">
              <w:rPr>
                <w:rFonts w:eastAsia="Times New Roman"/>
                <w:color w:val="000000"/>
              </w:rPr>
              <w:t>0.0958</w:t>
            </w:r>
          </w:p>
        </w:tc>
        <w:tc>
          <w:tcPr>
            <w:tcW w:w="1247"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color w:val="000000"/>
              </w:rPr>
            </w:pPr>
            <w:r w:rsidRPr="000242CD">
              <w:rPr>
                <w:rFonts w:eastAsia="Times New Roman"/>
                <w:color w:val="000000"/>
              </w:rPr>
              <w:t>0.8772</w:t>
            </w:r>
          </w:p>
        </w:tc>
        <w:tc>
          <w:tcPr>
            <w:tcW w:w="996" w:type="dxa"/>
            <w:vMerge/>
            <w:tcBorders>
              <w:top w:val="nil"/>
              <w:left w:val="single" w:sz="4" w:space="0" w:color="auto"/>
              <w:bottom w:val="single" w:sz="4" w:space="0" w:color="auto"/>
              <w:right w:val="single" w:sz="4" w:space="0" w:color="auto"/>
            </w:tcBorders>
            <w:vAlign w:val="center"/>
            <w:hideMark/>
          </w:tcPr>
          <w:p w:rsidR="00C9289F" w:rsidRPr="000242CD" w:rsidRDefault="00C9289F" w:rsidP="004203A9">
            <w:pPr>
              <w:spacing w:line="240" w:lineRule="auto"/>
              <w:jc w:val="center"/>
              <w:rPr>
                <w:rFonts w:eastAsia="Times New Roman"/>
              </w:rPr>
            </w:pPr>
          </w:p>
        </w:tc>
        <w:tc>
          <w:tcPr>
            <w:tcW w:w="1008" w:type="dxa"/>
            <w:vMerge/>
            <w:tcBorders>
              <w:top w:val="nil"/>
              <w:left w:val="single" w:sz="4" w:space="0" w:color="auto"/>
              <w:bottom w:val="single" w:sz="4" w:space="0" w:color="auto"/>
              <w:right w:val="single" w:sz="4" w:space="0" w:color="auto"/>
            </w:tcBorders>
            <w:vAlign w:val="center"/>
            <w:hideMark/>
          </w:tcPr>
          <w:p w:rsidR="00C9289F" w:rsidRPr="000242CD" w:rsidRDefault="00C9289F" w:rsidP="004203A9">
            <w:pPr>
              <w:spacing w:line="240" w:lineRule="auto"/>
              <w:jc w:val="center"/>
              <w:rPr>
                <w:rFonts w:eastAsia="Times New Roman"/>
              </w:rPr>
            </w:pPr>
          </w:p>
        </w:tc>
        <w:tc>
          <w:tcPr>
            <w:tcW w:w="1260" w:type="dxa"/>
            <w:vMerge/>
            <w:tcBorders>
              <w:top w:val="nil"/>
              <w:left w:val="single" w:sz="4" w:space="0" w:color="auto"/>
              <w:bottom w:val="single" w:sz="4" w:space="0" w:color="auto"/>
              <w:right w:val="single" w:sz="4" w:space="0" w:color="auto"/>
            </w:tcBorders>
            <w:vAlign w:val="center"/>
            <w:hideMark/>
          </w:tcPr>
          <w:p w:rsidR="00C9289F" w:rsidRPr="000242CD" w:rsidRDefault="00C9289F" w:rsidP="004203A9">
            <w:pPr>
              <w:spacing w:line="240" w:lineRule="auto"/>
              <w:jc w:val="center"/>
              <w:rPr>
                <w:rFonts w:eastAsia="Times New Roman"/>
                <w:color w:val="000000"/>
              </w:rPr>
            </w:pPr>
          </w:p>
        </w:tc>
      </w:tr>
      <w:tr w:rsidR="00C9289F" w:rsidRPr="000242CD" w:rsidTr="004203A9">
        <w:trPr>
          <w:trHeight w:val="196"/>
          <w:jc w:val="center"/>
        </w:trPr>
        <w:tc>
          <w:tcPr>
            <w:tcW w:w="1790" w:type="dxa"/>
            <w:vMerge/>
            <w:tcBorders>
              <w:top w:val="nil"/>
              <w:left w:val="single" w:sz="4" w:space="0" w:color="auto"/>
              <w:bottom w:val="single" w:sz="4" w:space="0" w:color="auto"/>
              <w:right w:val="single" w:sz="4" w:space="0" w:color="auto"/>
            </w:tcBorders>
            <w:vAlign w:val="center"/>
            <w:hideMark/>
          </w:tcPr>
          <w:p w:rsidR="00C9289F" w:rsidRPr="000242CD" w:rsidRDefault="00C9289F" w:rsidP="004203A9">
            <w:pPr>
              <w:spacing w:line="240" w:lineRule="auto"/>
              <w:jc w:val="center"/>
              <w:rPr>
                <w:rFonts w:eastAsia="Times New Roman"/>
                <w:b/>
                <w:bCs/>
              </w:rPr>
            </w:pPr>
          </w:p>
        </w:tc>
        <w:tc>
          <w:tcPr>
            <w:tcW w:w="1622" w:type="dxa"/>
            <w:tcBorders>
              <w:top w:val="nil"/>
              <w:left w:val="nil"/>
              <w:bottom w:val="single" w:sz="4" w:space="0" w:color="auto"/>
              <w:right w:val="single" w:sz="4" w:space="0" w:color="auto"/>
            </w:tcBorders>
            <w:shd w:val="clear" w:color="000000" w:fill="FFFFFF"/>
            <w:vAlign w:val="center"/>
            <w:hideMark/>
          </w:tcPr>
          <w:p w:rsidR="00C9289F" w:rsidRPr="000242CD" w:rsidRDefault="00C9289F" w:rsidP="004203A9">
            <w:pPr>
              <w:spacing w:line="240" w:lineRule="auto"/>
              <w:jc w:val="center"/>
              <w:rPr>
                <w:rFonts w:eastAsia="Times New Roman"/>
                <w:b/>
                <w:bCs/>
              </w:rPr>
            </w:pPr>
            <w:r w:rsidRPr="000242CD">
              <w:rPr>
                <w:rFonts w:eastAsia="Times New Roman"/>
                <w:b/>
                <w:bCs/>
              </w:rPr>
              <w:t>Dist. HOS</w:t>
            </w:r>
          </w:p>
        </w:tc>
        <w:tc>
          <w:tcPr>
            <w:tcW w:w="1072"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color w:val="000000"/>
              </w:rPr>
            </w:pPr>
            <w:r w:rsidRPr="000242CD">
              <w:rPr>
                <w:rFonts w:eastAsia="Times New Roman"/>
                <w:color w:val="000000"/>
              </w:rPr>
              <w:t>-0.3350</w:t>
            </w:r>
          </w:p>
        </w:tc>
        <w:tc>
          <w:tcPr>
            <w:tcW w:w="1247"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color w:val="000000"/>
              </w:rPr>
            </w:pPr>
            <w:r w:rsidRPr="000242CD">
              <w:rPr>
                <w:rFonts w:eastAsia="Times New Roman"/>
                <w:color w:val="000000"/>
              </w:rPr>
              <w:t>1.0270</w:t>
            </w:r>
          </w:p>
        </w:tc>
        <w:tc>
          <w:tcPr>
            <w:tcW w:w="996" w:type="dxa"/>
            <w:vMerge/>
            <w:tcBorders>
              <w:top w:val="nil"/>
              <w:left w:val="single" w:sz="4" w:space="0" w:color="auto"/>
              <w:bottom w:val="single" w:sz="4" w:space="0" w:color="auto"/>
              <w:right w:val="single" w:sz="4" w:space="0" w:color="auto"/>
            </w:tcBorders>
            <w:vAlign w:val="center"/>
            <w:hideMark/>
          </w:tcPr>
          <w:p w:rsidR="00C9289F" w:rsidRPr="000242CD" w:rsidRDefault="00C9289F" w:rsidP="004203A9">
            <w:pPr>
              <w:spacing w:line="240" w:lineRule="auto"/>
              <w:jc w:val="center"/>
              <w:rPr>
                <w:rFonts w:eastAsia="Times New Roman"/>
              </w:rPr>
            </w:pPr>
          </w:p>
        </w:tc>
        <w:tc>
          <w:tcPr>
            <w:tcW w:w="1008" w:type="dxa"/>
            <w:vMerge/>
            <w:tcBorders>
              <w:top w:val="nil"/>
              <w:left w:val="single" w:sz="4" w:space="0" w:color="auto"/>
              <w:bottom w:val="single" w:sz="4" w:space="0" w:color="auto"/>
              <w:right w:val="single" w:sz="4" w:space="0" w:color="auto"/>
            </w:tcBorders>
            <w:vAlign w:val="center"/>
            <w:hideMark/>
          </w:tcPr>
          <w:p w:rsidR="00C9289F" w:rsidRPr="000242CD" w:rsidRDefault="00C9289F" w:rsidP="004203A9">
            <w:pPr>
              <w:spacing w:line="240" w:lineRule="auto"/>
              <w:jc w:val="center"/>
              <w:rPr>
                <w:rFonts w:eastAsia="Times New Roman"/>
              </w:rPr>
            </w:pPr>
          </w:p>
        </w:tc>
        <w:tc>
          <w:tcPr>
            <w:tcW w:w="1260" w:type="dxa"/>
            <w:vMerge/>
            <w:tcBorders>
              <w:top w:val="nil"/>
              <w:left w:val="single" w:sz="4" w:space="0" w:color="auto"/>
              <w:bottom w:val="single" w:sz="4" w:space="0" w:color="auto"/>
              <w:right w:val="single" w:sz="4" w:space="0" w:color="auto"/>
            </w:tcBorders>
            <w:vAlign w:val="center"/>
            <w:hideMark/>
          </w:tcPr>
          <w:p w:rsidR="00C9289F" w:rsidRPr="000242CD" w:rsidRDefault="00C9289F" w:rsidP="004203A9">
            <w:pPr>
              <w:spacing w:line="240" w:lineRule="auto"/>
              <w:jc w:val="center"/>
              <w:rPr>
                <w:rFonts w:eastAsia="Times New Roman"/>
                <w:color w:val="000000"/>
              </w:rPr>
            </w:pPr>
          </w:p>
        </w:tc>
      </w:tr>
    </w:tbl>
    <w:p w:rsidR="00B36DFE" w:rsidRPr="000242CD" w:rsidRDefault="00B36DFE" w:rsidP="004203A9">
      <w:pPr>
        <w:pStyle w:val="Default"/>
        <w:jc w:val="center"/>
      </w:pPr>
    </w:p>
    <w:p w:rsidR="00B36DFE" w:rsidRPr="000242CD" w:rsidRDefault="00B36DFE" w:rsidP="000242CD">
      <w:pPr>
        <w:pStyle w:val="Default"/>
        <w:jc w:val="both"/>
      </w:pPr>
      <w:r w:rsidRPr="000242CD">
        <w:t>Source: Compiled by Author</w:t>
      </w:r>
    </w:p>
    <w:p w:rsidR="00C9289F" w:rsidRPr="000242CD" w:rsidRDefault="00C9289F" w:rsidP="000242CD">
      <w:pPr>
        <w:pStyle w:val="Default"/>
        <w:jc w:val="both"/>
      </w:pPr>
    </w:p>
    <w:p w:rsidR="00C9289F" w:rsidRPr="000242CD" w:rsidRDefault="00C9289F" w:rsidP="000242CD">
      <w:pPr>
        <w:pStyle w:val="Default"/>
        <w:jc w:val="both"/>
      </w:pPr>
    </w:p>
    <w:p w:rsidR="00C9289F" w:rsidRPr="000242CD" w:rsidRDefault="00C9289F" w:rsidP="000242CD">
      <w:pPr>
        <w:pStyle w:val="Default"/>
        <w:jc w:val="both"/>
      </w:pPr>
    </w:p>
    <w:p w:rsidR="001716EE" w:rsidRPr="000242CD" w:rsidRDefault="001716EE" w:rsidP="000242CD">
      <w:pPr>
        <w:pStyle w:val="Default"/>
        <w:jc w:val="both"/>
      </w:pPr>
    </w:p>
    <w:p w:rsidR="001716EE" w:rsidRPr="000242CD" w:rsidRDefault="001716EE" w:rsidP="000242CD">
      <w:pPr>
        <w:pStyle w:val="Default"/>
        <w:jc w:val="both"/>
      </w:pPr>
    </w:p>
    <w:p w:rsidR="001716EE" w:rsidRPr="000242CD" w:rsidRDefault="001716EE" w:rsidP="000242CD">
      <w:pPr>
        <w:pStyle w:val="Default"/>
        <w:jc w:val="both"/>
      </w:pPr>
    </w:p>
    <w:p w:rsidR="001716EE" w:rsidRPr="000242CD" w:rsidRDefault="001716EE" w:rsidP="000242CD">
      <w:pPr>
        <w:pStyle w:val="Default"/>
        <w:jc w:val="both"/>
      </w:pPr>
    </w:p>
    <w:p w:rsidR="001716EE" w:rsidRPr="000242CD" w:rsidRDefault="001716EE" w:rsidP="000242CD">
      <w:pPr>
        <w:pStyle w:val="Default"/>
        <w:jc w:val="both"/>
      </w:pPr>
    </w:p>
    <w:p w:rsidR="001716EE" w:rsidRPr="000242CD" w:rsidRDefault="001716EE" w:rsidP="000242CD">
      <w:pPr>
        <w:pStyle w:val="Default"/>
        <w:jc w:val="both"/>
      </w:pPr>
    </w:p>
    <w:p w:rsidR="001716EE" w:rsidRPr="000242CD" w:rsidRDefault="001716EE" w:rsidP="000242CD">
      <w:pPr>
        <w:pStyle w:val="Default"/>
        <w:jc w:val="both"/>
      </w:pPr>
    </w:p>
    <w:p w:rsidR="001716EE" w:rsidRPr="000242CD" w:rsidRDefault="001716EE" w:rsidP="000242CD">
      <w:pPr>
        <w:pStyle w:val="Default"/>
        <w:jc w:val="both"/>
      </w:pPr>
    </w:p>
    <w:p w:rsidR="001716EE" w:rsidRPr="000242CD" w:rsidRDefault="001716EE" w:rsidP="000242CD">
      <w:pPr>
        <w:pStyle w:val="Default"/>
        <w:jc w:val="both"/>
      </w:pPr>
    </w:p>
    <w:p w:rsidR="001716EE" w:rsidRPr="000242CD" w:rsidRDefault="001716EE" w:rsidP="000242CD">
      <w:pPr>
        <w:pStyle w:val="Default"/>
        <w:jc w:val="both"/>
      </w:pPr>
    </w:p>
    <w:p w:rsidR="001716EE" w:rsidRPr="000242CD" w:rsidRDefault="001716EE" w:rsidP="000242CD">
      <w:pPr>
        <w:pStyle w:val="Default"/>
        <w:jc w:val="both"/>
      </w:pPr>
    </w:p>
    <w:p w:rsidR="001716EE" w:rsidRPr="000242CD" w:rsidRDefault="001716EE" w:rsidP="000242CD">
      <w:pPr>
        <w:pStyle w:val="Default"/>
        <w:jc w:val="both"/>
      </w:pPr>
    </w:p>
    <w:p w:rsidR="00C9289F" w:rsidRPr="000242CD" w:rsidRDefault="00C9289F" w:rsidP="000242CD">
      <w:pPr>
        <w:pStyle w:val="Default"/>
        <w:jc w:val="both"/>
      </w:pPr>
    </w:p>
    <w:p w:rsidR="00C9289F" w:rsidRPr="000242CD" w:rsidRDefault="00C9289F" w:rsidP="004203A9">
      <w:pPr>
        <w:spacing w:line="240" w:lineRule="auto"/>
        <w:jc w:val="center"/>
        <w:rPr>
          <w:rFonts w:eastAsia="Times New Roman"/>
          <w:b/>
          <w:color w:val="1C1E29"/>
        </w:rPr>
      </w:pPr>
      <w:r w:rsidRPr="000242CD">
        <w:rPr>
          <w:b/>
        </w:rPr>
        <w:lastRenderedPageBreak/>
        <w:t xml:space="preserve">Table 6: </w:t>
      </w:r>
      <w:r w:rsidRPr="000242CD">
        <w:rPr>
          <w:rFonts w:eastAsia="Times New Roman"/>
          <w:b/>
          <w:color w:val="1C1E29"/>
        </w:rPr>
        <w:t xml:space="preserve">Result of Post Hok Test to Identify Variation in Patients’ Experience among different </w:t>
      </w:r>
      <w:r w:rsidRPr="000242CD">
        <w:rPr>
          <w:rFonts w:eastAsia="Times New Roman"/>
          <w:b/>
          <w:bCs/>
        </w:rPr>
        <w:t>Healthcare Center</w:t>
      </w:r>
      <w:r w:rsidRPr="000242CD">
        <w:rPr>
          <w:rFonts w:eastAsia="Times New Roman"/>
          <w:b/>
          <w:color w:val="1C1E29"/>
        </w:rPr>
        <w:t>s</w:t>
      </w:r>
    </w:p>
    <w:p w:rsidR="00C9289F" w:rsidRPr="000242CD" w:rsidRDefault="00C9289F" w:rsidP="004203A9">
      <w:pPr>
        <w:spacing w:line="240" w:lineRule="auto"/>
        <w:jc w:val="center"/>
        <w:rPr>
          <w:rFonts w:eastAsia="Times New Roman"/>
          <w:b/>
          <w:color w:val="1C1E29"/>
        </w:rPr>
      </w:pPr>
    </w:p>
    <w:tbl>
      <w:tblPr>
        <w:tblW w:w="9114" w:type="dxa"/>
        <w:jc w:val="center"/>
        <w:tblLook w:val="04A0" w:firstRow="1" w:lastRow="0" w:firstColumn="1" w:lastColumn="0" w:noHBand="0" w:noVBand="1"/>
      </w:tblPr>
      <w:tblGrid>
        <w:gridCol w:w="1800"/>
        <w:gridCol w:w="1475"/>
        <w:gridCol w:w="1373"/>
        <w:gridCol w:w="1832"/>
        <w:gridCol w:w="1404"/>
        <w:gridCol w:w="1230"/>
      </w:tblGrid>
      <w:tr w:rsidR="00C9289F" w:rsidRPr="000242CD" w:rsidTr="004203A9">
        <w:trPr>
          <w:trHeight w:val="555"/>
          <w:jc w:val="center"/>
        </w:trPr>
        <w:tc>
          <w:tcPr>
            <w:tcW w:w="180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9289F" w:rsidRPr="000242CD" w:rsidRDefault="00C9289F" w:rsidP="004203A9">
            <w:pPr>
              <w:spacing w:line="240" w:lineRule="auto"/>
              <w:jc w:val="center"/>
              <w:rPr>
                <w:rFonts w:eastAsia="Times New Roman"/>
                <w:b/>
                <w:bCs/>
              </w:rPr>
            </w:pPr>
            <w:r w:rsidRPr="000242CD">
              <w:rPr>
                <w:rFonts w:eastAsia="Times New Roman"/>
                <w:b/>
                <w:bCs/>
              </w:rPr>
              <w:t>Dependent Variable</w:t>
            </w:r>
          </w:p>
        </w:tc>
        <w:tc>
          <w:tcPr>
            <w:tcW w:w="1475" w:type="dxa"/>
            <w:tcBorders>
              <w:top w:val="single" w:sz="4" w:space="0" w:color="auto"/>
              <w:left w:val="nil"/>
              <w:bottom w:val="single" w:sz="4" w:space="0" w:color="auto"/>
              <w:right w:val="single" w:sz="4" w:space="0" w:color="auto"/>
            </w:tcBorders>
            <w:shd w:val="clear" w:color="000000" w:fill="FFFFFF"/>
            <w:vAlign w:val="center"/>
            <w:hideMark/>
          </w:tcPr>
          <w:p w:rsidR="00C9289F" w:rsidRPr="000242CD" w:rsidRDefault="00C9289F" w:rsidP="004203A9">
            <w:pPr>
              <w:spacing w:line="240" w:lineRule="auto"/>
              <w:jc w:val="center"/>
              <w:rPr>
                <w:rFonts w:eastAsia="Times New Roman"/>
                <w:b/>
                <w:bCs/>
              </w:rPr>
            </w:pPr>
            <w:r w:rsidRPr="000242CD">
              <w:rPr>
                <w:rFonts w:eastAsia="Times New Roman"/>
                <w:b/>
                <w:bCs/>
              </w:rPr>
              <w:t>( I ) Type of Hospital</w:t>
            </w:r>
          </w:p>
        </w:tc>
        <w:tc>
          <w:tcPr>
            <w:tcW w:w="1373" w:type="dxa"/>
            <w:tcBorders>
              <w:top w:val="single" w:sz="4" w:space="0" w:color="auto"/>
              <w:left w:val="nil"/>
              <w:bottom w:val="single" w:sz="4" w:space="0" w:color="auto"/>
              <w:right w:val="single" w:sz="4" w:space="0" w:color="auto"/>
            </w:tcBorders>
            <w:shd w:val="clear" w:color="000000" w:fill="FFFFFF"/>
            <w:vAlign w:val="center"/>
            <w:hideMark/>
          </w:tcPr>
          <w:p w:rsidR="00C9289F" w:rsidRPr="000242CD" w:rsidRDefault="00C9289F" w:rsidP="004203A9">
            <w:pPr>
              <w:spacing w:line="240" w:lineRule="auto"/>
              <w:jc w:val="center"/>
              <w:rPr>
                <w:rFonts w:eastAsia="Times New Roman"/>
                <w:b/>
                <w:bCs/>
              </w:rPr>
            </w:pPr>
            <w:r w:rsidRPr="000242CD">
              <w:rPr>
                <w:rFonts w:eastAsia="Times New Roman"/>
                <w:b/>
                <w:bCs/>
              </w:rPr>
              <w:t>( J) Type of Hospital</w:t>
            </w:r>
          </w:p>
        </w:tc>
        <w:tc>
          <w:tcPr>
            <w:tcW w:w="1832" w:type="dxa"/>
            <w:tcBorders>
              <w:top w:val="single" w:sz="4" w:space="0" w:color="auto"/>
              <w:left w:val="nil"/>
              <w:bottom w:val="single" w:sz="4" w:space="0" w:color="auto"/>
              <w:right w:val="single" w:sz="4" w:space="0" w:color="auto"/>
            </w:tcBorders>
            <w:shd w:val="clear" w:color="000000" w:fill="FFFFFF"/>
            <w:vAlign w:val="center"/>
            <w:hideMark/>
          </w:tcPr>
          <w:p w:rsidR="00C9289F" w:rsidRPr="000242CD" w:rsidRDefault="00C9289F" w:rsidP="004203A9">
            <w:pPr>
              <w:spacing w:line="240" w:lineRule="auto"/>
              <w:jc w:val="center"/>
              <w:rPr>
                <w:rFonts w:eastAsia="Times New Roman"/>
                <w:b/>
                <w:bCs/>
              </w:rPr>
            </w:pPr>
            <w:r w:rsidRPr="000242CD">
              <w:rPr>
                <w:rFonts w:eastAsia="Times New Roman"/>
                <w:b/>
                <w:bCs/>
              </w:rPr>
              <w:t>Mean Difference (I-J)</w:t>
            </w:r>
          </w:p>
        </w:tc>
        <w:tc>
          <w:tcPr>
            <w:tcW w:w="1404" w:type="dxa"/>
            <w:tcBorders>
              <w:top w:val="single" w:sz="4" w:space="0" w:color="auto"/>
              <w:left w:val="nil"/>
              <w:bottom w:val="single" w:sz="4" w:space="0" w:color="auto"/>
              <w:right w:val="single" w:sz="4" w:space="0" w:color="auto"/>
            </w:tcBorders>
            <w:shd w:val="clear" w:color="000000" w:fill="FFFFFF"/>
            <w:vAlign w:val="center"/>
            <w:hideMark/>
          </w:tcPr>
          <w:p w:rsidR="00C9289F" w:rsidRPr="000242CD" w:rsidRDefault="00C9289F" w:rsidP="004203A9">
            <w:pPr>
              <w:spacing w:line="240" w:lineRule="auto"/>
              <w:jc w:val="center"/>
              <w:rPr>
                <w:rFonts w:eastAsia="Times New Roman"/>
                <w:b/>
                <w:bCs/>
              </w:rPr>
            </w:pPr>
            <w:r w:rsidRPr="000242CD">
              <w:rPr>
                <w:rFonts w:eastAsia="Times New Roman"/>
                <w:b/>
                <w:bCs/>
              </w:rPr>
              <w:t>Std. Error</w:t>
            </w:r>
          </w:p>
        </w:tc>
        <w:tc>
          <w:tcPr>
            <w:tcW w:w="1230" w:type="dxa"/>
            <w:tcBorders>
              <w:top w:val="single" w:sz="4" w:space="0" w:color="auto"/>
              <w:left w:val="nil"/>
              <w:bottom w:val="single" w:sz="4" w:space="0" w:color="auto"/>
              <w:right w:val="single" w:sz="4" w:space="0" w:color="auto"/>
            </w:tcBorders>
            <w:shd w:val="clear" w:color="000000" w:fill="FFFFFF"/>
            <w:vAlign w:val="center"/>
            <w:hideMark/>
          </w:tcPr>
          <w:p w:rsidR="00C9289F" w:rsidRPr="000242CD" w:rsidRDefault="00C9289F" w:rsidP="004203A9">
            <w:pPr>
              <w:spacing w:line="240" w:lineRule="auto"/>
              <w:jc w:val="center"/>
              <w:rPr>
                <w:rFonts w:eastAsia="Times New Roman"/>
                <w:b/>
                <w:bCs/>
              </w:rPr>
            </w:pPr>
            <w:r w:rsidRPr="000242CD">
              <w:rPr>
                <w:rFonts w:eastAsia="Times New Roman"/>
                <w:b/>
                <w:bCs/>
              </w:rPr>
              <w:t>Sig.</w:t>
            </w:r>
          </w:p>
        </w:tc>
      </w:tr>
      <w:tr w:rsidR="00C9289F" w:rsidRPr="000242CD" w:rsidTr="004203A9">
        <w:trPr>
          <w:trHeight w:val="227"/>
          <w:jc w:val="center"/>
        </w:trPr>
        <w:tc>
          <w:tcPr>
            <w:tcW w:w="1800" w:type="dxa"/>
            <w:vMerge w:val="restart"/>
            <w:tcBorders>
              <w:top w:val="nil"/>
              <w:left w:val="single" w:sz="4" w:space="0" w:color="auto"/>
              <w:bottom w:val="single" w:sz="4" w:space="0" w:color="auto"/>
              <w:right w:val="single" w:sz="4" w:space="0" w:color="auto"/>
            </w:tcBorders>
            <w:shd w:val="clear" w:color="000000" w:fill="FFFFFF"/>
            <w:vAlign w:val="center"/>
            <w:hideMark/>
          </w:tcPr>
          <w:p w:rsidR="00C9289F" w:rsidRPr="000242CD" w:rsidRDefault="00C9289F" w:rsidP="004203A9">
            <w:pPr>
              <w:spacing w:line="240" w:lineRule="auto"/>
              <w:jc w:val="center"/>
              <w:rPr>
                <w:rFonts w:eastAsia="Times New Roman"/>
                <w:b/>
                <w:bCs/>
              </w:rPr>
            </w:pPr>
            <w:r w:rsidRPr="000242CD">
              <w:rPr>
                <w:rFonts w:eastAsia="Times New Roman"/>
                <w:b/>
                <w:bCs/>
              </w:rPr>
              <w:t>Responsiveness</w:t>
            </w:r>
          </w:p>
        </w:tc>
        <w:tc>
          <w:tcPr>
            <w:tcW w:w="1475" w:type="dxa"/>
            <w:vMerge w:val="restart"/>
            <w:tcBorders>
              <w:top w:val="nil"/>
              <w:left w:val="single" w:sz="4" w:space="0" w:color="auto"/>
              <w:bottom w:val="single" w:sz="4" w:space="0" w:color="auto"/>
              <w:right w:val="single" w:sz="4" w:space="0" w:color="auto"/>
            </w:tcBorders>
            <w:shd w:val="clear" w:color="auto" w:fill="auto"/>
            <w:vAlign w:val="center"/>
            <w:hideMark/>
          </w:tcPr>
          <w:p w:rsidR="00C9289F" w:rsidRPr="000242CD" w:rsidRDefault="00C9289F" w:rsidP="004203A9">
            <w:pPr>
              <w:spacing w:line="240" w:lineRule="auto"/>
              <w:jc w:val="center"/>
              <w:rPr>
                <w:rFonts w:eastAsia="Times New Roman"/>
                <w:b/>
              </w:rPr>
            </w:pPr>
            <w:r w:rsidRPr="000242CD">
              <w:rPr>
                <w:rFonts w:eastAsia="Times New Roman"/>
                <w:b/>
              </w:rPr>
              <w:t>PHC</w:t>
            </w:r>
          </w:p>
        </w:tc>
        <w:tc>
          <w:tcPr>
            <w:tcW w:w="1373" w:type="dxa"/>
            <w:tcBorders>
              <w:top w:val="nil"/>
              <w:left w:val="nil"/>
              <w:bottom w:val="single" w:sz="4" w:space="0" w:color="auto"/>
              <w:right w:val="single" w:sz="4" w:space="0" w:color="auto"/>
            </w:tcBorders>
            <w:shd w:val="clear" w:color="auto" w:fill="auto"/>
            <w:vAlign w:val="center"/>
            <w:hideMark/>
          </w:tcPr>
          <w:p w:rsidR="00C9289F" w:rsidRPr="000242CD" w:rsidRDefault="00C9289F" w:rsidP="004203A9">
            <w:pPr>
              <w:spacing w:line="240" w:lineRule="auto"/>
              <w:jc w:val="center"/>
              <w:rPr>
                <w:rFonts w:eastAsia="Times New Roman"/>
              </w:rPr>
            </w:pPr>
            <w:r w:rsidRPr="000242CD">
              <w:rPr>
                <w:rFonts w:eastAsia="Times New Roman"/>
              </w:rPr>
              <w:t>R H</w:t>
            </w:r>
          </w:p>
        </w:tc>
        <w:tc>
          <w:tcPr>
            <w:tcW w:w="1832"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1.19193</w:t>
            </w:r>
            <w:r w:rsidRPr="000242CD">
              <w:rPr>
                <w:rFonts w:eastAsia="Times New Roman"/>
                <w:vertAlign w:val="superscript"/>
              </w:rPr>
              <w:t>*</w:t>
            </w:r>
          </w:p>
        </w:tc>
        <w:tc>
          <w:tcPr>
            <w:tcW w:w="1404"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0.07196</w:t>
            </w:r>
          </w:p>
        </w:tc>
        <w:tc>
          <w:tcPr>
            <w:tcW w:w="1230"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0.000</w:t>
            </w:r>
          </w:p>
        </w:tc>
      </w:tr>
      <w:tr w:rsidR="00C9289F" w:rsidRPr="000242CD" w:rsidTr="004203A9">
        <w:trPr>
          <w:trHeight w:val="239"/>
          <w:jc w:val="center"/>
        </w:trPr>
        <w:tc>
          <w:tcPr>
            <w:tcW w:w="1800" w:type="dxa"/>
            <w:vMerge/>
            <w:tcBorders>
              <w:top w:val="nil"/>
              <w:left w:val="single" w:sz="4" w:space="0" w:color="auto"/>
              <w:bottom w:val="single" w:sz="4" w:space="0" w:color="auto"/>
              <w:right w:val="single" w:sz="4" w:space="0" w:color="auto"/>
            </w:tcBorders>
            <w:vAlign w:val="center"/>
            <w:hideMark/>
          </w:tcPr>
          <w:p w:rsidR="00C9289F" w:rsidRPr="000242CD" w:rsidRDefault="00C9289F" w:rsidP="004203A9">
            <w:pPr>
              <w:spacing w:line="240" w:lineRule="auto"/>
              <w:jc w:val="center"/>
              <w:rPr>
                <w:rFonts w:eastAsia="Times New Roman"/>
                <w:b/>
                <w:bCs/>
              </w:rPr>
            </w:pPr>
          </w:p>
        </w:tc>
        <w:tc>
          <w:tcPr>
            <w:tcW w:w="1475" w:type="dxa"/>
            <w:vMerge/>
            <w:tcBorders>
              <w:top w:val="nil"/>
              <w:left w:val="single" w:sz="4" w:space="0" w:color="auto"/>
              <w:bottom w:val="single" w:sz="4" w:space="0" w:color="auto"/>
              <w:right w:val="single" w:sz="4" w:space="0" w:color="auto"/>
            </w:tcBorders>
            <w:vAlign w:val="center"/>
            <w:hideMark/>
          </w:tcPr>
          <w:p w:rsidR="00C9289F" w:rsidRPr="000242CD" w:rsidRDefault="00C9289F" w:rsidP="004203A9">
            <w:pPr>
              <w:spacing w:line="240" w:lineRule="auto"/>
              <w:jc w:val="center"/>
              <w:rPr>
                <w:rFonts w:eastAsia="Times New Roman"/>
                <w:b/>
              </w:rPr>
            </w:pPr>
          </w:p>
        </w:tc>
        <w:tc>
          <w:tcPr>
            <w:tcW w:w="1373" w:type="dxa"/>
            <w:tcBorders>
              <w:top w:val="nil"/>
              <w:left w:val="nil"/>
              <w:bottom w:val="single" w:sz="4" w:space="0" w:color="auto"/>
              <w:right w:val="single" w:sz="4" w:space="0" w:color="auto"/>
            </w:tcBorders>
            <w:shd w:val="clear" w:color="auto" w:fill="auto"/>
            <w:vAlign w:val="center"/>
            <w:hideMark/>
          </w:tcPr>
          <w:p w:rsidR="00C9289F" w:rsidRPr="000242CD" w:rsidRDefault="00C9289F" w:rsidP="004203A9">
            <w:pPr>
              <w:spacing w:line="240" w:lineRule="auto"/>
              <w:jc w:val="center"/>
              <w:rPr>
                <w:rFonts w:eastAsia="Times New Roman"/>
              </w:rPr>
            </w:pPr>
            <w:r w:rsidRPr="000242CD">
              <w:rPr>
                <w:rFonts w:eastAsia="Times New Roman"/>
              </w:rPr>
              <w:t>Dist. HOS</w:t>
            </w:r>
          </w:p>
        </w:tc>
        <w:tc>
          <w:tcPr>
            <w:tcW w:w="1832"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2.10134</w:t>
            </w:r>
            <w:r w:rsidRPr="000242CD">
              <w:rPr>
                <w:rFonts w:eastAsia="Times New Roman"/>
                <w:vertAlign w:val="superscript"/>
              </w:rPr>
              <w:t>*</w:t>
            </w:r>
          </w:p>
        </w:tc>
        <w:tc>
          <w:tcPr>
            <w:tcW w:w="1404"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0.07196</w:t>
            </w:r>
          </w:p>
        </w:tc>
        <w:tc>
          <w:tcPr>
            <w:tcW w:w="1230"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0.000</w:t>
            </w:r>
          </w:p>
        </w:tc>
      </w:tr>
      <w:tr w:rsidR="00C9289F" w:rsidRPr="000242CD" w:rsidTr="004203A9">
        <w:trPr>
          <w:trHeight w:val="227"/>
          <w:jc w:val="center"/>
        </w:trPr>
        <w:tc>
          <w:tcPr>
            <w:tcW w:w="1800" w:type="dxa"/>
            <w:vMerge/>
            <w:tcBorders>
              <w:top w:val="nil"/>
              <w:left w:val="single" w:sz="4" w:space="0" w:color="auto"/>
              <w:bottom w:val="single" w:sz="4" w:space="0" w:color="auto"/>
              <w:right w:val="single" w:sz="4" w:space="0" w:color="auto"/>
            </w:tcBorders>
            <w:vAlign w:val="center"/>
            <w:hideMark/>
          </w:tcPr>
          <w:p w:rsidR="00C9289F" w:rsidRPr="000242CD" w:rsidRDefault="00C9289F" w:rsidP="004203A9">
            <w:pPr>
              <w:spacing w:line="240" w:lineRule="auto"/>
              <w:jc w:val="center"/>
              <w:rPr>
                <w:rFonts w:eastAsia="Times New Roman"/>
                <w:b/>
                <w:bCs/>
              </w:rPr>
            </w:pPr>
          </w:p>
        </w:tc>
        <w:tc>
          <w:tcPr>
            <w:tcW w:w="1475" w:type="dxa"/>
            <w:vMerge w:val="restart"/>
            <w:tcBorders>
              <w:top w:val="nil"/>
              <w:left w:val="single" w:sz="4" w:space="0" w:color="auto"/>
              <w:bottom w:val="single" w:sz="4" w:space="0" w:color="auto"/>
              <w:right w:val="single" w:sz="4" w:space="0" w:color="auto"/>
            </w:tcBorders>
            <w:shd w:val="clear" w:color="auto" w:fill="auto"/>
            <w:vAlign w:val="center"/>
            <w:hideMark/>
          </w:tcPr>
          <w:p w:rsidR="00C9289F" w:rsidRPr="000242CD" w:rsidRDefault="00C9289F" w:rsidP="004203A9">
            <w:pPr>
              <w:spacing w:line="240" w:lineRule="auto"/>
              <w:jc w:val="center"/>
              <w:rPr>
                <w:rFonts w:eastAsia="Times New Roman"/>
                <w:b/>
              </w:rPr>
            </w:pPr>
            <w:r w:rsidRPr="000242CD">
              <w:rPr>
                <w:rFonts w:eastAsia="Times New Roman"/>
                <w:b/>
              </w:rPr>
              <w:t>R H / CHC</w:t>
            </w:r>
          </w:p>
        </w:tc>
        <w:tc>
          <w:tcPr>
            <w:tcW w:w="1373" w:type="dxa"/>
            <w:tcBorders>
              <w:top w:val="nil"/>
              <w:left w:val="nil"/>
              <w:bottom w:val="single" w:sz="4" w:space="0" w:color="auto"/>
              <w:right w:val="single" w:sz="4" w:space="0" w:color="auto"/>
            </w:tcBorders>
            <w:shd w:val="clear" w:color="auto" w:fill="auto"/>
            <w:vAlign w:val="center"/>
            <w:hideMark/>
          </w:tcPr>
          <w:p w:rsidR="00C9289F" w:rsidRPr="000242CD" w:rsidRDefault="00C9289F" w:rsidP="004203A9">
            <w:pPr>
              <w:spacing w:line="240" w:lineRule="auto"/>
              <w:jc w:val="center"/>
              <w:rPr>
                <w:rFonts w:eastAsia="Times New Roman"/>
              </w:rPr>
            </w:pPr>
            <w:r w:rsidRPr="000242CD">
              <w:rPr>
                <w:rFonts w:eastAsia="Times New Roman"/>
              </w:rPr>
              <w:t>PHC</w:t>
            </w:r>
          </w:p>
        </w:tc>
        <w:tc>
          <w:tcPr>
            <w:tcW w:w="1832"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-1.19193</w:t>
            </w:r>
            <w:r w:rsidRPr="000242CD">
              <w:rPr>
                <w:rFonts w:eastAsia="Times New Roman"/>
                <w:vertAlign w:val="superscript"/>
              </w:rPr>
              <w:t>*</w:t>
            </w:r>
          </w:p>
        </w:tc>
        <w:tc>
          <w:tcPr>
            <w:tcW w:w="1404"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0.07196</w:t>
            </w:r>
          </w:p>
        </w:tc>
        <w:tc>
          <w:tcPr>
            <w:tcW w:w="1230"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0.000</w:t>
            </w:r>
          </w:p>
        </w:tc>
      </w:tr>
      <w:tr w:rsidR="00C9289F" w:rsidRPr="000242CD" w:rsidTr="004203A9">
        <w:trPr>
          <w:trHeight w:val="239"/>
          <w:jc w:val="center"/>
        </w:trPr>
        <w:tc>
          <w:tcPr>
            <w:tcW w:w="1800" w:type="dxa"/>
            <w:vMerge/>
            <w:tcBorders>
              <w:top w:val="nil"/>
              <w:left w:val="single" w:sz="4" w:space="0" w:color="auto"/>
              <w:bottom w:val="single" w:sz="4" w:space="0" w:color="auto"/>
              <w:right w:val="single" w:sz="4" w:space="0" w:color="auto"/>
            </w:tcBorders>
            <w:vAlign w:val="center"/>
            <w:hideMark/>
          </w:tcPr>
          <w:p w:rsidR="00C9289F" w:rsidRPr="000242CD" w:rsidRDefault="00C9289F" w:rsidP="004203A9">
            <w:pPr>
              <w:spacing w:line="240" w:lineRule="auto"/>
              <w:jc w:val="center"/>
              <w:rPr>
                <w:rFonts w:eastAsia="Times New Roman"/>
                <w:b/>
                <w:bCs/>
              </w:rPr>
            </w:pPr>
          </w:p>
        </w:tc>
        <w:tc>
          <w:tcPr>
            <w:tcW w:w="1475" w:type="dxa"/>
            <w:vMerge/>
            <w:tcBorders>
              <w:top w:val="nil"/>
              <w:left w:val="single" w:sz="4" w:space="0" w:color="auto"/>
              <w:bottom w:val="single" w:sz="4" w:space="0" w:color="auto"/>
              <w:right w:val="single" w:sz="4" w:space="0" w:color="auto"/>
            </w:tcBorders>
            <w:vAlign w:val="center"/>
            <w:hideMark/>
          </w:tcPr>
          <w:p w:rsidR="00C9289F" w:rsidRPr="000242CD" w:rsidRDefault="00C9289F" w:rsidP="004203A9">
            <w:pPr>
              <w:spacing w:line="240" w:lineRule="auto"/>
              <w:jc w:val="center"/>
              <w:rPr>
                <w:rFonts w:eastAsia="Times New Roman"/>
                <w:b/>
              </w:rPr>
            </w:pPr>
          </w:p>
        </w:tc>
        <w:tc>
          <w:tcPr>
            <w:tcW w:w="1373" w:type="dxa"/>
            <w:tcBorders>
              <w:top w:val="nil"/>
              <w:left w:val="nil"/>
              <w:bottom w:val="single" w:sz="4" w:space="0" w:color="auto"/>
              <w:right w:val="single" w:sz="4" w:space="0" w:color="auto"/>
            </w:tcBorders>
            <w:shd w:val="clear" w:color="auto" w:fill="auto"/>
            <w:vAlign w:val="center"/>
            <w:hideMark/>
          </w:tcPr>
          <w:p w:rsidR="00C9289F" w:rsidRPr="000242CD" w:rsidRDefault="00C9289F" w:rsidP="004203A9">
            <w:pPr>
              <w:spacing w:line="240" w:lineRule="auto"/>
              <w:jc w:val="center"/>
              <w:rPr>
                <w:rFonts w:eastAsia="Times New Roman"/>
              </w:rPr>
            </w:pPr>
            <w:r w:rsidRPr="000242CD">
              <w:rPr>
                <w:rFonts w:eastAsia="Times New Roman"/>
              </w:rPr>
              <w:t>Dist. HOS</w:t>
            </w:r>
          </w:p>
        </w:tc>
        <w:tc>
          <w:tcPr>
            <w:tcW w:w="1832"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.90941</w:t>
            </w:r>
            <w:r w:rsidRPr="000242CD">
              <w:rPr>
                <w:rFonts w:eastAsia="Times New Roman"/>
                <w:vertAlign w:val="superscript"/>
              </w:rPr>
              <w:t>*</w:t>
            </w:r>
          </w:p>
        </w:tc>
        <w:tc>
          <w:tcPr>
            <w:tcW w:w="1404"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0.07196</w:t>
            </w:r>
          </w:p>
        </w:tc>
        <w:tc>
          <w:tcPr>
            <w:tcW w:w="1230"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0.000</w:t>
            </w:r>
          </w:p>
        </w:tc>
      </w:tr>
      <w:tr w:rsidR="00C9289F" w:rsidRPr="000242CD" w:rsidTr="004203A9">
        <w:trPr>
          <w:trHeight w:val="227"/>
          <w:jc w:val="center"/>
        </w:trPr>
        <w:tc>
          <w:tcPr>
            <w:tcW w:w="1800" w:type="dxa"/>
            <w:vMerge/>
            <w:tcBorders>
              <w:top w:val="nil"/>
              <w:left w:val="single" w:sz="4" w:space="0" w:color="auto"/>
              <w:bottom w:val="single" w:sz="4" w:space="0" w:color="auto"/>
              <w:right w:val="single" w:sz="4" w:space="0" w:color="auto"/>
            </w:tcBorders>
            <w:vAlign w:val="center"/>
            <w:hideMark/>
          </w:tcPr>
          <w:p w:rsidR="00C9289F" w:rsidRPr="000242CD" w:rsidRDefault="00C9289F" w:rsidP="004203A9">
            <w:pPr>
              <w:spacing w:line="240" w:lineRule="auto"/>
              <w:jc w:val="center"/>
              <w:rPr>
                <w:rFonts w:eastAsia="Times New Roman"/>
                <w:b/>
                <w:bCs/>
              </w:rPr>
            </w:pPr>
          </w:p>
        </w:tc>
        <w:tc>
          <w:tcPr>
            <w:tcW w:w="1475" w:type="dxa"/>
            <w:vMerge w:val="restart"/>
            <w:tcBorders>
              <w:top w:val="nil"/>
              <w:left w:val="single" w:sz="4" w:space="0" w:color="auto"/>
              <w:bottom w:val="single" w:sz="4" w:space="0" w:color="auto"/>
              <w:right w:val="single" w:sz="4" w:space="0" w:color="auto"/>
            </w:tcBorders>
            <w:shd w:val="clear" w:color="auto" w:fill="auto"/>
            <w:vAlign w:val="center"/>
            <w:hideMark/>
          </w:tcPr>
          <w:p w:rsidR="00C9289F" w:rsidRPr="000242CD" w:rsidRDefault="00C9289F" w:rsidP="004203A9">
            <w:pPr>
              <w:spacing w:line="240" w:lineRule="auto"/>
              <w:jc w:val="center"/>
              <w:rPr>
                <w:rFonts w:eastAsia="Times New Roman"/>
                <w:b/>
              </w:rPr>
            </w:pPr>
            <w:r w:rsidRPr="000242CD">
              <w:rPr>
                <w:rFonts w:eastAsia="Times New Roman"/>
                <w:b/>
              </w:rPr>
              <w:t>Dist. HOS</w:t>
            </w:r>
          </w:p>
        </w:tc>
        <w:tc>
          <w:tcPr>
            <w:tcW w:w="1373" w:type="dxa"/>
            <w:tcBorders>
              <w:top w:val="nil"/>
              <w:left w:val="nil"/>
              <w:bottom w:val="single" w:sz="4" w:space="0" w:color="auto"/>
              <w:right w:val="single" w:sz="4" w:space="0" w:color="auto"/>
            </w:tcBorders>
            <w:shd w:val="clear" w:color="auto" w:fill="auto"/>
            <w:vAlign w:val="center"/>
            <w:hideMark/>
          </w:tcPr>
          <w:p w:rsidR="00C9289F" w:rsidRPr="000242CD" w:rsidRDefault="00C9289F" w:rsidP="004203A9">
            <w:pPr>
              <w:spacing w:line="240" w:lineRule="auto"/>
              <w:jc w:val="center"/>
              <w:rPr>
                <w:rFonts w:eastAsia="Times New Roman"/>
              </w:rPr>
            </w:pPr>
            <w:r w:rsidRPr="000242CD">
              <w:rPr>
                <w:rFonts w:eastAsia="Times New Roman"/>
              </w:rPr>
              <w:t>PHC</w:t>
            </w:r>
          </w:p>
        </w:tc>
        <w:tc>
          <w:tcPr>
            <w:tcW w:w="1832"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-2.10134</w:t>
            </w:r>
            <w:r w:rsidRPr="000242CD">
              <w:rPr>
                <w:rFonts w:eastAsia="Times New Roman"/>
                <w:vertAlign w:val="superscript"/>
              </w:rPr>
              <w:t>*</w:t>
            </w:r>
          </w:p>
        </w:tc>
        <w:tc>
          <w:tcPr>
            <w:tcW w:w="1404"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0.07196</w:t>
            </w:r>
          </w:p>
        </w:tc>
        <w:tc>
          <w:tcPr>
            <w:tcW w:w="1230"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0.000</w:t>
            </w:r>
          </w:p>
        </w:tc>
      </w:tr>
      <w:tr w:rsidR="00C9289F" w:rsidRPr="000242CD" w:rsidTr="004203A9">
        <w:trPr>
          <w:trHeight w:val="227"/>
          <w:jc w:val="center"/>
        </w:trPr>
        <w:tc>
          <w:tcPr>
            <w:tcW w:w="1800" w:type="dxa"/>
            <w:vMerge/>
            <w:tcBorders>
              <w:top w:val="nil"/>
              <w:left w:val="single" w:sz="4" w:space="0" w:color="auto"/>
              <w:bottom w:val="single" w:sz="4" w:space="0" w:color="auto"/>
              <w:right w:val="single" w:sz="4" w:space="0" w:color="auto"/>
            </w:tcBorders>
            <w:vAlign w:val="center"/>
            <w:hideMark/>
          </w:tcPr>
          <w:p w:rsidR="00C9289F" w:rsidRPr="000242CD" w:rsidRDefault="00C9289F" w:rsidP="004203A9">
            <w:pPr>
              <w:spacing w:line="240" w:lineRule="auto"/>
              <w:jc w:val="center"/>
              <w:rPr>
                <w:rFonts w:eastAsia="Times New Roman"/>
                <w:b/>
                <w:bCs/>
              </w:rPr>
            </w:pPr>
          </w:p>
        </w:tc>
        <w:tc>
          <w:tcPr>
            <w:tcW w:w="1475" w:type="dxa"/>
            <w:vMerge/>
            <w:tcBorders>
              <w:top w:val="nil"/>
              <w:left w:val="single" w:sz="4" w:space="0" w:color="auto"/>
              <w:bottom w:val="single" w:sz="4" w:space="0" w:color="auto"/>
              <w:right w:val="single" w:sz="4" w:space="0" w:color="auto"/>
            </w:tcBorders>
            <w:vAlign w:val="center"/>
            <w:hideMark/>
          </w:tcPr>
          <w:p w:rsidR="00C9289F" w:rsidRPr="000242CD" w:rsidRDefault="00C9289F" w:rsidP="004203A9">
            <w:pPr>
              <w:spacing w:line="240" w:lineRule="auto"/>
              <w:jc w:val="center"/>
              <w:rPr>
                <w:rFonts w:eastAsia="Times New Roman"/>
                <w:b/>
              </w:rPr>
            </w:pPr>
          </w:p>
        </w:tc>
        <w:tc>
          <w:tcPr>
            <w:tcW w:w="1373" w:type="dxa"/>
            <w:tcBorders>
              <w:top w:val="nil"/>
              <w:left w:val="nil"/>
              <w:bottom w:val="single" w:sz="4" w:space="0" w:color="auto"/>
              <w:right w:val="single" w:sz="4" w:space="0" w:color="auto"/>
            </w:tcBorders>
            <w:shd w:val="clear" w:color="auto" w:fill="auto"/>
            <w:vAlign w:val="center"/>
            <w:hideMark/>
          </w:tcPr>
          <w:p w:rsidR="00C9289F" w:rsidRPr="000242CD" w:rsidRDefault="00C9289F" w:rsidP="004203A9">
            <w:pPr>
              <w:spacing w:line="240" w:lineRule="auto"/>
              <w:jc w:val="center"/>
              <w:rPr>
                <w:rFonts w:eastAsia="Times New Roman"/>
              </w:rPr>
            </w:pPr>
            <w:r w:rsidRPr="000242CD">
              <w:rPr>
                <w:rFonts w:eastAsia="Times New Roman"/>
              </w:rPr>
              <w:t>R H</w:t>
            </w:r>
          </w:p>
        </w:tc>
        <w:tc>
          <w:tcPr>
            <w:tcW w:w="1832"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-.90942</w:t>
            </w:r>
            <w:r w:rsidRPr="000242CD">
              <w:rPr>
                <w:rFonts w:eastAsia="Times New Roman"/>
                <w:vertAlign w:val="superscript"/>
              </w:rPr>
              <w:t>*</w:t>
            </w:r>
          </w:p>
        </w:tc>
        <w:tc>
          <w:tcPr>
            <w:tcW w:w="1404"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0.07196</w:t>
            </w:r>
          </w:p>
        </w:tc>
        <w:tc>
          <w:tcPr>
            <w:tcW w:w="1230"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0.000</w:t>
            </w:r>
          </w:p>
        </w:tc>
      </w:tr>
      <w:tr w:rsidR="00C9289F" w:rsidRPr="000242CD" w:rsidTr="004203A9">
        <w:trPr>
          <w:trHeight w:val="184"/>
          <w:jc w:val="center"/>
        </w:trPr>
        <w:tc>
          <w:tcPr>
            <w:tcW w:w="1800" w:type="dxa"/>
            <w:vMerge w:val="restart"/>
            <w:tcBorders>
              <w:top w:val="nil"/>
              <w:left w:val="single" w:sz="4" w:space="0" w:color="auto"/>
              <w:bottom w:val="single" w:sz="4" w:space="0" w:color="auto"/>
              <w:right w:val="single" w:sz="4" w:space="0" w:color="auto"/>
            </w:tcBorders>
            <w:shd w:val="clear" w:color="000000" w:fill="FFFFFF"/>
            <w:vAlign w:val="center"/>
            <w:hideMark/>
          </w:tcPr>
          <w:p w:rsidR="00C9289F" w:rsidRPr="000242CD" w:rsidRDefault="00C9289F" w:rsidP="004203A9">
            <w:pPr>
              <w:spacing w:line="240" w:lineRule="auto"/>
              <w:jc w:val="center"/>
              <w:rPr>
                <w:rFonts w:eastAsia="Times New Roman"/>
                <w:b/>
                <w:bCs/>
              </w:rPr>
            </w:pPr>
            <w:r w:rsidRPr="000242CD">
              <w:rPr>
                <w:rFonts w:eastAsia="Times New Roman"/>
                <w:b/>
                <w:bCs/>
              </w:rPr>
              <w:t>Cleanliness</w:t>
            </w:r>
          </w:p>
        </w:tc>
        <w:tc>
          <w:tcPr>
            <w:tcW w:w="1475" w:type="dxa"/>
            <w:vMerge w:val="restart"/>
            <w:tcBorders>
              <w:top w:val="nil"/>
              <w:left w:val="single" w:sz="4" w:space="0" w:color="auto"/>
              <w:bottom w:val="single" w:sz="4" w:space="0" w:color="auto"/>
              <w:right w:val="single" w:sz="4" w:space="0" w:color="auto"/>
            </w:tcBorders>
            <w:shd w:val="clear" w:color="auto" w:fill="auto"/>
            <w:vAlign w:val="center"/>
            <w:hideMark/>
          </w:tcPr>
          <w:p w:rsidR="00C9289F" w:rsidRPr="000242CD" w:rsidRDefault="00C9289F" w:rsidP="004203A9">
            <w:pPr>
              <w:spacing w:line="240" w:lineRule="auto"/>
              <w:jc w:val="center"/>
              <w:rPr>
                <w:rFonts w:eastAsia="Times New Roman"/>
                <w:b/>
              </w:rPr>
            </w:pPr>
            <w:r w:rsidRPr="000242CD">
              <w:rPr>
                <w:rFonts w:eastAsia="Times New Roman"/>
                <w:b/>
              </w:rPr>
              <w:t>PHC</w:t>
            </w:r>
          </w:p>
        </w:tc>
        <w:tc>
          <w:tcPr>
            <w:tcW w:w="1373" w:type="dxa"/>
            <w:tcBorders>
              <w:top w:val="nil"/>
              <w:left w:val="nil"/>
              <w:bottom w:val="single" w:sz="4" w:space="0" w:color="auto"/>
              <w:right w:val="single" w:sz="4" w:space="0" w:color="auto"/>
            </w:tcBorders>
            <w:shd w:val="clear" w:color="auto" w:fill="auto"/>
            <w:vAlign w:val="center"/>
            <w:hideMark/>
          </w:tcPr>
          <w:p w:rsidR="00C9289F" w:rsidRPr="000242CD" w:rsidRDefault="00C9289F" w:rsidP="004203A9">
            <w:pPr>
              <w:spacing w:line="240" w:lineRule="auto"/>
              <w:jc w:val="center"/>
              <w:rPr>
                <w:rFonts w:eastAsia="Times New Roman"/>
              </w:rPr>
            </w:pPr>
            <w:r w:rsidRPr="000242CD">
              <w:rPr>
                <w:rFonts w:eastAsia="Times New Roman"/>
              </w:rPr>
              <w:t>R H</w:t>
            </w:r>
          </w:p>
        </w:tc>
        <w:tc>
          <w:tcPr>
            <w:tcW w:w="1832"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.00704</w:t>
            </w:r>
          </w:p>
        </w:tc>
        <w:tc>
          <w:tcPr>
            <w:tcW w:w="1404"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0.13674</w:t>
            </w:r>
          </w:p>
        </w:tc>
        <w:tc>
          <w:tcPr>
            <w:tcW w:w="1230"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0.999</w:t>
            </w:r>
          </w:p>
        </w:tc>
      </w:tr>
      <w:tr w:rsidR="00C9289F" w:rsidRPr="000242CD" w:rsidTr="004203A9">
        <w:trPr>
          <w:trHeight w:val="227"/>
          <w:jc w:val="center"/>
        </w:trPr>
        <w:tc>
          <w:tcPr>
            <w:tcW w:w="1800" w:type="dxa"/>
            <w:vMerge/>
            <w:tcBorders>
              <w:top w:val="nil"/>
              <w:left w:val="single" w:sz="4" w:space="0" w:color="auto"/>
              <w:bottom w:val="single" w:sz="4" w:space="0" w:color="auto"/>
              <w:right w:val="single" w:sz="4" w:space="0" w:color="auto"/>
            </w:tcBorders>
            <w:vAlign w:val="center"/>
            <w:hideMark/>
          </w:tcPr>
          <w:p w:rsidR="00C9289F" w:rsidRPr="000242CD" w:rsidRDefault="00C9289F" w:rsidP="004203A9">
            <w:pPr>
              <w:spacing w:line="240" w:lineRule="auto"/>
              <w:jc w:val="center"/>
              <w:rPr>
                <w:rFonts w:eastAsia="Times New Roman"/>
                <w:b/>
                <w:bCs/>
              </w:rPr>
            </w:pPr>
          </w:p>
        </w:tc>
        <w:tc>
          <w:tcPr>
            <w:tcW w:w="1475" w:type="dxa"/>
            <w:vMerge/>
            <w:tcBorders>
              <w:top w:val="nil"/>
              <w:left w:val="single" w:sz="4" w:space="0" w:color="auto"/>
              <w:bottom w:val="single" w:sz="4" w:space="0" w:color="auto"/>
              <w:right w:val="single" w:sz="4" w:space="0" w:color="auto"/>
            </w:tcBorders>
            <w:vAlign w:val="center"/>
            <w:hideMark/>
          </w:tcPr>
          <w:p w:rsidR="00C9289F" w:rsidRPr="000242CD" w:rsidRDefault="00C9289F" w:rsidP="004203A9">
            <w:pPr>
              <w:spacing w:line="240" w:lineRule="auto"/>
              <w:jc w:val="center"/>
              <w:rPr>
                <w:rFonts w:eastAsia="Times New Roman"/>
                <w:b/>
              </w:rPr>
            </w:pPr>
          </w:p>
        </w:tc>
        <w:tc>
          <w:tcPr>
            <w:tcW w:w="1373" w:type="dxa"/>
            <w:tcBorders>
              <w:top w:val="nil"/>
              <w:left w:val="nil"/>
              <w:bottom w:val="single" w:sz="4" w:space="0" w:color="auto"/>
              <w:right w:val="single" w:sz="4" w:space="0" w:color="auto"/>
            </w:tcBorders>
            <w:shd w:val="clear" w:color="auto" w:fill="auto"/>
            <w:vAlign w:val="center"/>
            <w:hideMark/>
          </w:tcPr>
          <w:p w:rsidR="00C9289F" w:rsidRPr="000242CD" w:rsidRDefault="00C9289F" w:rsidP="004203A9">
            <w:pPr>
              <w:spacing w:line="240" w:lineRule="auto"/>
              <w:jc w:val="center"/>
              <w:rPr>
                <w:rFonts w:eastAsia="Times New Roman"/>
              </w:rPr>
            </w:pPr>
            <w:r w:rsidRPr="000242CD">
              <w:rPr>
                <w:rFonts w:eastAsia="Times New Roman"/>
              </w:rPr>
              <w:t>Dist. HOS</w:t>
            </w:r>
          </w:p>
        </w:tc>
        <w:tc>
          <w:tcPr>
            <w:tcW w:w="1832"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.56926</w:t>
            </w:r>
            <w:r w:rsidRPr="000242CD">
              <w:rPr>
                <w:rFonts w:eastAsia="Times New Roman"/>
                <w:vertAlign w:val="superscript"/>
              </w:rPr>
              <w:t>*</w:t>
            </w:r>
          </w:p>
        </w:tc>
        <w:tc>
          <w:tcPr>
            <w:tcW w:w="1404"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0.13674</w:t>
            </w:r>
          </w:p>
        </w:tc>
        <w:tc>
          <w:tcPr>
            <w:tcW w:w="1230"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0.000</w:t>
            </w:r>
          </w:p>
        </w:tc>
      </w:tr>
      <w:tr w:rsidR="00C9289F" w:rsidRPr="000242CD" w:rsidTr="004203A9">
        <w:trPr>
          <w:trHeight w:val="184"/>
          <w:jc w:val="center"/>
        </w:trPr>
        <w:tc>
          <w:tcPr>
            <w:tcW w:w="1800" w:type="dxa"/>
            <w:vMerge/>
            <w:tcBorders>
              <w:top w:val="nil"/>
              <w:left w:val="single" w:sz="4" w:space="0" w:color="auto"/>
              <w:bottom w:val="single" w:sz="4" w:space="0" w:color="auto"/>
              <w:right w:val="single" w:sz="4" w:space="0" w:color="auto"/>
            </w:tcBorders>
            <w:vAlign w:val="center"/>
            <w:hideMark/>
          </w:tcPr>
          <w:p w:rsidR="00C9289F" w:rsidRPr="000242CD" w:rsidRDefault="00C9289F" w:rsidP="004203A9">
            <w:pPr>
              <w:spacing w:line="240" w:lineRule="auto"/>
              <w:jc w:val="center"/>
              <w:rPr>
                <w:rFonts w:eastAsia="Times New Roman"/>
                <w:b/>
                <w:bCs/>
              </w:rPr>
            </w:pPr>
          </w:p>
        </w:tc>
        <w:tc>
          <w:tcPr>
            <w:tcW w:w="1475" w:type="dxa"/>
            <w:vMerge w:val="restart"/>
            <w:tcBorders>
              <w:top w:val="nil"/>
              <w:left w:val="single" w:sz="4" w:space="0" w:color="auto"/>
              <w:bottom w:val="single" w:sz="4" w:space="0" w:color="auto"/>
              <w:right w:val="single" w:sz="4" w:space="0" w:color="auto"/>
            </w:tcBorders>
            <w:shd w:val="clear" w:color="auto" w:fill="auto"/>
            <w:vAlign w:val="center"/>
            <w:hideMark/>
          </w:tcPr>
          <w:p w:rsidR="00C9289F" w:rsidRPr="000242CD" w:rsidRDefault="00C9289F" w:rsidP="004203A9">
            <w:pPr>
              <w:spacing w:line="240" w:lineRule="auto"/>
              <w:jc w:val="center"/>
              <w:rPr>
                <w:rFonts w:eastAsia="Times New Roman"/>
                <w:b/>
              </w:rPr>
            </w:pPr>
            <w:r w:rsidRPr="000242CD">
              <w:rPr>
                <w:rFonts w:eastAsia="Times New Roman"/>
                <w:b/>
              </w:rPr>
              <w:t>R H / CHC</w:t>
            </w:r>
          </w:p>
        </w:tc>
        <w:tc>
          <w:tcPr>
            <w:tcW w:w="1373" w:type="dxa"/>
            <w:tcBorders>
              <w:top w:val="nil"/>
              <w:left w:val="nil"/>
              <w:bottom w:val="single" w:sz="4" w:space="0" w:color="auto"/>
              <w:right w:val="single" w:sz="4" w:space="0" w:color="auto"/>
            </w:tcBorders>
            <w:shd w:val="clear" w:color="auto" w:fill="auto"/>
            <w:vAlign w:val="center"/>
            <w:hideMark/>
          </w:tcPr>
          <w:p w:rsidR="00C9289F" w:rsidRPr="000242CD" w:rsidRDefault="00C9289F" w:rsidP="004203A9">
            <w:pPr>
              <w:spacing w:line="240" w:lineRule="auto"/>
              <w:jc w:val="center"/>
              <w:rPr>
                <w:rFonts w:eastAsia="Times New Roman"/>
              </w:rPr>
            </w:pPr>
            <w:r w:rsidRPr="000242CD">
              <w:rPr>
                <w:rFonts w:eastAsia="Times New Roman"/>
              </w:rPr>
              <w:t>PHC</w:t>
            </w:r>
          </w:p>
        </w:tc>
        <w:tc>
          <w:tcPr>
            <w:tcW w:w="1832"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-.00704</w:t>
            </w:r>
          </w:p>
        </w:tc>
        <w:tc>
          <w:tcPr>
            <w:tcW w:w="1404"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0.13674</w:t>
            </w:r>
          </w:p>
        </w:tc>
        <w:tc>
          <w:tcPr>
            <w:tcW w:w="1230"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0.999</w:t>
            </w:r>
          </w:p>
        </w:tc>
      </w:tr>
      <w:tr w:rsidR="00C9289F" w:rsidRPr="000242CD" w:rsidTr="004203A9">
        <w:trPr>
          <w:trHeight w:val="227"/>
          <w:jc w:val="center"/>
        </w:trPr>
        <w:tc>
          <w:tcPr>
            <w:tcW w:w="1800" w:type="dxa"/>
            <w:vMerge/>
            <w:tcBorders>
              <w:top w:val="nil"/>
              <w:left w:val="single" w:sz="4" w:space="0" w:color="auto"/>
              <w:bottom w:val="single" w:sz="4" w:space="0" w:color="auto"/>
              <w:right w:val="single" w:sz="4" w:space="0" w:color="auto"/>
            </w:tcBorders>
            <w:vAlign w:val="center"/>
            <w:hideMark/>
          </w:tcPr>
          <w:p w:rsidR="00C9289F" w:rsidRPr="000242CD" w:rsidRDefault="00C9289F" w:rsidP="004203A9">
            <w:pPr>
              <w:spacing w:line="240" w:lineRule="auto"/>
              <w:jc w:val="center"/>
              <w:rPr>
                <w:rFonts w:eastAsia="Times New Roman"/>
                <w:b/>
                <w:bCs/>
              </w:rPr>
            </w:pPr>
          </w:p>
        </w:tc>
        <w:tc>
          <w:tcPr>
            <w:tcW w:w="1475" w:type="dxa"/>
            <w:vMerge/>
            <w:tcBorders>
              <w:top w:val="nil"/>
              <w:left w:val="single" w:sz="4" w:space="0" w:color="auto"/>
              <w:bottom w:val="single" w:sz="4" w:space="0" w:color="auto"/>
              <w:right w:val="single" w:sz="4" w:space="0" w:color="auto"/>
            </w:tcBorders>
            <w:vAlign w:val="center"/>
            <w:hideMark/>
          </w:tcPr>
          <w:p w:rsidR="00C9289F" w:rsidRPr="000242CD" w:rsidRDefault="00C9289F" w:rsidP="004203A9">
            <w:pPr>
              <w:spacing w:line="240" w:lineRule="auto"/>
              <w:jc w:val="center"/>
              <w:rPr>
                <w:rFonts w:eastAsia="Times New Roman"/>
                <w:b/>
              </w:rPr>
            </w:pPr>
          </w:p>
        </w:tc>
        <w:tc>
          <w:tcPr>
            <w:tcW w:w="1373" w:type="dxa"/>
            <w:tcBorders>
              <w:top w:val="nil"/>
              <w:left w:val="nil"/>
              <w:bottom w:val="single" w:sz="4" w:space="0" w:color="auto"/>
              <w:right w:val="single" w:sz="4" w:space="0" w:color="auto"/>
            </w:tcBorders>
            <w:shd w:val="clear" w:color="auto" w:fill="auto"/>
            <w:vAlign w:val="center"/>
            <w:hideMark/>
          </w:tcPr>
          <w:p w:rsidR="00C9289F" w:rsidRPr="000242CD" w:rsidRDefault="00C9289F" w:rsidP="004203A9">
            <w:pPr>
              <w:spacing w:line="240" w:lineRule="auto"/>
              <w:jc w:val="center"/>
              <w:rPr>
                <w:rFonts w:eastAsia="Times New Roman"/>
              </w:rPr>
            </w:pPr>
            <w:r w:rsidRPr="000242CD">
              <w:rPr>
                <w:rFonts w:eastAsia="Times New Roman"/>
              </w:rPr>
              <w:t>Dist. HOS</w:t>
            </w:r>
          </w:p>
        </w:tc>
        <w:tc>
          <w:tcPr>
            <w:tcW w:w="1832"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.56222</w:t>
            </w:r>
            <w:r w:rsidRPr="000242CD">
              <w:rPr>
                <w:rFonts w:eastAsia="Times New Roman"/>
                <w:vertAlign w:val="superscript"/>
              </w:rPr>
              <w:t>*</w:t>
            </w:r>
          </w:p>
        </w:tc>
        <w:tc>
          <w:tcPr>
            <w:tcW w:w="1404"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0.13674</w:t>
            </w:r>
          </w:p>
        </w:tc>
        <w:tc>
          <w:tcPr>
            <w:tcW w:w="1230"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0.000</w:t>
            </w:r>
          </w:p>
        </w:tc>
      </w:tr>
      <w:tr w:rsidR="00C9289F" w:rsidRPr="000242CD" w:rsidTr="004203A9">
        <w:trPr>
          <w:trHeight w:val="227"/>
          <w:jc w:val="center"/>
        </w:trPr>
        <w:tc>
          <w:tcPr>
            <w:tcW w:w="1800" w:type="dxa"/>
            <w:vMerge/>
            <w:tcBorders>
              <w:top w:val="nil"/>
              <w:left w:val="single" w:sz="4" w:space="0" w:color="auto"/>
              <w:bottom w:val="single" w:sz="4" w:space="0" w:color="auto"/>
              <w:right w:val="single" w:sz="4" w:space="0" w:color="auto"/>
            </w:tcBorders>
            <w:vAlign w:val="center"/>
            <w:hideMark/>
          </w:tcPr>
          <w:p w:rsidR="00C9289F" w:rsidRPr="000242CD" w:rsidRDefault="00C9289F" w:rsidP="004203A9">
            <w:pPr>
              <w:spacing w:line="240" w:lineRule="auto"/>
              <w:jc w:val="center"/>
              <w:rPr>
                <w:rFonts w:eastAsia="Times New Roman"/>
                <w:b/>
                <w:bCs/>
              </w:rPr>
            </w:pPr>
          </w:p>
        </w:tc>
        <w:tc>
          <w:tcPr>
            <w:tcW w:w="1475" w:type="dxa"/>
            <w:vMerge w:val="restart"/>
            <w:tcBorders>
              <w:top w:val="nil"/>
              <w:left w:val="single" w:sz="4" w:space="0" w:color="auto"/>
              <w:bottom w:val="single" w:sz="4" w:space="0" w:color="auto"/>
              <w:right w:val="single" w:sz="4" w:space="0" w:color="auto"/>
            </w:tcBorders>
            <w:shd w:val="clear" w:color="auto" w:fill="auto"/>
            <w:vAlign w:val="center"/>
            <w:hideMark/>
          </w:tcPr>
          <w:p w:rsidR="00C9289F" w:rsidRPr="000242CD" w:rsidRDefault="00C9289F" w:rsidP="004203A9">
            <w:pPr>
              <w:spacing w:line="240" w:lineRule="auto"/>
              <w:jc w:val="center"/>
              <w:rPr>
                <w:rFonts w:eastAsia="Times New Roman"/>
                <w:b/>
              </w:rPr>
            </w:pPr>
            <w:r w:rsidRPr="000242CD">
              <w:rPr>
                <w:rFonts w:eastAsia="Times New Roman"/>
                <w:b/>
              </w:rPr>
              <w:t>Dist. HOS</w:t>
            </w:r>
          </w:p>
        </w:tc>
        <w:tc>
          <w:tcPr>
            <w:tcW w:w="1373" w:type="dxa"/>
            <w:tcBorders>
              <w:top w:val="nil"/>
              <w:left w:val="nil"/>
              <w:bottom w:val="single" w:sz="4" w:space="0" w:color="auto"/>
              <w:right w:val="single" w:sz="4" w:space="0" w:color="auto"/>
            </w:tcBorders>
            <w:shd w:val="clear" w:color="auto" w:fill="auto"/>
            <w:vAlign w:val="center"/>
            <w:hideMark/>
          </w:tcPr>
          <w:p w:rsidR="00C9289F" w:rsidRPr="000242CD" w:rsidRDefault="00C9289F" w:rsidP="004203A9">
            <w:pPr>
              <w:spacing w:line="240" w:lineRule="auto"/>
              <w:jc w:val="center"/>
              <w:rPr>
                <w:rFonts w:eastAsia="Times New Roman"/>
              </w:rPr>
            </w:pPr>
            <w:r w:rsidRPr="000242CD">
              <w:rPr>
                <w:rFonts w:eastAsia="Times New Roman"/>
              </w:rPr>
              <w:t>PHC</w:t>
            </w:r>
          </w:p>
        </w:tc>
        <w:tc>
          <w:tcPr>
            <w:tcW w:w="1832"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-.56926</w:t>
            </w:r>
            <w:r w:rsidRPr="000242CD">
              <w:rPr>
                <w:rFonts w:eastAsia="Times New Roman"/>
                <w:vertAlign w:val="superscript"/>
              </w:rPr>
              <w:t>*</w:t>
            </w:r>
          </w:p>
        </w:tc>
        <w:tc>
          <w:tcPr>
            <w:tcW w:w="1404"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0.13674</w:t>
            </w:r>
          </w:p>
        </w:tc>
        <w:tc>
          <w:tcPr>
            <w:tcW w:w="1230"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0.000</w:t>
            </w:r>
          </w:p>
        </w:tc>
      </w:tr>
      <w:tr w:rsidR="00C9289F" w:rsidRPr="000242CD" w:rsidTr="004203A9">
        <w:trPr>
          <w:trHeight w:val="227"/>
          <w:jc w:val="center"/>
        </w:trPr>
        <w:tc>
          <w:tcPr>
            <w:tcW w:w="1800" w:type="dxa"/>
            <w:vMerge/>
            <w:tcBorders>
              <w:top w:val="nil"/>
              <w:left w:val="single" w:sz="4" w:space="0" w:color="auto"/>
              <w:bottom w:val="single" w:sz="4" w:space="0" w:color="auto"/>
              <w:right w:val="single" w:sz="4" w:space="0" w:color="auto"/>
            </w:tcBorders>
            <w:vAlign w:val="center"/>
            <w:hideMark/>
          </w:tcPr>
          <w:p w:rsidR="00C9289F" w:rsidRPr="000242CD" w:rsidRDefault="00C9289F" w:rsidP="004203A9">
            <w:pPr>
              <w:spacing w:line="240" w:lineRule="auto"/>
              <w:jc w:val="center"/>
              <w:rPr>
                <w:rFonts w:eastAsia="Times New Roman"/>
                <w:b/>
                <w:bCs/>
              </w:rPr>
            </w:pPr>
          </w:p>
        </w:tc>
        <w:tc>
          <w:tcPr>
            <w:tcW w:w="1475" w:type="dxa"/>
            <w:vMerge/>
            <w:tcBorders>
              <w:top w:val="nil"/>
              <w:left w:val="single" w:sz="4" w:space="0" w:color="auto"/>
              <w:bottom w:val="single" w:sz="4" w:space="0" w:color="auto"/>
              <w:right w:val="single" w:sz="4" w:space="0" w:color="auto"/>
            </w:tcBorders>
            <w:vAlign w:val="center"/>
            <w:hideMark/>
          </w:tcPr>
          <w:p w:rsidR="00C9289F" w:rsidRPr="000242CD" w:rsidRDefault="00C9289F" w:rsidP="004203A9">
            <w:pPr>
              <w:spacing w:line="240" w:lineRule="auto"/>
              <w:jc w:val="center"/>
              <w:rPr>
                <w:rFonts w:eastAsia="Times New Roman"/>
                <w:b/>
              </w:rPr>
            </w:pPr>
          </w:p>
        </w:tc>
        <w:tc>
          <w:tcPr>
            <w:tcW w:w="1373" w:type="dxa"/>
            <w:tcBorders>
              <w:top w:val="nil"/>
              <w:left w:val="nil"/>
              <w:bottom w:val="single" w:sz="4" w:space="0" w:color="auto"/>
              <w:right w:val="single" w:sz="4" w:space="0" w:color="auto"/>
            </w:tcBorders>
            <w:shd w:val="clear" w:color="auto" w:fill="auto"/>
            <w:vAlign w:val="center"/>
            <w:hideMark/>
          </w:tcPr>
          <w:p w:rsidR="00C9289F" w:rsidRPr="000242CD" w:rsidRDefault="00C9289F" w:rsidP="004203A9">
            <w:pPr>
              <w:spacing w:line="240" w:lineRule="auto"/>
              <w:jc w:val="center"/>
              <w:rPr>
                <w:rFonts w:eastAsia="Times New Roman"/>
              </w:rPr>
            </w:pPr>
            <w:r w:rsidRPr="000242CD">
              <w:rPr>
                <w:rFonts w:eastAsia="Times New Roman"/>
              </w:rPr>
              <w:t>R H</w:t>
            </w:r>
          </w:p>
        </w:tc>
        <w:tc>
          <w:tcPr>
            <w:tcW w:w="1832"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-.56222</w:t>
            </w:r>
            <w:r w:rsidRPr="000242CD">
              <w:rPr>
                <w:rFonts w:eastAsia="Times New Roman"/>
                <w:vertAlign w:val="superscript"/>
              </w:rPr>
              <w:t>*</w:t>
            </w:r>
          </w:p>
        </w:tc>
        <w:tc>
          <w:tcPr>
            <w:tcW w:w="1404"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0.13674</w:t>
            </w:r>
          </w:p>
        </w:tc>
        <w:tc>
          <w:tcPr>
            <w:tcW w:w="1230"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0.000</w:t>
            </w:r>
          </w:p>
        </w:tc>
      </w:tr>
      <w:tr w:rsidR="00C9289F" w:rsidRPr="000242CD" w:rsidTr="004203A9">
        <w:trPr>
          <w:trHeight w:val="184"/>
          <w:jc w:val="center"/>
        </w:trPr>
        <w:tc>
          <w:tcPr>
            <w:tcW w:w="1800" w:type="dxa"/>
            <w:vMerge w:val="restart"/>
            <w:tcBorders>
              <w:top w:val="nil"/>
              <w:left w:val="single" w:sz="4" w:space="0" w:color="auto"/>
              <w:bottom w:val="single" w:sz="4" w:space="0" w:color="auto"/>
              <w:right w:val="single" w:sz="4" w:space="0" w:color="auto"/>
            </w:tcBorders>
            <w:shd w:val="clear" w:color="000000" w:fill="FFFFFF"/>
            <w:vAlign w:val="center"/>
            <w:hideMark/>
          </w:tcPr>
          <w:p w:rsidR="00C9289F" w:rsidRPr="000242CD" w:rsidRDefault="00C9289F" w:rsidP="004203A9">
            <w:pPr>
              <w:spacing w:line="240" w:lineRule="auto"/>
              <w:jc w:val="center"/>
              <w:rPr>
                <w:rFonts w:eastAsia="Times New Roman"/>
                <w:b/>
                <w:bCs/>
              </w:rPr>
            </w:pPr>
            <w:r w:rsidRPr="000242CD">
              <w:rPr>
                <w:rFonts w:eastAsia="Times New Roman"/>
                <w:b/>
              </w:rPr>
              <w:t>Infrastructure</w:t>
            </w:r>
          </w:p>
        </w:tc>
        <w:tc>
          <w:tcPr>
            <w:tcW w:w="1475" w:type="dxa"/>
            <w:vMerge w:val="restart"/>
            <w:tcBorders>
              <w:top w:val="nil"/>
              <w:left w:val="single" w:sz="4" w:space="0" w:color="auto"/>
              <w:bottom w:val="single" w:sz="4" w:space="0" w:color="auto"/>
              <w:right w:val="single" w:sz="4" w:space="0" w:color="auto"/>
            </w:tcBorders>
            <w:shd w:val="clear" w:color="auto" w:fill="auto"/>
            <w:vAlign w:val="center"/>
            <w:hideMark/>
          </w:tcPr>
          <w:p w:rsidR="00C9289F" w:rsidRPr="000242CD" w:rsidRDefault="00C9289F" w:rsidP="004203A9">
            <w:pPr>
              <w:spacing w:line="240" w:lineRule="auto"/>
              <w:jc w:val="center"/>
              <w:rPr>
                <w:rFonts w:eastAsia="Times New Roman"/>
                <w:b/>
              </w:rPr>
            </w:pPr>
            <w:r w:rsidRPr="000242CD">
              <w:rPr>
                <w:rFonts w:eastAsia="Times New Roman"/>
                <w:b/>
              </w:rPr>
              <w:t>PHC</w:t>
            </w:r>
          </w:p>
        </w:tc>
        <w:tc>
          <w:tcPr>
            <w:tcW w:w="1373" w:type="dxa"/>
            <w:tcBorders>
              <w:top w:val="nil"/>
              <w:left w:val="nil"/>
              <w:bottom w:val="single" w:sz="4" w:space="0" w:color="auto"/>
              <w:right w:val="single" w:sz="4" w:space="0" w:color="auto"/>
            </w:tcBorders>
            <w:shd w:val="clear" w:color="auto" w:fill="auto"/>
            <w:vAlign w:val="center"/>
            <w:hideMark/>
          </w:tcPr>
          <w:p w:rsidR="00C9289F" w:rsidRPr="000242CD" w:rsidRDefault="00C9289F" w:rsidP="004203A9">
            <w:pPr>
              <w:spacing w:line="240" w:lineRule="auto"/>
              <w:jc w:val="center"/>
              <w:rPr>
                <w:rFonts w:eastAsia="Times New Roman"/>
              </w:rPr>
            </w:pPr>
            <w:r w:rsidRPr="000242CD">
              <w:rPr>
                <w:rFonts w:eastAsia="Times New Roman"/>
              </w:rPr>
              <w:t>R H</w:t>
            </w:r>
          </w:p>
        </w:tc>
        <w:tc>
          <w:tcPr>
            <w:tcW w:w="1832"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.14341</w:t>
            </w:r>
          </w:p>
        </w:tc>
        <w:tc>
          <w:tcPr>
            <w:tcW w:w="1404"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0.13759</w:t>
            </w:r>
          </w:p>
        </w:tc>
        <w:tc>
          <w:tcPr>
            <w:tcW w:w="1230"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0.551</w:t>
            </w:r>
          </w:p>
        </w:tc>
      </w:tr>
      <w:tr w:rsidR="00C9289F" w:rsidRPr="000242CD" w:rsidTr="004203A9">
        <w:trPr>
          <w:trHeight w:val="227"/>
          <w:jc w:val="center"/>
        </w:trPr>
        <w:tc>
          <w:tcPr>
            <w:tcW w:w="1800" w:type="dxa"/>
            <w:vMerge/>
            <w:tcBorders>
              <w:top w:val="nil"/>
              <w:left w:val="single" w:sz="4" w:space="0" w:color="auto"/>
              <w:bottom w:val="single" w:sz="4" w:space="0" w:color="auto"/>
              <w:right w:val="single" w:sz="4" w:space="0" w:color="auto"/>
            </w:tcBorders>
            <w:vAlign w:val="center"/>
            <w:hideMark/>
          </w:tcPr>
          <w:p w:rsidR="00C9289F" w:rsidRPr="000242CD" w:rsidRDefault="00C9289F" w:rsidP="004203A9">
            <w:pPr>
              <w:spacing w:line="240" w:lineRule="auto"/>
              <w:jc w:val="center"/>
              <w:rPr>
                <w:rFonts w:eastAsia="Times New Roman"/>
                <w:b/>
                <w:bCs/>
              </w:rPr>
            </w:pPr>
          </w:p>
        </w:tc>
        <w:tc>
          <w:tcPr>
            <w:tcW w:w="1475" w:type="dxa"/>
            <w:vMerge/>
            <w:tcBorders>
              <w:top w:val="nil"/>
              <w:left w:val="single" w:sz="4" w:space="0" w:color="auto"/>
              <w:bottom w:val="single" w:sz="4" w:space="0" w:color="auto"/>
              <w:right w:val="single" w:sz="4" w:space="0" w:color="auto"/>
            </w:tcBorders>
            <w:vAlign w:val="center"/>
            <w:hideMark/>
          </w:tcPr>
          <w:p w:rsidR="00C9289F" w:rsidRPr="000242CD" w:rsidRDefault="00C9289F" w:rsidP="004203A9">
            <w:pPr>
              <w:spacing w:line="240" w:lineRule="auto"/>
              <w:jc w:val="center"/>
              <w:rPr>
                <w:rFonts w:eastAsia="Times New Roman"/>
                <w:b/>
              </w:rPr>
            </w:pPr>
          </w:p>
        </w:tc>
        <w:tc>
          <w:tcPr>
            <w:tcW w:w="1373" w:type="dxa"/>
            <w:tcBorders>
              <w:top w:val="nil"/>
              <w:left w:val="nil"/>
              <w:bottom w:val="single" w:sz="4" w:space="0" w:color="auto"/>
              <w:right w:val="single" w:sz="4" w:space="0" w:color="auto"/>
            </w:tcBorders>
            <w:shd w:val="clear" w:color="auto" w:fill="auto"/>
            <w:vAlign w:val="center"/>
            <w:hideMark/>
          </w:tcPr>
          <w:p w:rsidR="00C9289F" w:rsidRPr="000242CD" w:rsidRDefault="00C9289F" w:rsidP="004203A9">
            <w:pPr>
              <w:spacing w:line="240" w:lineRule="auto"/>
              <w:jc w:val="center"/>
              <w:rPr>
                <w:rFonts w:eastAsia="Times New Roman"/>
              </w:rPr>
            </w:pPr>
            <w:r w:rsidRPr="000242CD">
              <w:rPr>
                <w:rFonts w:eastAsia="Times New Roman"/>
              </w:rPr>
              <w:t>Dist. HOS</w:t>
            </w:r>
          </w:p>
        </w:tc>
        <w:tc>
          <w:tcPr>
            <w:tcW w:w="1832"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.57422</w:t>
            </w:r>
            <w:r w:rsidRPr="000242CD">
              <w:rPr>
                <w:rFonts w:eastAsia="Times New Roman"/>
                <w:vertAlign w:val="superscript"/>
              </w:rPr>
              <w:t>*</w:t>
            </w:r>
          </w:p>
        </w:tc>
        <w:tc>
          <w:tcPr>
            <w:tcW w:w="1404"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0.13759</w:t>
            </w:r>
          </w:p>
        </w:tc>
        <w:tc>
          <w:tcPr>
            <w:tcW w:w="1230"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0.000</w:t>
            </w:r>
          </w:p>
        </w:tc>
      </w:tr>
      <w:tr w:rsidR="00C9289F" w:rsidRPr="000242CD" w:rsidTr="004203A9">
        <w:trPr>
          <w:trHeight w:val="184"/>
          <w:jc w:val="center"/>
        </w:trPr>
        <w:tc>
          <w:tcPr>
            <w:tcW w:w="1800" w:type="dxa"/>
            <w:vMerge/>
            <w:tcBorders>
              <w:top w:val="nil"/>
              <w:left w:val="single" w:sz="4" w:space="0" w:color="auto"/>
              <w:bottom w:val="single" w:sz="4" w:space="0" w:color="auto"/>
              <w:right w:val="single" w:sz="4" w:space="0" w:color="auto"/>
            </w:tcBorders>
            <w:vAlign w:val="center"/>
            <w:hideMark/>
          </w:tcPr>
          <w:p w:rsidR="00C9289F" w:rsidRPr="000242CD" w:rsidRDefault="00C9289F" w:rsidP="004203A9">
            <w:pPr>
              <w:spacing w:line="240" w:lineRule="auto"/>
              <w:jc w:val="center"/>
              <w:rPr>
                <w:rFonts w:eastAsia="Times New Roman"/>
                <w:b/>
                <w:bCs/>
              </w:rPr>
            </w:pPr>
          </w:p>
        </w:tc>
        <w:tc>
          <w:tcPr>
            <w:tcW w:w="1475" w:type="dxa"/>
            <w:vMerge w:val="restart"/>
            <w:tcBorders>
              <w:top w:val="nil"/>
              <w:left w:val="single" w:sz="4" w:space="0" w:color="auto"/>
              <w:bottom w:val="single" w:sz="4" w:space="0" w:color="auto"/>
              <w:right w:val="single" w:sz="4" w:space="0" w:color="auto"/>
            </w:tcBorders>
            <w:shd w:val="clear" w:color="auto" w:fill="auto"/>
            <w:vAlign w:val="center"/>
            <w:hideMark/>
          </w:tcPr>
          <w:p w:rsidR="00C9289F" w:rsidRPr="000242CD" w:rsidRDefault="00C9289F" w:rsidP="004203A9">
            <w:pPr>
              <w:spacing w:line="240" w:lineRule="auto"/>
              <w:jc w:val="center"/>
              <w:rPr>
                <w:rFonts w:eastAsia="Times New Roman"/>
                <w:b/>
              </w:rPr>
            </w:pPr>
            <w:r w:rsidRPr="000242CD">
              <w:rPr>
                <w:rFonts w:eastAsia="Times New Roman"/>
                <w:b/>
              </w:rPr>
              <w:t>R H / CHC</w:t>
            </w:r>
          </w:p>
        </w:tc>
        <w:tc>
          <w:tcPr>
            <w:tcW w:w="1373" w:type="dxa"/>
            <w:tcBorders>
              <w:top w:val="nil"/>
              <w:left w:val="nil"/>
              <w:bottom w:val="single" w:sz="4" w:space="0" w:color="auto"/>
              <w:right w:val="single" w:sz="4" w:space="0" w:color="auto"/>
            </w:tcBorders>
            <w:shd w:val="clear" w:color="auto" w:fill="auto"/>
            <w:vAlign w:val="center"/>
            <w:hideMark/>
          </w:tcPr>
          <w:p w:rsidR="00C9289F" w:rsidRPr="000242CD" w:rsidRDefault="00C9289F" w:rsidP="004203A9">
            <w:pPr>
              <w:spacing w:line="240" w:lineRule="auto"/>
              <w:jc w:val="center"/>
              <w:rPr>
                <w:rFonts w:eastAsia="Times New Roman"/>
              </w:rPr>
            </w:pPr>
            <w:r w:rsidRPr="000242CD">
              <w:rPr>
                <w:rFonts w:eastAsia="Times New Roman"/>
              </w:rPr>
              <w:t>PHC</w:t>
            </w:r>
          </w:p>
        </w:tc>
        <w:tc>
          <w:tcPr>
            <w:tcW w:w="1832"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-.14341</w:t>
            </w:r>
          </w:p>
        </w:tc>
        <w:tc>
          <w:tcPr>
            <w:tcW w:w="1404"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0.13759</w:t>
            </w:r>
          </w:p>
        </w:tc>
        <w:tc>
          <w:tcPr>
            <w:tcW w:w="1230"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0.551</w:t>
            </w:r>
          </w:p>
        </w:tc>
      </w:tr>
      <w:tr w:rsidR="00C9289F" w:rsidRPr="000242CD" w:rsidTr="004203A9">
        <w:trPr>
          <w:trHeight w:val="227"/>
          <w:jc w:val="center"/>
        </w:trPr>
        <w:tc>
          <w:tcPr>
            <w:tcW w:w="1800" w:type="dxa"/>
            <w:vMerge/>
            <w:tcBorders>
              <w:top w:val="nil"/>
              <w:left w:val="single" w:sz="4" w:space="0" w:color="auto"/>
              <w:bottom w:val="single" w:sz="4" w:space="0" w:color="auto"/>
              <w:right w:val="single" w:sz="4" w:space="0" w:color="auto"/>
            </w:tcBorders>
            <w:vAlign w:val="center"/>
            <w:hideMark/>
          </w:tcPr>
          <w:p w:rsidR="00C9289F" w:rsidRPr="000242CD" w:rsidRDefault="00C9289F" w:rsidP="004203A9">
            <w:pPr>
              <w:spacing w:line="240" w:lineRule="auto"/>
              <w:jc w:val="center"/>
              <w:rPr>
                <w:rFonts w:eastAsia="Times New Roman"/>
                <w:b/>
                <w:bCs/>
              </w:rPr>
            </w:pPr>
          </w:p>
        </w:tc>
        <w:tc>
          <w:tcPr>
            <w:tcW w:w="1475" w:type="dxa"/>
            <w:vMerge/>
            <w:tcBorders>
              <w:top w:val="nil"/>
              <w:left w:val="single" w:sz="4" w:space="0" w:color="auto"/>
              <w:bottom w:val="single" w:sz="4" w:space="0" w:color="auto"/>
              <w:right w:val="single" w:sz="4" w:space="0" w:color="auto"/>
            </w:tcBorders>
            <w:vAlign w:val="center"/>
            <w:hideMark/>
          </w:tcPr>
          <w:p w:rsidR="00C9289F" w:rsidRPr="000242CD" w:rsidRDefault="00C9289F" w:rsidP="004203A9">
            <w:pPr>
              <w:spacing w:line="240" w:lineRule="auto"/>
              <w:jc w:val="center"/>
              <w:rPr>
                <w:rFonts w:eastAsia="Times New Roman"/>
              </w:rPr>
            </w:pPr>
          </w:p>
        </w:tc>
        <w:tc>
          <w:tcPr>
            <w:tcW w:w="1373" w:type="dxa"/>
            <w:tcBorders>
              <w:top w:val="nil"/>
              <w:left w:val="nil"/>
              <w:bottom w:val="single" w:sz="4" w:space="0" w:color="auto"/>
              <w:right w:val="single" w:sz="4" w:space="0" w:color="auto"/>
            </w:tcBorders>
            <w:shd w:val="clear" w:color="auto" w:fill="auto"/>
            <w:vAlign w:val="center"/>
            <w:hideMark/>
          </w:tcPr>
          <w:p w:rsidR="00C9289F" w:rsidRPr="000242CD" w:rsidRDefault="00C9289F" w:rsidP="004203A9">
            <w:pPr>
              <w:spacing w:line="240" w:lineRule="auto"/>
              <w:jc w:val="center"/>
              <w:rPr>
                <w:rFonts w:eastAsia="Times New Roman"/>
              </w:rPr>
            </w:pPr>
            <w:r w:rsidRPr="000242CD">
              <w:rPr>
                <w:rFonts w:eastAsia="Times New Roman"/>
              </w:rPr>
              <w:t>Dist. HOS</w:t>
            </w:r>
          </w:p>
        </w:tc>
        <w:tc>
          <w:tcPr>
            <w:tcW w:w="1832"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.43081</w:t>
            </w:r>
            <w:r w:rsidRPr="000242CD">
              <w:rPr>
                <w:rFonts w:eastAsia="Times New Roman"/>
                <w:vertAlign w:val="superscript"/>
              </w:rPr>
              <w:t>*</w:t>
            </w:r>
          </w:p>
        </w:tc>
        <w:tc>
          <w:tcPr>
            <w:tcW w:w="1404"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0.13759</w:t>
            </w:r>
          </w:p>
        </w:tc>
        <w:tc>
          <w:tcPr>
            <w:tcW w:w="1230"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0.005</w:t>
            </w:r>
          </w:p>
        </w:tc>
      </w:tr>
      <w:tr w:rsidR="00C9289F" w:rsidRPr="000242CD" w:rsidTr="004203A9">
        <w:trPr>
          <w:trHeight w:val="227"/>
          <w:jc w:val="center"/>
        </w:trPr>
        <w:tc>
          <w:tcPr>
            <w:tcW w:w="1800" w:type="dxa"/>
            <w:vMerge/>
            <w:tcBorders>
              <w:top w:val="nil"/>
              <w:left w:val="single" w:sz="4" w:space="0" w:color="auto"/>
              <w:bottom w:val="single" w:sz="4" w:space="0" w:color="auto"/>
              <w:right w:val="single" w:sz="4" w:space="0" w:color="auto"/>
            </w:tcBorders>
            <w:vAlign w:val="center"/>
            <w:hideMark/>
          </w:tcPr>
          <w:p w:rsidR="00C9289F" w:rsidRPr="000242CD" w:rsidRDefault="00C9289F" w:rsidP="004203A9">
            <w:pPr>
              <w:spacing w:line="240" w:lineRule="auto"/>
              <w:jc w:val="center"/>
              <w:rPr>
                <w:rFonts w:eastAsia="Times New Roman"/>
                <w:b/>
                <w:bCs/>
              </w:rPr>
            </w:pPr>
          </w:p>
        </w:tc>
        <w:tc>
          <w:tcPr>
            <w:tcW w:w="1475" w:type="dxa"/>
            <w:vMerge w:val="restart"/>
            <w:tcBorders>
              <w:top w:val="nil"/>
              <w:left w:val="single" w:sz="4" w:space="0" w:color="auto"/>
              <w:bottom w:val="single" w:sz="4" w:space="0" w:color="auto"/>
              <w:right w:val="single" w:sz="4" w:space="0" w:color="auto"/>
            </w:tcBorders>
            <w:shd w:val="clear" w:color="auto" w:fill="auto"/>
            <w:vAlign w:val="center"/>
            <w:hideMark/>
          </w:tcPr>
          <w:p w:rsidR="00C9289F" w:rsidRPr="000242CD" w:rsidRDefault="00C9289F" w:rsidP="004203A9">
            <w:pPr>
              <w:spacing w:line="240" w:lineRule="auto"/>
              <w:jc w:val="center"/>
              <w:rPr>
                <w:rFonts w:eastAsia="Times New Roman"/>
                <w:b/>
              </w:rPr>
            </w:pPr>
            <w:r w:rsidRPr="000242CD">
              <w:rPr>
                <w:rFonts w:eastAsia="Times New Roman"/>
                <w:b/>
              </w:rPr>
              <w:t>Dist. HOS</w:t>
            </w:r>
          </w:p>
        </w:tc>
        <w:tc>
          <w:tcPr>
            <w:tcW w:w="1373" w:type="dxa"/>
            <w:tcBorders>
              <w:top w:val="nil"/>
              <w:left w:val="nil"/>
              <w:bottom w:val="single" w:sz="4" w:space="0" w:color="auto"/>
              <w:right w:val="single" w:sz="4" w:space="0" w:color="auto"/>
            </w:tcBorders>
            <w:shd w:val="clear" w:color="auto" w:fill="auto"/>
            <w:vAlign w:val="center"/>
            <w:hideMark/>
          </w:tcPr>
          <w:p w:rsidR="00C9289F" w:rsidRPr="000242CD" w:rsidRDefault="00C9289F" w:rsidP="004203A9">
            <w:pPr>
              <w:spacing w:line="240" w:lineRule="auto"/>
              <w:jc w:val="center"/>
              <w:rPr>
                <w:rFonts w:eastAsia="Times New Roman"/>
              </w:rPr>
            </w:pPr>
            <w:r w:rsidRPr="000242CD">
              <w:rPr>
                <w:rFonts w:eastAsia="Times New Roman"/>
              </w:rPr>
              <w:t>PHC</w:t>
            </w:r>
          </w:p>
        </w:tc>
        <w:tc>
          <w:tcPr>
            <w:tcW w:w="1832"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-.57422</w:t>
            </w:r>
            <w:r w:rsidRPr="000242CD">
              <w:rPr>
                <w:rFonts w:eastAsia="Times New Roman"/>
                <w:vertAlign w:val="superscript"/>
              </w:rPr>
              <w:t>*</w:t>
            </w:r>
          </w:p>
        </w:tc>
        <w:tc>
          <w:tcPr>
            <w:tcW w:w="1404"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0.13759</w:t>
            </w:r>
          </w:p>
        </w:tc>
        <w:tc>
          <w:tcPr>
            <w:tcW w:w="1230"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0.000</w:t>
            </w:r>
          </w:p>
        </w:tc>
      </w:tr>
      <w:tr w:rsidR="00C9289F" w:rsidRPr="000242CD" w:rsidTr="004203A9">
        <w:trPr>
          <w:trHeight w:val="227"/>
          <w:jc w:val="center"/>
        </w:trPr>
        <w:tc>
          <w:tcPr>
            <w:tcW w:w="1800" w:type="dxa"/>
            <w:vMerge/>
            <w:tcBorders>
              <w:top w:val="nil"/>
              <w:left w:val="single" w:sz="4" w:space="0" w:color="auto"/>
              <w:bottom w:val="single" w:sz="4" w:space="0" w:color="auto"/>
              <w:right w:val="single" w:sz="4" w:space="0" w:color="auto"/>
            </w:tcBorders>
            <w:vAlign w:val="center"/>
            <w:hideMark/>
          </w:tcPr>
          <w:p w:rsidR="00C9289F" w:rsidRPr="000242CD" w:rsidRDefault="00C9289F" w:rsidP="004203A9">
            <w:pPr>
              <w:spacing w:line="240" w:lineRule="auto"/>
              <w:jc w:val="center"/>
              <w:rPr>
                <w:rFonts w:eastAsia="Times New Roman"/>
                <w:b/>
                <w:bCs/>
              </w:rPr>
            </w:pPr>
          </w:p>
        </w:tc>
        <w:tc>
          <w:tcPr>
            <w:tcW w:w="1475" w:type="dxa"/>
            <w:vMerge/>
            <w:tcBorders>
              <w:top w:val="nil"/>
              <w:left w:val="single" w:sz="4" w:space="0" w:color="auto"/>
              <w:bottom w:val="single" w:sz="4" w:space="0" w:color="auto"/>
              <w:right w:val="single" w:sz="4" w:space="0" w:color="auto"/>
            </w:tcBorders>
            <w:vAlign w:val="center"/>
            <w:hideMark/>
          </w:tcPr>
          <w:p w:rsidR="00C9289F" w:rsidRPr="000242CD" w:rsidRDefault="00C9289F" w:rsidP="004203A9">
            <w:pPr>
              <w:spacing w:line="240" w:lineRule="auto"/>
              <w:jc w:val="center"/>
              <w:rPr>
                <w:rFonts w:eastAsia="Times New Roman"/>
              </w:rPr>
            </w:pPr>
          </w:p>
        </w:tc>
        <w:tc>
          <w:tcPr>
            <w:tcW w:w="1373" w:type="dxa"/>
            <w:tcBorders>
              <w:top w:val="nil"/>
              <w:left w:val="nil"/>
              <w:bottom w:val="single" w:sz="4" w:space="0" w:color="auto"/>
              <w:right w:val="single" w:sz="4" w:space="0" w:color="auto"/>
            </w:tcBorders>
            <w:shd w:val="clear" w:color="auto" w:fill="auto"/>
            <w:vAlign w:val="center"/>
            <w:hideMark/>
          </w:tcPr>
          <w:p w:rsidR="00C9289F" w:rsidRPr="000242CD" w:rsidRDefault="00C9289F" w:rsidP="004203A9">
            <w:pPr>
              <w:spacing w:line="240" w:lineRule="auto"/>
              <w:jc w:val="center"/>
              <w:rPr>
                <w:rFonts w:eastAsia="Times New Roman"/>
              </w:rPr>
            </w:pPr>
            <w:r w:rsidRPr="000242CD">
              <w:rPr>
                <w:rFonts w:eastAsia="Times New Roman"/>
              </w:rPr>
              <w:t>R H</w:t>
            </w:r>
          </w:p>
        </w:tc>
        <w:tc>
          <w:tcPr>
            <w:tcW w:w="1832"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-.43081</w:t>
            </w:r>
            <w:r w:rsidRPr="000242CD">
              <w:rPr>
                <w:rFonts w:eastAsia="Times New Roman"/>
                <w:vertAlign w:val="superscript"/>
              </w:rPr>
              <w:t>*</w:t>
            </w:r>
          </w:p>
        </w:tc>
        <w:tc>
          <w:tcPr>
            <w:tcW w:w="1404"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0.13759</w:t>
            </w:r>
          </w:p>
        </w:tc>
        <w:tc>
          <w:tcPr>
            <w:tcW w:w="1230" w:type="dxa"/>
            <w:tcBorders>
              <w:top w:val="nil"/>
              <w:left w:val="nil"/>
              <w:bottom w:val="single" w:sz="4" w:space="0" w:color="auto"/>
              <w:right w:val="single" w:sz="4" w:space="0" w:color="auto"/>
            </w:tcBorders>
            <w:shd w:val="clear" w:color="auto" w:fill="auto"/>
            <w:noWrap/>
            <w:vAlign w:val="center"/>
            <w:hideMark/>
          </w:tcPr>
          <w:p w:rsidR="00C9289F" w:rsidRPr="000242CD" w:rsidRDefault="00C9289F" w:rsidP="004203A9">
            <w:pPr>
              <w:spacing w:line="240" w:lineRule="auto"/>
              <w:jc w:val="center"/>
              <w:rPr>
                <w:rFonts w:eastAsia="Times New Roman"/>
              </w:rPr>
            </w:pPr>
            <w:r w:rsidRPr="000242CD">
              <w:rPr>
                <w:rFonts w:eastAsia="Times New Roman"/>
              </w:rPr>
              <w:t>0.005</w:t>
            </w:r>
          </w:p>
        </w:tc>
      </w:tr>
      <w:tr w:rsidR="00C9289F" w:rsidRPr="000242CD" w:rsidTr="004203A9">
        <w:trPr>
          <w:trHeight w:val="227"/>
          <w:jc w:val="center"/>
        </w:trPr>
        <w:tc>
          <w:tcPr>
            <w:tcW w:w="9114" w:type="dxa"/>
            <w:gridSpan w:val="6"/>
            <w:tcBorders>
              <w:top w:val="single" w:sz="4" w:space="0" w:color="auto"/>
            </w:tcBorders>
            <w:vAlign w:val="center"/>
          </w:tcPr>
          <w:p w:rsidR="00C9289F" w:rsidRPr="000242CD" w:rsidRDefault="00C9289F" w:rsidP="000242CD">
            <w:pPr>
              <w:spacing w:line="240" w:lineRule="auto"/>
              <w:jc w:val="both"/>
              <w:rPr>
                <w:rFonts w:eastAsia="Times New Roman"/>
                <w:color w:val="000000"/>
              </w:rPr>
            </w:pPr>
            <w:r w:rsidRPr="000242CD">
              <w:rPr>
                <w:color w:val="000000"/>
              </w:rPr>
              <w:t>*. The mean difference is significant at the 0.05 level.</w:t>
            </w:r>
          </w:p>
        </w:tc>
      </w:tr>
    </w:tbl>
    <w:p w:rsidR="00C9289F" w:rsidRPr="000242CD" w:rsidRDefault="00C9289F" w:rsidP="000242CD">
      <w:pPr>
        <w:pStyle w:val="Default"/>
        <w:jc w:val="both"/>
      </w:pPr>
    </w:p>
    <w:p w:rsidR="00B36DFE" w:rsidRPr="000242CD" w:rsidRDefault="00B36DFE" w:rsidP="000242CD">
      <w:pPr>
        <w:pStyle w:val="Default"/>
        <w:jc w:val="both"/>
      </w:pPr>
      <w:r w:rsidRPr="000242CD">
        <w:t>Source: Compiled by Author</w:t>
      </w:r>
    </w:p>
    <w:p w:rsidR="00B36DFE" w:rsidRPr="000242CD" w:rsidRDefault="00B36DFE" w:rsidP="000242CD">
      <w:pPr>
        <w:pStyle w:val="Default"/>
        <w:jc w:val="both"/>
      </w:pPr>
    </w:p>
    <w:p w:rsidR="00C9289F" w:rsidRPr="000242CD" w:rsidRDefault="00C9289F" w:rsidP="000242CD">
      <w:pPr>
        <w:pStyle w:val="Default"/>
        <w:jc w:val="both"/>
      </w:pPr>
    </w:p>
    <w:p w:rsidR="00C9289F" w:rsidRPr="000242CD" w:rsidRDefault="00C9289F" w:rsidP="000242CD">
      <w:pPr>
        <w:pStyle w:val="Default"/>
        <w:jc w:val="both"/>
      </w:pPr>
    </w:p>
    <w:p w:rsidR="00C9289F" w:rsidRPr="000242CD" w:rsidRDefault="00C9289F" w:rsidP="000242CD">
      <w:pPr>
        <w:pStyle w:val="Default"/>
        <w:jc w:val="both"/>
      </w:pPr>
    </w:p>
    <w:sectPr w:rsidR="00C9289F" w:rsidRPr="000242CD" w:rsidSect="004C6FA0">
      <w:footerReference w:type="default" r:id="rId1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6E0" w:rsidRDefault="00C166E0" w:rsidP="000B0914">
      <w:pPr>
        <w:spacing w:line="240" w:lineRule="auto"/>
      </w:pPr>
      <w:r>
        <w:separator/>
      </w:r>
    </w:p>
  </w:endnote>
  <w:endnote w:type="continuationSeparator" w:id="0">
    <w:p w:rsidR="00C166E0" w:rsidRDefault="00C166E0" w:rsidP="000B09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dobe Caslon Pro">
    <w:altName w:val="Adobe Caslon Pro"/>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9523288"/>
      <w:docPartObj>
        <w:docPartGallery w:val="Page Numbers (Bottom of Page)"/>
        <w:docPartUnique/>
      </w:docPartObj>
    </w:sdtPr>
    <w:sdtEndPr>
      <w:rPr>
        <w:noProof/>
      </w:rPr>
    </w:sdtEndPr>
    <w:sdtContent>
      <w:p w:rsidR="00724114" w:rsidRDefault="00724114">
        <w:pPr>
          <w:pStyle w:val="Footer"/>
          <w:jc w:val="center"/>
        </w:pPr>
        <w:r>
          <w:fldChar w:fldCharType="begin"/>
        </w:r>
        <w:r>
          <w:instrText xml:space="preserve"> PAGE   \* MERGEFORMAT </w:instrText>
        </w:r>
        <w:r>
          <w:fldChar w:fldCharType="separate"/>
        </w:r>
        <w:r w:rsidR="00AF786D">
          <w:rPr>
            <w:noProof/>
          </w:rPr>
          <w:t>1</w:t>
        </w:r>
        <w:r>
          <w:rPr>
            <w:noProof/>
          </w:rPr>
          <w:fldChar w:fldCharType="end"/>
        </w:r>
      </w:p>
    </w:sdtContent>
  </w:sdt>
  <w:p w:rsidR="00724114" w:rsidRDefault="007241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6E0" w:rsidRDefault="00C166E0" w:rsidP="000B0914">
      <w:pPr>
        <w:spacing w:line="240" w:lineRule="auto"/>
      </w:pPr>
      <w:r>
        <w:separator/>
      </w:r>
    </w:p>
  </w:footnote>
  <w:footnote w:type="continuationSeparator" w:id="0">
    <w:p w:rsidR="00C166E0" w:rsidRDefault="00C166E0" w:rsidP="000B091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25pt;height:14.25pt" o:bullet="t">
        <v:imagedata r:id="rId1" o:title="art54AA"/>
      </v:shape>
    </w:pict>
  </w:numPicBullet>
  <w:abstractNum w:abstractNumId="0">
    <w:nsid w:val="08F017F5"/>
    <w:multiLevelType w:val="hybridMultilevel"/>
    <w:tmpl w:val="71428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1A4463"/>
    <w:multiLevelType w:val="hybridMultilevel"/>
    <w:tmpl w:val="BB60FCE0"/>
    <w:lvl w:ilvl="0" w:tplc="A9B8791C">
      <w:start w:val="1"/>
      <w:numFmt w:val="decimal"/>
      <w:lvlText w:val="%1."/>
      <w:lvlJc w:val="left"/>
      <w:pPr>
        <w:ind w:left="360" w:hanging="360"/>
      </w:pPr>
      <w:rPr>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2E054B"/>
    <w:multiLevelType w:val="hybridMultilevel"/>
    <w:tmpl w:val="8320C502"/>
    <w:lvl w:ilvl="0" w:tplc="7C10FA7E">
      <w:start w:val="1"/>
      <w:numFmt w:val="bullet"/>
      <w:lvlText w:val=""/>
      <w:lvlPicBulletId w:val="0"/>
      <w:lvlJc w:val="left"/>
      <w:pPr>
        <w:tabs>
          <w:tab w:val="num" w:pos="720"/>
        </w:tabs>
        <w:ind w:left="720" w:hanging="360"/>
      </w:pPr>
      <w:rPr>
        <w:rFonts w:ascii="Symbol" w:hAnsi="Symbol" w:hint="default"/>
      </w:rPr>
    </w:lvl>
    <w:lvl w:ilvl="1" w:tplc="7BAE49D0" w:tentative="1">
      <w:start w:val="1"/>
      <w:numFmt w:val="bullet"/>
      <w:lvlText w:val=""/>
      <w:lvlPicBulletId w:val="0"/>
      <w:lvlJc w:val="left"/>
      <w:pPr>
        <w:tabs>
          <w:tab w:val="num" w:pos="1440"/>
        </w:tabs>
        <w:ind w:left="1440" w:hanging="360"/>
      </w:pPr>
      <w:rPr>
        <w:rFonts w:ascii="Symbol" w:hAnsi="Symbol" w:hint="default"/>
      </w:rPr>
    </w:lvl>
    <w:lvl w:ilvl="2" w:tplc="18DE77D0" w:tentative="1">
      <w:start w:val="1"/>
      <w:numFmt w:val="bullet"/>
      <w:lvlText w:val=""/>
      <w:lvlPicBulletId w:val="0"/>
      <w:lvlJc w:val="left"/>
      <w:pPr>
        <w:tabs>
          <w:tab w:val="num" w:pos="2160"/>
        </w:tabs>
        <w:ind w:left="2160" w:hanging="360"/>
      </w:pPr>
      <w:rPr>
        <w:rFonts w:ascii="Symbol" w:hAnsi="Symbol" w:hint="default"/>
      </w:rPr>
    </w:lvl>
    <w:lvl w:ilvl="3" w:tplc="0B02881E" w:tentative="1">
      <w:start w:val="1"/>
      <w:numFmt w:val="bullet"/>
      <w:lvlText w:val=""/>
      <w:lvlPicBulletId w:val="0"/>
      <w:lvlJc w:val="left"/>
      <w:pPr>
        <w:tabs>
          <w:tab w:val="num" w:pos="2880"/>
        </w:tabs>
        <w:ind w:left="2880" w:hanging="360"/>
      </w:pPr>
      <w:rPr>
        <w:rFonts w:ascii="Symbol" w:hAnsi="Symbol" w:hint="default"/>
      </w:rPr>
    </w:lvl>
    <w:lvl w:ilvl="4" w:tplc="6128CA1C" w:tentative="1">
      <w:start w:val="1"/>
      <w:numFmt w:val="bullet"/>
      <w:lvlText w:val=""/>
      <w:lvlPicBulletId w:val="0"/>
      <w:lvlJc w:val="left"/>
      <w:pPr>
        <w:tabs>
          <w:tab w:val="num" w:pos="3600"/>
        </w:tabs>
        <w:ind w:left="3600" w:hanging="360"/>
      </w:pPr>
      <w:rPr>
        <w:rFonts w:ascii="Symbol" w:hAnsi="Symbol" w:hint="default"/>
      </w:rPr>
    </w:lvl>
    <w:lvl w:ilvl="5" w:tplc="2398FDB2" w:tentative="1">
      <w:start w:val="1"/>
      <w:numFmt w:val="bullet"/>
      <w:lvlText w:val=""/>
      <w:lvlPicBulletId w:val="0"/>
      <w:lvlJc w:val="left"/>
      <w:pPr>
        <w:tabs>
          <w:tab w:val="num" w:pos="4320"/>
        </w:tabs>
        <w:ind w:left="4320" w:hanging="360"/>
      </w:pPr>
      <w:rPr>
        <w:rFonts w:ascii="Symbol" w:hAnsi="Symbol" w:hint="default"/>
      </w:rPr>
    </w:lvl>
    <w:lvl w:ilvl="6" w:tplc="415A6FFE" w:tentative="1">
      <w:start w:val="1"/>
      <w:numFmt w:val="bullet"/>
      <w:lvlText w:val=""/>
      <w:lvlPicBulletId w:val="0"/>
      <w:lvlJc w:val="left"/>
      <w:pPr>
        <w:tabs>
          <w:tab w:val="num" w:pos="5040"/>
        </w:tabs>
        <w:ind w:left="5040" w:hanging="360"/>
      </w:pPr>
      <w:rPr>
        <w:rFonts w:ascii="Symbol" w:hAnsi="Symbol" w:hint="default"/>
      </w:rPr>
    </w:lvl>
    <w:lvl w:ilvl="7" w:tplc="C43A8098" w:tentative="1">
      <w:start w:val="1"/>
      <w:numFmt w:val="bullet"/>
      <w:lvlText w:val=""/>
      <w:lvlPicBulletId w:val="0"/>
      <w:lvlJc w:val="left"/>
      <w:pPr>
        <w:tabs>
          <w:tab w:val="num" w:pos="5760"/>
        </w:tabs>
        <w:ind w:left="5760" w:hanging="360"/>
      </w:pPr>
      <w:rPr>
        <w:rFonts w:ascii="Symbol" w:hAnsi="Symbol" w:hint="default"/>
      </w:rPr>
    </w:lvl>
    <w:lvl w:ilvl="8" w:tplc="E690D500"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48726F6F"/>
    <w:multiLevelType w:val="hybridMultilevel"/>
    <w:tmpl w:val="3166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2B58B8"/>
    <w:multiLevelType w:val="multilevel"/>
    <w:tmpl w:val="90A8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2B2CBE"/>
    <w:multiLevelType w:val="hybridMultilevel"/>
    <w:tmpl w:val="2B0236E8"/>
    <w:lvl w:ilvl="0" w:tplc="B5343D0C">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97B5832"/>
    <w:multiLevelType w:val="hybridMultilevel"/>
    <w:tmpl w:val="71AAFF4C"/>
    <w:lvl w:ilvl="0" w:tplc="ABDA39B8">
      <w:start w:val="1"/>
      <w:numFmt w:val="bullet"/>
      <w:lvlText w:val=""/>
      <w:lvlJc w:val="left"/>
      <w:pPr>
        <w:tabs>
          <w:tab w:val="num" w:pos="720"/>
        </w:tabs>
        <w:ind w:left="720" w:hanging="360"/>
      </w:pPr>
      <w:rPr>
        <w:rFonts w:ascii="Wingdings" w:hAnsi="Wingdings" w:hint="default"/>
      </w:rPr>
    </w:lvl>
    <w:lvl w:ilvl="1" w:tplc="9F7E17AE" w:tentative="1">
      <w:start w:val="1"/>
      <w:numFmt w:val="bullet"/>
      <w:lvlText w:val=""/>
      <w:lvlJc w:val="left"/>
      <w:pPr>
        <w:tabs>
          <w:tab w:val="num" w:pos="1440"/>
        </w:tabs>
        <w:ind w:left="1440" w:hanging="360"/>
      </w:pPr>
      <w:rPr>
        <w:rFonts w:ascii="Wingdings" w:hAnsi="Wingdings" w:hint="default"/>
      </w:rPr>
    </w:lvl>
    <w:lvl w:ilvl="2" w:tplc="C688DF60" w:tentative="1">
      <w:start w:val="1"/>
      <w:numFmt w:val="bullet"/>
      <w:lvlText w:val=""/>
      <w:lvlJc w:val="left"/>
      <w:pPr>
        <w:tabs>
          <w:tab w:val="num" w:pos="2160"/>
        </w:tabs>
        <w:ind w:left="2160" w:hanging="360"/>
      </w:pPr>
      <w:rPr>
        <w:rFonts w:ascii="Wingdings" w:hAnsi="Wingdings" w:hint="default"/>
      </w:rPr>
    </w:lvl>
    <w:lvl w:ilvl="3" w:tplc="F0E04A3E" w:tentative="1">
      <w:start w:val="1"/>
      <w:numFmt w:val="bullet"/>
      <w:lvlText w:val=""/>
      <w:lvlJc w:val="left"/>
      <w:pPr>
        <w:tabs>
          <w:tab w:val="num" w:pos="2880"/>
        </w:tabs>
        <w:ind w:left="2880" w:hanging="360"/>
      </w:pPr>
      <w:rPr>
        <w:rFonts w:ascii="Wingdings" w:hAnsi="Wingdings" w:hint="default"/>
      </w:rPr>
    </w:lvl>
    <w:lvl w:ilvl="4" w:tplc="87DEB250" w:tentative="1">
      <w:start w:val="1"/>
      <w:numFmt w:val="bullet"/>
      <w:lvlText w:val=""/>
      <w:lvlJc w:val="left"/>
      <w:pPr>
        <w:tabs>
          <w:tab w:val="num" w:pos="3600"/>
        </w:tabs>
        <w:ind w:left="3600" w:hanging="360"/>
      </w:pPr>
      <w:rPr>
        <w:rFonts w:ascii="Wingdings" w:hAnsi="Wingdings" w:hint="default"/>
      </w:rPr>
    </w:lvl>
    <w:lvl w:ilvl="5" w:tplc="402E7C0A" w:tentative="1">
      <w:start w:val="1"/>
      <w:numFmt w:val="bullet"/>
      <w:lvlText w:val=""/>
      <w:lvlJc w:val="left"/>
      <w:pPr>
        <w:tabs>
          <w:tab w:val="num" w:pos="4320"/>
        </w:tabs>
        <w:ind w:left="4320" w:hanging="360"/>
      </w:pPr>
      <w:rPr>
        <w:rFonts w:ascii="Wingdings" w:hAnsi="Wingdings" w:hint="default"/>
      </w:rPr>
    </w:lvl>
    <w:lvl w:ilvl="6" w:tplc="030068D6" w:tentative="1">
      <w:start w:val="1"/>
      <w:numFmt w:val="bullet"/>
      <w:lvlText w:val=""/>
      <w:lvlJc w:val="left"/>
      <w:pPr>
        <w:tabs>
          <w:tab w:val="num" w:pos="5040"/>
        </w:tabs>
        <w:ind w:left="5040" w:hanging="360"/>
      </w:pPr>
      <w:rPr>
        <w:rFonts w:ascii="Wingdings" w:hAnsi="Wingdings" w:hint="default"/>
      </w:rPr>
    </w:lvl>
    <w:lvl w:ilvl="7" w:tplc="5E66003E" w:tentative="1">
      <w:start w:val="1"/>
      <w:numFmt w:val="bullet"/>
      <w:lvlText w:val=""/>
      <w:lvlJc w:val="left"/>
      <w:pPr>
        <w:tabs>
          <w:tab w:val="num" w:pos="5760"/>
        </w:tabs>
        <w:ind w:left="5760" w:hanging="360"/>
      </w:pPr>
      <w:rPr>
        <w:rFonts w:ascii="Wingdings" w:hAnsi="Wingdings" w:hint="default"/>
      </w:rPr>
    </w:lvl>
    <w:lvl w:ilvl="8" w:tplc="A520471A" w:tentative="1">
      <w:start w:val="1"/>
      <w:numFmt w:val="bullet"/>
      <w:lvlText w:val=""/>
      <w:lvlJc w:val="left"/>
      <w:pPr>
        <w:tabs>
          <w:tab w:val="num" w:pos="6480"/>
        </w:tabs>
        <w:ind w:left="6480" w:hanging="360"/>
      </w:pPr>
      <w:rPr>
        <w:rFonts w:ascii="Wingdings" w:hAnsi="Wingdings" w:hint="default"/>
      </w:rPr>
    </w:lvl>
  </w:abstractNum>
  <w:abstractNum w:abstractNumId="7">
    <w:nsid w:val="795D27A9"/>
    <w:multiLevelType w:val="hybridMultilevel"/>
    <w:tmpl w:val="57DAB68C"/>
    <w:lvl w:ilvl="0" w:tplc="CB202DF0">
      <w:start w:val="1"/>
      <w:numFmt w:val="bullet"/>
      <w:lvlText w:val=""/>
      <w:lvlJc w:val="left"/>
      <w:pPr>
        <w:tabs>
          <w:tab w:val="num" w:pos="720"/>
        </w:tabs>
        <w:ind w:left="720" w:hanging="360"/>
      </w:pPr>
      <w:rPr>
        <w:rFonts w:ascii="Wingdings" w:hAnsi="Wingdings" w:hint="default"/>
      </w:rPr>
    </w:lvl>
    <w:lvl w:ilvl="1" w:tplc="B91CF5F4" w:tentative="1">
      <w:start w:val="1"/>
      <w:numFmt w:val="bullet"/>
      <w:lvlText w:val=""/>
      <w:lvlJc w:val="left"/>
      <w:pPr>
        <w:tabs>
          <w:tab w:val="num" w:pos="1440"/>
        </w:tabs>
        <w:ind w:left="1440" w:hanging="360"/>
      </w:pPr>
      <w:rPr>
        <w:rFonts w:ascii="Wingdings" w:hAnsi="Wingdings" w:hint="default"/>
      </w:rPr>
    </w:lvl>
    <w:lvl w:ilvl="2" w:tplc="3C3ACD9A" w:tentative="1">
      <w:start w:val="1"/>
      <w:numFmt w:val="bullet"/>
      <w:lvlText w:val=""/>
      <w:lvlJc w:val="left"/>
      <w:pPr>
        <w:tabs>
          <w:tab w:val="num" w:pos="2160"/>
        </w:tabs>
        <w:ind w:left="2160" w:hanging="360"/>
      </w:pPr>
      <w:rPr>
        <w:rFonts w:ascii="Wingdings" w:hAnsi="Wingdings" w:hint="default"/>
      </w:rPr>
    </w:lvl>
    <w:lvl w:ilvl="3" w:tplc="43CE8C7A" w:tentative="1">
      <w:start w:val="1"/>
      <w:numFmt w:val="bullet"/>
      <w:lvlText w:val=""/>
      <w:lvlJc w:val="left"/>
      <w:pPr>
        <w:tabs>
          <w:tab w:val="num" w:pos="2880"/>
        </w:tabs>
        <w:ind w:left="2880" w:hanging="360"/>
      </w:pPr>
      <w:rPr>
        <w:rFonts w:ascii="Wingdings" w:hAnsi="Wingdings" w:hint="default"/>
      </w:rPr>
    </w:lvl>
    <w:lvl w:ilvl="4" w:tplc="B0E022B0" w:tentative="1">
      <w:start w:val="1"/>
      <w:numFmt w:val="bullet"/>
      <w:lvlText w:val=""/>
      <w:lvlJc w:val="left"/>
      <w:pPr>
        <w:tabs>
          <w:tab w:val="num" w:pos="3600"/>
        </w:tabs>
        <w:ind w:left="3600" w:hanging="360"/>
      </w:pPr>
      <w:rPr>
        <w:rFonts w:ascii="Wingdings" w:hAnsi="Wingdings" w:hint="default"/>
      </w:rPr>
    </w:lvl>
    <w:lvl w:ilvl="5" w:tplc="137A7736" w:tentative="1">
      <w:start w:val="1"/>
      <w:numFmt w:val="bullet"/>
      <w:lvlText w:val=""/>
      <w:lvlJc w:val="left"/>
      <w:pPr>
        <w:tabs>
          <w:tab w:val="num" w:pos="4320"/>
        </w:tabs>
        <w:ind w:left="4320" w:hanging="360"/>
      </w:pPr>
      <w:rPr>
        <w:rFonts w:ascii="Wingdings" w:hAnsi="Wingdings" w:hint="default"/>
      </w:rPr>
    </w:lvl>
    <w:lvl w:ilvl="6" w:tplc="D35A9A6E" w:tentative="1">
      <w:start w:val="1"/>
      <w:numFmt w:val="bullet"/>
      <w:lvlText w:val=""/>
      <w:lvlJc w:val="left"/>
      <w:pPr>
        <w:tabs>
          <w:tab w:val="num" w:pos="5040"/>
        </w:tabs>
        <w:ind w:left="5040" w:hanging="360"/>
      </w:pPr>
      <w:rPr>
        <w:rFonts w:ascii="Wingdings" w:hAnsi="Wingdings" w:hint="default"/>
      </w:rPr>
    </w:lvl>
    <w:lvl w:ilvl="7" w:tplc="0BAC3E8C" w:tentative="1">
      <w:start w:val="1"/>
      <w:numFmt w:val="bullet"/>
      <w:lvlText w:val=""/>
      <w:lvlJc w:val="left"/>
      <w:pPr>
        <w:tabs>
          <w:tab w:val="num" w:pos="5760"/>
        </w:tabs>
        <w:ind w:left="5760" w:hanging="360"/>
      </w:pPr>
      <w:rPr>
        <w:rFonts w:ascii="Wingdings" w:hAnsi="Wingdings" w:hint="default"/>
      </w:rPr>
    </w:lvl>
    <w:lvl w:ilvl="8" w:tplc="D0665E88" w:tentative="1">
      <w:start w:val="1"/>
      <w:numFmt w:val="bullet"/>
      <w:lvlText w:val=""/>
      <w:lvlJc w:val="left"/>
      <w:pPr>
        <w:tabs>
          <w:tab w:val="num" w:pos="6480"/>
        </w:tabs>
        <w:ind w:left="6480" w:hanging="360"/>
      </w:pPr>
      <w:rPr>
        <w:rFonts w:ascii="Wingdings" w:hAnsi="Wingdings" w:hint="default"/>
      </w:rPr>
    </w:lvl>
  </w:abstractNum>
  <w:abstractNum w:abstractNumId="8">
    <w:nsid w:val="7B391DA6"/>
    <w:multiLevelType w:val="hybridMultilevel"/>
    <w:tmpl w:val="7194B174"/>
    <w:lvl w:ilvl="0" w:tplc="30989C74">
      <w:start w:val="1"/>
      <w:numFmt w:val="decimal"/>
      <w:lvlText w:val="%1."/>
      <w:lvlJc w:val="left"/>
      <w:pPr>
        <w:ind w:left="360" w:hanging="360"/>
      </w:pPr>
      <w:rPr>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E486747"/>
    <w:multiLevelType w:val="hybridMultilevel"/>
    <w:tmpl w:val="BD1452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FE95BAF"/>
    <w:multiLevelType w:val="hybridMultilevel"/>
    <w:tmpl w:val="303E00AC"/>
    <w:lvl w:ilvl="0" w:tplc="0452103C">
      <w:start w:val="1"/>
      <w:numFmt w:val="bullet"/>
      <w:lvlText w:val=""/>
      <w:lvlPicBulletId w:val="0"/>
      <w:lvlJc w:val="left"/>
      <w:pPr>
        <w:tabs>
          <w:tab w:val="num" w:pos="720"/>
        </w:tabs>
        <w:ind w:left="720" w:hanging="360"/>
      </w:pPr>
      <w:rPr>
        <w:rFonts w:ascii="Symbol" w:hAnsi="Symbol" w:hint="default"/>
      </w:rPr>
    </w:lvl>
    <w:lvl w:ilvl="1" w:tplc="297A9FD8" w:tentative="1">
      <w:start w:val="1"/>
      <w:numFmt w:val="bullet"/>
      <w:lvlText w:val=""/>
      <w:lvlPicBulletId w:val="0"/>
      <w:lvlJc w:val="left"/>
      <w:pPr>
        <w:tabs>
          <w:tab w:val="num" w:pos="1440"/>
        </w:tabs>
        <w:ind w:left="1440" w:hanging="360"/>
      </w:pPr>
      <w:rPr>
        <w:rFonts w:ascii="Symbol" w:hAnsi="Symbol" w:hint="default"/>
      </w:rPr>
    </w:lvl>
    <w:lvl w:ilvl="2" w:tplc="9266F2F4" w:tentative="1">
      <w:start w:val="1"/>
      <w:numFmt w:val="bullet"/>
      <w:lvlText w:val=""/>
      <w:lvlPicBulletId w:val="0"/>
      <w:lvlJc w:val="left"/>
      <w:pPr>
        <w:tabs>
          <w:tab w:val="num" w:pos="2160"/>
        </w:tabs>
        <w:ind w:left="2160" w:hanging="360"/>
      </w:pPr>
      <w:rPr>
        <w:rFonts w:ascii="Symbol" w:hAnsi="Symbol" w:hint="default"/>
      </w:rPr>
    </w:lvl>
    <w:lvl w:ilvl="3" w:tplc="148806D0" w:tentative="1">
      <w:start w:val="1"/>
      <w:numFmt w:val="bullet"/>
      <w:lvlText w:val=""/>
      <w:lvlPicBulletId w:val="0"/>
      <w:lvlJc w:val="left"/>
      <w:pPr>
        <w:tabs>
          <w:tab w:val="num" w:pos="2880"/>
        </w:tabs>
        <w:ind w:left="2880" w:hanging="360"/>
      </w:pPr>
      <w:rPr>
        <w:rFonts w:ascii="Symbol" w:hAnsi="Symbol" w:hint="default"/>
      </w:rPr>
    </w:lvl>
    <w:lvl w:ilvl="4" w:tplc="A2E6E6A2" w:tentative="1">
      <w:start w:val="1"/>
      <w:numFmt w:val="bullet"/>
      <w:lvlText w:val=""/>
      <w:lvlPicBulletId w:val="0"/>
      <w:lvlJc w:val="left"/>
      <w:pPr>
        <w:tabs>
          <w:tab w:val="num" w:pos="3600"/>
        </w:tabs>
        <w:ind w:left="3600" w:hanging="360"/>
      </w:pPr>
      <w:rPr>
        <w:rFonts w:ascii="Symbol" w:hAnsi="Symbol" w:hint="default"/>
      </w:rPr>
    </w:lvl>
    <w:lvl w:ilvl="5" w:tplc="53E4D83E" w:tentative="1">
      <w:start w:val="1"/>
      <w:numFmt w:val="bullet"/>
      <w:lvlText w:val=""/>
      <w:lvlPicBulletId w:val="0"/>
      <w:lvlJc w:val="left"/>
      <w:pPr>
        <w:tabs>
          <w:tab w:val="num" w:pos="4320"/>
        </w:tabs>
        <w:ind w:left="4320" w:hanging="360"/>
      </w:pPr>
      <w:rPr>
        <w:rFonts w:ascii="Symbol" w:hAnsi="Symbol" w:hint="default"/>
      </w:rPr>
    </w:lvl>
    <w:lvl w:ilvl="6" w:tplc="6EB81CE0" w:tentative="1">
      <w:start w:val="1"/>
      <w:numFmt w:val="bullet"/>
      <w:lvlText w:val=""/>
      <w:lvlPicBulletId w:val="0"/>
      <w:lvlJc w:val="left"/>
      <w:pPr>
        <w:tabs>
          <w:tab w:val="num" w:pos="5040"/>
        </w:tabs>
        <w:ind w:left="5040" w:hanging="360"/>
      </w:pPr>
      <w:rPr>
        <w:rFonts w:ascii="Symbol" w:hAnsi="Symbol" w:hint="default"/>
      </w:rPr>
    </w:lvl>
    <w:lvl w:ilvl="7" w:tplc="185242CE" w:tentative="1">
      <w:start w:val="1"/>
      <w:numFmt w:val="bullet"/>
      <w:lvlText w:val=""/>
      <w:lvlPicBulletId w:val="0"/>
      <w:lvlJc w:val="left"/>
      <w:pPr>
        <w:tabs>
          <w:tab w:val="num" w:pos="5760"/>
        </w:tabs>
        <w:ind w:left="5760" w:hanging="360"/>
      </w:pPr>
      <w:rPr>
        <w:rFonts w:ascii="Symbol" w:hAnsi="Symbol" w:hint="default"/>
      </w:rPr>
    </w:lvl>
    <w:lvl w:ilvl="8" w:tplc="6ADE4F8E">
      <w:start w:val="1"/>
      <w:numFmt w:val="bullet"/>
      <w:lvlText w:val=""/>
      <w:lvlPicBulletId w:val="0"/>
      <w:lvlJc w:val="left"/>
      <w:pPr>
        <w:tabs>
          <w:tab w:val="num" w:pos="6480"/>
        </w:tabs>
        <w:ind w:left="6480" w:hanging="360"/>
      </w:pPr>
      <w:rPr>
        <w:rFonts w:ascii="Symbol" w:hAnsi="Symbol" w:hint="default"/>
      </w:rPr>
    </w:lvl>
  </w:abstractNum>
  <w:num w:numId="1">
    <w:abstractNumId w:val="0"/>
  </w:num>
  <w:num w:numId="2">
    <w:abstractNumId w:val="5"/>
  </w:num>
  <w:num w:numId="3">
    <w:abstractNumId w:val="8"/>
  </w:num>
  <w:num w:numId="4">
    <w:abstractNumId w:val="4"/>
  </w:num>
  <w:num w:numId="5">
    <w:abstractNumId w:val="3"/>
  </w:num>
  <w:num w:numId="6">
    <w:abstractNumId w:val="2"/>
  </w:num>
  <w:num w:numId="7">
    <w:abstractNumId w:val="6"/>
  </w:num>
  <w:num w:numId="8">
    <w:abstractNumId w:val="7"/>
  </w:num>
  <w:num w:numId="9">
    <w:abstractNumId w:val="10"/>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A21"/>
    <w:rsid w:val="0000453A"/>
    <w:rsid w:val="0001071C"/>
    <w:rsid w:val="00012371"/>
    <w:rsid w:val="000156EE"/>
    <w:rsid w:val="00017619"/>
    <w:rsid w:val="000242CD"/>
    <w:rsid w:val="00030E32"/>
    <w:rsid w:val="00032641"/>
    <w:rsid w:val="00032807"/>
    <w:rsid w:val="00034804"/>
    <w:rsid w:val="00042206"/>
    <w:rsid w:val="00044913"/>
    <w:rsid w:val="00051C5B"/>
    <w:rsid w:val="00053D13"/>
    <w:rsid w:val="000571CC"/>
    <w:rsid w:val="0006253D"/>
    <w:rsid w:val="00063306"/>
    <w:rsid w:val="00065F7D"/>
    <w:rsid w:val="00066F26"/>
    <w:rsid w:val="00067D5F"/>
    <w:rsid w:val="0007135C"/>
    <w:rsid w:val="00072767"/>
    <w:rsid w:val="00080EAB"/>
    <w:rsid w:val="00086A8E"/>
    <w:rsid w:val="000913BA"/>
    <w:rsid w:val="000927DF"/>
    <w:rsid w:val="000946A7"/>
    <w:rsid w:val="000A04C1"/>
    <w:rsid w:val="000A4FEF"/>
    <w:rsid w:val="000B0914"/>
    <w:rsid w:val="000B2236"/>
    <w:rsid w:val="000B2240"/>
    <w:rsid w:val="000B41FA"/>
    <w:rsid w:val="000B4A43"/>
    <w:rsid w:val="000B4C83"/>
    <w:rsid w:val="000B5C14"/>
    <w:rsid w:val="000B764B"/>
    <w:rsid w:val="000B7A84"/>
    <w:rsid w:val="000C3D89"/>
    <w:rsid w:val="000C5062"/>
    <w:rsid w:val="000C6662"/>
    <w:rsid w:val="000C7C90"/>
    <w:rsid w:val="000D1214"/>
    <w:rsid w:val="000D1BA4"/>
    <w:rsid w:val="000D1EC4"/>
    <w:rsid w:val="000D3BCB"/>
    <w:rsid w:val="000E0AC4"/>
    <w:rsid w:val="000E19BF"/>
    <w:rsid w:val="000E26A7"/>
    <w:rsid w:val="000E2719"/>
    <w:rsid w:val="000E47B5"/>
    <w:rsid w:val="000E605D"/>
    <w:rsid w:val="000E6D04"/>
    <w:rsid w:val="000F07B9"/>
    <w:rsid w:val="000F0946"/>
    <w:rsid w:val="000F3C8B"/>
    <w:rsid w:val="000F69C2"/>
    <w:rsid w:val="00101CAC"/>
    <w:rsid w:val="00107F8C"/>
    <w:rsid w:val="00112DE8"/>
    <w:rsid w:val="00115CBB"/>
    <w:rsid w:val="001170A7"/>
    <w:rsid w:val="00117200"/>
    <w:rsid w:val="00121A9A"/>
    <w:rsid w:val="00125CB3"/>
    <w:rsid w:val="00134E35"/>
    <w:rsid w:val="00135D6C"/>
    <w:rsid w:val="0014379A"/>
    <w:rsid w:val="00143AD6"/>
    <w:rsid w:val="001452CE"/>
    <w:rsid w:val="001505F3"/>
    <w:rsid w:val="00150EF3"/>
    <w:rsid w:val="00153CD1"/>
    <w:rsid w:val="00154A77"/>
    <w:rsid w:val="0015737E"/>
    <w:rsid w:val="001613DD"/>
    <w:rsid w:val="0016287D"/>
    <w:rsid w:val="001651A6"/>
    <w:rsid w:val="00165502"/>
    <w:rsid w:val="001716EE"/>
    <w:rsid w:val="001743E5"/>
    <w:rsid w:val="00174818"/>
    <w:rsid w:val="00177637"/>
    <w:rsid w:val="00180BAB"/>
    <w:rsid w:val="00182F63"/>
    <w:rsid w:val="0019189F"/>
    <w:rsid w:val="001918A2"/>
    <w:rsid w:val="001940D0"/>
    <w:rsid w:val="001A1EE6"/>
    <w:rsid w:val="001A3098"/>
    <w:rsid w:val="001A4625"/>
    <w:rsid w:val="001A6118"/>
    <w:rsid w:val="001A78E8"/>
    <w:rsid w:val="001B0ABF"/>
    <w:rsid w:val="001B6D45"/>
    <w:rsid w:val="001B7DFA"/>
    <w:rsid w:val="001C022E"/>
    <w:rsid w:val="001C3375"/>
    <w:rsid w:val="001C6AEC"/>
    <w:rsid w:val="001D16EB"/>
    <w:rsid w:val="001D1934"/>
    <w:rsid w:val="001D2E22"/>
    <w:rsid w:val="001D3E16"/>
    <w:rsid w:val="001D5095"/>
    <w:rsid w:val="001D5375"/>
    <w:rsid w:val="001D67E1"/>
    <w:rsid w:val="001D6ACF"/>
    <w:rsid w:val="001E31B1"/>
    <w:rsid w:val="001E3725"/>
    <w:rsid w:val="001E4080"/>
    <w:rsid w:val="001E5F39"/>
    <w:rsid w:val="001E6DE2"/>
    <w:rsid w:val="001E78F4"/>
    <w:rsid w:val="001F07F0"/>
    <w:rsid w:val="001F27DC"/>
    <w:rsid w:val="001F6334"/>
    <w:rsid w:val="00202422"/>
    <w:rsid w:val="00203430"/>
    <w:rsid w:val="00205BA4"/>
    <w:rsid w:val="0021075F"/>
    <w:rsid w:val="0021423A"/>
    <w:rsid w:val="00215E4C"/>
    <w:rsid w:val="00216748"/>
    <w:rsid w:val="00222437"/>
    <w:rsid w:val="0022454E"/>
    <w:rsid w:val="002246CB"/>
    <w:rsid w:val="002323E1"/>
    <w:rsid w:val="00233B63"/>
    <w:rsid w:val="00237582"/>
    <w:rsid w:val="00243216"/>
    <w:rsid w:val="0024369F"/>
    <w:rsid w:val="00243CC9"/>
    <w:rsid w:val="00254060"/>
    <w:rsid w:val="002557C0"/>
    <w:rsid w:val="002621FA"/>
    <w:rsid w:val="002630D9"/>
    <w:rsid w:val="00263626"/>
    <w:rsid w:val="0027030C"/>
    <w:rsid w:val="00270A02"/>
    <w:rsid w:val="00270DA5"/>
    <w:rsid w:val="002739D4"/>
    <w:rsid w:val="00273F78"/>
    <w:rsid w:val="00274D89"/>
    <w:rsid w:val="00276C9C"/>
    <w:rsid w:val="002772A4"/>
    <w:rsid w:val="002843F3"/>
    <w:rsid w:val="00284A14"/>
    <w:rsid w:val="0028518D"/>
    <w:rsid w:val="0029471F"/>
    <w:rsid w:val="002965F0"/>
    <w:rsid w:val="002A1054"/>
    <w:rsid w:val="002A17F4"/>
    <w:rsid w:val="002A6718"/>
    <w:rsid w:val="002A67F6"/>
    <w:rsid w:val="002B04E6"/>
    <w:rsid w:val="002C57C1"/>
    <w:rsid w:val="002C58D0"/>
    <w:rsid w:val="002D1326"/>
    <w:rsid w:val="002E1BFE"/>
    <w:rsid w:val="002E257C"/>
    <w:rsid w:val="002E2E0B"/>
    <w:rsid w:val="002E7163"/>
    <w:rsid w:val="002F00E8"/>
    <w:rsid w:val="002F0C19"/>
    <w:rsid w:val="002F0F46"/>
    <w:rsid w:val="002F177C"/>
    <w:rsid w:val="002F5555"/>
    <w:rsid w:val="002F5B27"/>
    <w:rsid w:val="002F6092"/>
    <w:rsid w:val="002F64EB"/>
    <w:rsid w:val="002F6BD3"/>
    <w:rsid w:val="003025D4"/>
    <w:rsid w:val="00303E1C"/>
    <w:rsid w:val="003063A2"/>
    <w:rsid w:val="00313069"/>
    <w:rsid w:val="003166B2"/>
    <w:rsid w:val="00317700"/>
    <w:rsid w:val="00323F5F"/>
    <w:rsid w:val="00326949"/>
    <w:rsid w:val="00334804"/>
    <w:rsid w:val="00335BF3"/>
    <w:rsid w:val="00337C69"/>
    <w:rsid w:val="00340452"/>
    <w:rsid w:val="0034456E"/>
    <w:rsid w:val="003468F7"/>
    <w:rsid w:val="0034709E"/>
    <w:rsid w:val="0034754C"/>
    <w:rsid w:val="00354D78"/>
    <w:rsid w:val="00354F34"/>
    <w:rsid w:val="0036401E"/>
    <w:rsid w:val="00366823"/>
    <w:rsid w:val="00371F56"/>
    <w:rsid w:val="003744E1"/>
    <w:rsid w:val="00376430"/>
    <w:rsid w:val="0037715A"/>
    <w:rsid w:val="0038317B"/>
    <w:rsid w:val="00383350"/>
    <w:rsid w:val="00383CA3"/>
    <w:rsid w:val="00384192"/>
    <w:rsid w:val="00384CF3"/>
    <w:rsid w:val="003910E0"/>
    <w:rsid w:val="00392333"/>
    <w:rsid w:val="00393C8F"/>
    <w:rsid w:val="00393E14"/>
    <w:rsid w:val="00396226"/>
    <w:rsid w:val="00396D64"/>
    <w:rsid w:val="00397283"/>
    <w:rsid w:val="003A2067"/>
    <w:rsid w:val="003A2998"/>
    <w:rsid w:val="003A2D24"/>
    <w:rsid w:val="003A4B05"/>
    <w:rsid w:val="003A4D61"/>
    <w:rsid w:val="003B1A99"/>
    <w:rsid w:val="003B57CB"/>
    <w:rsid w:val="003B74EB"/>
    <w:rsid w:val="003C0951"/>
    <w:rsid w:val="003D4FE0"/>
    <w:rsid w:val="003E2071"/>
    <w:rsid w:val="003E3E11"/>
    <w:rsid w:val="003E494C"/>
    <w:rsid w:val="003E64E1"/>
    <w:rsid w:val="003E7387"/>
    <w:rsid w:val="003F1B2F"/>
    <w:rsid w:val="003F1FBE"/>
    <w:rsid w:val="003F6580"/>
    <w:rsid w:val="003F65C6"/>
    <w:rsid w:val="004018E9"/>
    <w:rsid w:val="0040268F"/>
    <w:rsid w:val="004052FC"/>
    <w:rsid w:val="0040552D"/>
    <w:rsid w:val="00410D1D"/>
    <w:rsid w:val="004125D3"/>
    <w:rsid w:val="00413C80"/>
    <w:rsid w:val="00414797"/>
    <w:rsid w:val="004203A9"/>
    <w:rsid w:val="00422226"/>
    <w:rsid w:val="00423105"/>
    <w:rsid w:val="004242F9"/>
    <w:rsid w:val="00424867"/>
    <w:rsid w:val="004248DA"/>
    <w:rsid w:val="0043190E"/>
    <w:rsid w:val="00434B60"/>
    <w:rsid w:val="00435E3E"/>
    <w:rsid w:val="004379C4"/>
    <w:rsid w:val="0044195E"/>
    <w:rsid w:val="00444227"/>
    <w:rsid w:val="0045064B"/>
    <w:rsid w:val="00452322"/>
    <w:rsid w:val="00456174"/>
    <w:rsid w:val="004568E8"/>
    <w:rsid w:val="0046690F"/>
    <w:rsid w:val="00467FE2"/>
    <w:rsid w:val="004720C2"/>
    <w:rsid w:val="0047361E"/>
    <w:rsid w:val="0047576D"/>
    <w:rsid w:val="004763B7"/>
    <w:rsid w:val="0047717A"/>
    <w:rsid w:val="00481031"/>
    <w:rsid w:val="00482A9C"/>
    <w:rsid w:val="00490976"/>
    <w:rsid w:val="00494505"/>
    <w:rsid w:val="00495932"/>
    <w:rsid w:val="004979AA"/>
    <w:rsid w:val="004B0F0E"/>
    <w:rsid w:val="004B11D5"/>
    <w:rsid w:val="004B2379"/>
    <w:rsid w:val="004B2AA8"/>
    <w:rsid w:val="004B5FEE"/>
    <w:rsid w:val="004B612C"/>
    <w:rsid w:val="004B6B93"/>
    <w:rsid w:val="004B6DA1"/>
    <w:rsid w:val="004C0ED1"/>
    <w:rsid w:val="004C4612"/>
    <w:rsid w:val="004C647B"/>
    <w:rsid w:val="004C6FA0"/>
    <w:rsid w:val="004D01B5"/>
    <w:rsid w:val="004D04E2"/>
    <w:rsid w:val="004D1AB9"/>
    <w:rsid w:val="004E402E"/>
    <w:rsid w:val="004E4CBC"/>
    <w:rsid w:val="004E5A82"/>
    <w:rsid w:val="004E61E6"/>
    <w:rsid w:val="004F10D8"/>
    <w:rsid w:val="004F2698"/>
    <w:rsid w:val="004F2AFD"/>
    <w:rsid w:val="004F4E16"/>
    <w:rsid w:val="00503CB2"/>
    <w:rsid w:val="00503D97"/>
    <w:rsid w:val="00507ABB"/>
    <w:rsid w:val="0051333E"/>
    <w:rsid w:val="00516098"/>
    <w:rsid w:val="005160D8"/>
    <w:rsid w:val="005168AB"/>
    <w:rsid w:val="00523A14"/>
    <w:rsid w:val="00523F61"/>
    <w:rsid w:val="0052474A"/>
    <w:rsid w:val="00526376"/>
    <w:rsid w:val="005277A5"/>
    <w:rsid w:val="0052783F"/>
    <w:rsid w:val="00543081"/>
    <w:rsid w:val="005447C2"/>
    <w:rsid w:val="00547A0B"/>
    <w:rsid w:val="00547DAF"/>
    <w:rsid w:val="00554FB9"/>
    <w:rsid w:val="00556A5D"/>
    <w:rsid w:val="00557859"/>
    <w:rsid w:val="00562AAD"/>
    <w:rsid w:val="00563DC8"/>
    <w:rsid w:val="005656B0"/>
    <w:rsid w:val="005709EC"/>
    <w:rsid w:val="00571AF8"/>
    <w:rsid w:val="00575791"/>
    <w:rsid w:val="00576814"/>
    <w:rsid w:val="0058368E"/>
    <w:rsid w:val="0059366D"/>
    <w:rsid w:val="00594B8A"/>
    <w:rsid w:val="00597319"/>
    <w:rsid w:val="005A1A63"/>
    <w:rsid w:val="005A25CC"/>
    <w:rsid w:val="005A4FC8"/>
    <w:rsid w:val="005A5255"/>
    <w:rsid w:val="005A55D1"/>
    <w:rsid w:val="005A6766"/>
    <w:rsid w:val="005A6E23"/>
    <w:rsid w:val="005B05F2"/>
    <w:rsid w:val="005B1751"/>
    <w:rsid w:val="005B1CA0"/>
    <w:rsid w:val="005B3560"/>
    <w:rsid w:val="005B78D3"/>
    <w:rsid w:val="005C3857"/>
    <w:rsid w:val="005C4EDF"/>
    <w:rsid w:val="005C77B9"/>
    <w:rsid w:val="005C7D98"/>
    <w:rsid w:val="005D1D63"/>
    <w:rsid w:val="005D353F"/>
    <w:rsid w:val="005D52FB"/>
    <w:rsid w:val="005E13DC"/>
    <w:rsid w:val="005E4CC6"/>
    <w:rsid w:val="005E5217"/>
    <w:rsid w:val="00600199"/>
    <w:rsid w:val="006011CF"/>
    <w:rsid w:val="00603A12"/>
    <w:rsid w:val="00607B9D"/>
    <w:rsid w:val="00610259"/>
    <w:rsid w:val="00610585"/>
    <w:rsid w:val="0062087A"/>
    <w:rsid w:val="00627905"/>
    <w:rsid w:val="00630399"/>
    <w:rsid w:val="00630898"/>
    <w:rsid w:val="006339E2"/>
    <w:rsid w:val="00637BC2"/>
    <w:rsid w:val="006416AA"/>
    <w:rsid w:val="00641B40"/>
    <w:rsid w:val="0064257D"/>
    <w:rsid w:val="0064322E"/>
    <w:rsid w:val="006441D8"/>
    <w:rsid w:val="0064635C"/>
    <w:rsid w:val="00657BD1"/>
    <w:rsid w:val="00661791"/>
    <w:rsid w:val="00663AFC"/>
    <w:rsid w:val="006703B5"/>
    <w:rsid w:val="0067397F"/>
    <w:rsid w:val="0067485E"/>
    <w:rsid w:val="00680FCD"/>
    <w:rsid w:val="00682619"/>
    <w:rsid w:val="00683A4B"/>
    <w:rsid w:val="00683D5C"/>
    <w:rsid w:val="00685231"/>
    <w:rsid w:val="00696942"/>
    <w:rsid w:val="006A0596"/>
    <w:rsid w:val="006A2BF3"/>
    <w:rsid w:val="006A61B2"/>
    <w:rsid w:val="006B158A"/>
    <w:rsid w:val="006B48F8"/>
    <w:rsid w:val="006B6BFF"/>
    <w:rsid w:val="006C2EAE"/>
    <w:rsid w:val="006C4D9A"/>
    <w:rsid w:val="006C6846"/>
    <w:rsid w:val="006D28AF"/>
    <w:rsid w:val="006D5295"/>
    <w:rsid w:val="006E201E"/>
    <w:rsid w:val="006E2691"/>
    <w:rsid w:val="006E3C26"/>
    <w:rsid w:val="006E43DF"/>
    <w:rsid w:val="006E5633"/>
    <w:rsid w:val="006E7D9F"/>
    <w:rsid w:val="006F014A"/>
    <w:rsid w:val="006F0FA0"/>
    <w:rsid w:val="006F2D41"/>
    <w:rsid w:val="006F7777"/>
    <w:rsid w:val="007007CF"/>
    <w:rsid w:val="007010E3"/>
    <w:rsid w:val="007014B9"/>
    <w:rsid w:val="00704A83"/>
    <w:rsid w:val="00704B08"/>
    <w:rsid w:val="00705979"/>
    <w:rsid w:val="00706191"/>
    <w:rsid w:val="00707F05"/>
    <w:rsid w:val="0071019D"/>
    <w:rsid w:val="00710C67"/>
    <w:rsid w:val="00712B09"/>
    <w:rsid w:val="00716465"/>
    <w:rsid w:val="00720392"/>
    <w:rsid w:val="0072386A"/>
    <w:rsid w:val="00724114"/>
    <w:rsid w:val="007255FA"/>
    <w:rsid w:val="00725AA5"/>
    <w:rsid w:val="0073295C"/>
    <w:rsid w:val="0073393F"/>
    <w:rsid w:val="00735A2E"/>
    <w:rsid w:val="00740361"/>
    <w:rsid w:val="0074202C"/>
    <w:rsid w:val="0074207C"/>
    <w:rsid w:val="00743DA6"/>
    <w:rsid w:val="00744430"/>
    <w:rsid w:val="007446FD"/>
    <w:rsid w:val="007447D8"/>
    <w:rsid w:val="00747219"/>
    <w:rsid w:val="0075139E"/>
    <w:rsid w:val="00751F71"/>
    <w:rsid w:val="007520CF"/>
    <w:rsid w:val="0076218D"/>
    <w:rsid w:val="007643CA"/>
    <w:rsid w:val="00764565"/>
    <w:rsid w:val="00772C0E"/>
    <w:rsid w:val="00773897"/>
    <w:rsid w:val="007763F1"/>
    <w:rsid w:val="0077703F"/>
    <w:rsid w:val="00791135"/>
    <w:rsid w:val="007936C8"/>
    <w:rsid w:val="00793E30"/>
    <w:rsid w:val="00796EB5"/>
    <w:rsid w:val="00797CD6"/>
    <w:rsid w:val="007A1476"/>
    <w:rsid w:val="007A1A21"/>
    <w:rsid w:val="007A2CD1"/>
    <w:rsid w:val="007A312D"/>
    <w:rsid w:val="007A5B75"/>
    <w:rsid w:val="007A7A01"/>
    <w:rsid w:val="007B1638"/>
    <w:rsid w:val="007B2CDE"/>
    <w:rsid w:val="007B63EB"/>
    <w:rsid w:val="007B7294"/>
    <w:rsid w:val="007B743F"/>
    <w:rsid w:val="007C094A"/>
    <w:rsid w:val="007C2190"/>
    <w:rsid w:val="007C40C3"/>
    <w:rsid w:val="007C6029"/>
    <w:rsid w:val="007D2BA8"/>
    <w:rsid w:val="007E18FB"/>
    <w:rsid w:val="007E4FD0"/>
    <w:rsid w:val="007F1A1C"/>
    <w:rsid w:val="007F34B8"/>
    <w:rsid w:val="00807B0B"/>
    <w:rsid w:val="008121E8"/>
    <w:rsid w:val="00812B0D"/>
    <w:rsid w:val="00813F8D"/>
    <w:rsid w:val="0081415F"/>
    <w:rsid w:val="008166FB"/>
    <w:rsid w:val="00817E78"/>
    <w:rsid w:val="00820ADD"/>
    <w:rsid w:val="00825CDA"/>
    <w:rsid w:val="00826E0C"/>
    <w:rsid w:val="0083039C"/>
    <w:rsid w:val="0083095B"/>
    <w:rsid w:val="00832F7C"/>
    <w:rsid w:val="0083301F"/>
    <w:rsid w:val="00835580"/>
    <w:rsid w:val="00842B8F"/>
    <w:rsid w:val="0084339A"/>
    <w:rsid w:val="00845FD8"/>
    <w:rsid w:val="00846ED7"/>
    <w:rsid w:val="0085244D"/>
    <w:rsid w:val="008613A0"/>
    <w:rsid w:val="00862B3B"/>
    <w:rsid w:val="008636BE"/>
    <w:rsid w:val="008660B2"/>
    <w:rsid w:val="0086717B"/>
    <w:rsid w:val="00872551"/>
    <w:rsid w:val="008731D0"/>
    <w:rsid w:val="008740F4"/>
    <w:rsid w:val="008745A1"/>
    <w:rsid w:val="008776A1"/>
    <w:rsid w:val="00880B68"/>
    <w:rsid w:val="00887A57"/>
    <w:rsid w:val="00890365"/>
    <w:rsid w:val="008907B8"/>
    <w:rsid w:val="008928CD"/>
    <w:rsid w:val="008979AF"/>
    <w:rsid w:val="008A072D"/>
    <w:rsid w:val="008A3C4B"/>
    <w:rsid w:val="008A5043"/>
    <w:rsid w:val="008A6044"/>
    <w:rsid w:val="008A6183"/>
    <w:rsid w:val="008A64C9"/>
    <w:rsid w:val="008A6DC9"/>
    <w:rsid w:val="008A75B7"/>
    <w:rsid w:val="008B0CEB"/>
    <w:rsid w:val="008B1DC8"/>
    <w:rsid w:val="008B31EA"/>
    <w:rsid w:val="008B79CD"/>
    <w:rsid w:val="008C43D9"/>
    <w:rsid w:val="008C53D4"/>
    <w:rsid w:val="008C5C0B"/>
    <w:rsid w:val="008D1733"/>
    <w:rsid w:val="008D4461"/>
    <w:rsid w:val="008D44C1"/>
    <w:rsid w:val="008D71ED"/>
    <w:rsid w:val="008E0ACE"/>
    <w:rsid w:val="008E394D"/>
    <w:rsid w:val="008E608E"/>
    <w:rsid w:val="008E7652"/>
    <w:rsid w:val="008E7814"/>
    <w:rsid w:val="008F206E"/>
    <w:rsid w:val="008F44D7"/>
    <w:rsid w:val="008F5EAD"/>
    <w:rsid w:val="008F6000"/>
    <w:rsid w:val="008F6D72"/>
    <w:rsid w:val="008F7626"/>
    <w:rsid w:val="00906011"/>
    <w:rsid w:val="00912429"/>
    <w:rsid w:val="009144F8"/>
    <w:rsid w:val="0092146B"/>
    <w:rsid w:val="009221E8"/>
    <w:rsid w:val="00924AF6"/>
    <w:rsid w:val="00925BB1"/>
    <w:rsid w:val="00926CCC"/>
    <w:rsid w:val="009278E6"/>
    <w:rsid w:val="00930AFC"/>
    <w:rsid w:val="00931D4A"/>
    <w:rsid w:val="00940419"/>
    <w:rsid w:val="00941578"/>
    <w:rsid w:val="009431B5"/>
    <w:rsid w:val="009448BA"/>
    <w:rsid w:val="009461CF"/>
    <w:rsid w:val="0095286C"/>
    <w:rsid w:val="00956B02"/>
    <w:rsid w:val="0096176B"/>
    <w:rsid w:val="00962AEE"/>
    <w:rsid w:val="00963814"/>
    <w:rsid w:val="00963B89"/>
    <w:rsid w:val="00966918"/>
    <w:rsid w:val="0096792E"/>
    <w:rsid w:val="0097351E"/>
    <w:rsid w:val="0097447C"/>
    <w:rsid w:val="00974996"/>
    <w:rsid w:val="00974C0C"/>
    <w:rsid w:val="00982426"/>
    <w:rsid w:val="009868F6"/>
    <w:rsid w:val="00987A2C"/>
    <w:rsid w:val="00997925"/>
    <w:rsid w:val="009A23E7"/>
    <w:rsid w:val="009A3CB7"/>
    <w:rsid w:val="009B0133"/>
    <w:rsid w:val="009B1395"/>
    <w:rsid w:val="009B1F18"/>
    <w:rsid w:val="009B4675"/>
    <w:rsid w:val="009B491A"/>
    <w:rsid w:val="009B5CDD"/>
    <w:rsid w:val="009B6CC7"/>
    <w:rsid w:val="009C2759"/>
    <w:rsid w:val="009C2E27"/>
    <w:rsid w:val="009C70C4"/>
    <w:rsid w:val="009D0F29"/>
    <w:rsid w:val="009D1F7B"/>
    <w:rsid w:val="009D4EBB"/>
    <w:rsid w:val="009D5A13"/>
    <w:rsid w:val="009D75D1"/>
    <w:rsid w:val="009D7C8E"/>
    <w:rsid w:val="009E3B21"/>
    <w:rsid w:val="00A00BE6"/>
    <w:rsid w:val="00A00CAA"/>
    <w:rsid w:val="00A053C5"/>
    <w:rsid w:val="00A10271"/>
    <w:rsid w:val="00A11832"/>
    <w:rsid w:val="00A22838"/>
    <w:rsid w:val="00A31445"/>
    <w:rsid w:val="00A3370A"/>
    <w:rsid w:val="00A36045"/>
    <w:rsid w:val="00A40950"/>
    <w:rsid w:val="00A43508"/>
    <w:rsid w:val="00A45F48"/>
    <w:rsid w:val="00A5197B"/>
    <w:rsid w:val="00A5259E"/>
    <w:rsid w:val="00A5266A"/>
    <w:rsid w:val="00A5437A"/>
    <w:rsid w:val="00A546C5"/>
    <w:rsid w:val="00A5553F"/>
    <w:rsid w:val="00A56324"/>
    <w:rsid w:val="00A56A13"/>
    <w:rsid w:val="00A603BB"/>
    <w:rsid w:val="00A636A4"/>
    <w:rsid w:val="00A647E2"/>
    <w:rsid w:val="00A6543F"/>
    <w:rsid w:val="00A65CF3"/>
    <w:rsid w:val="00A707C5"/>
    <w:rsid w:val="00A727B3"/>
    <w:rsid w:val="00A73474"/>
    <w:rsid w:val="00A75BFF"/>
    <w:rsid w:val="00A80B48"/>
    <w:rsid w:val="00A82676"/>
    <w:rsid w:val="00A8657E"/>
    <w:rsid w:val="00A913EB"/>
    <w:rsid w:val="00A92A3A"/>
    <w:rsid w:val="00A92F30"/>
    <w:rsid w:val="00A94428"/>
    <w:rsid w:val="00AA1763"/>
    <w:rsid w:val="00AA1AE6"/>
    <w:rsid w:val="00AB2862"/>
    <w:rsid w:val="00AB2B1C"/>
    <w:rsid w:val="00AB41FE"/>
    <w:rsid w:val="00AB68F7"/>
    <w:rsid w:val="00AC07AB"/>
    <w:rsid w:val="00AC3BFD"/>
    <w:rsid w:val="00AC7ECC"/>
    <w:rsid w:val="00AD2CE6"/>
    <w:rsid w:val="00AD33C1"/>
    <w:rsid w:val="00AD5D92"/>
    <w:rsid w:val="00AE0C65"/>
    <w:rsid w:val="00AE2DE8"/>
    <w:rsid w:val="00AE66E4"/>
    <w:rsid w:val="00AE7E50"/>
    <w:rsid w:val="00AF1AB0"/>
    <w:rsid w:val="00AF2A6C"/>
    <w:rsid w:val="00AF377E"/>
    <w:rsid w:val="00AF786D"/>
    <w:rsid w:val="00B03911"/>
    <w:rsid w:val="00B2521B"/>
    <w:rsid w:val="00B26016"/>
    <w:rsid w:val="00B30C32"/>
    <w:rsid w:val="00B32C36"/>
    <w:rsid w:val="00B36DFE"/>
    <w:rsid w:val="00B40716"/>
    <w:rsid w:val="00B42350"/>
    <w:rsid w:val="00B472AA"/>
    <w:rsid w:val="00B478BA"/>
    <w:rsid w:val="00B50172"/>
    <w:rsid w:val="00B5353B"/>
    <w:rsid w:val="00B55F6D"/>
    <w:rsid w:val="00B60BBF"/>
    <w:rsid w:val="00B622C1"/>
    <w:rsid w:val="00B63DED"/>
    <w:rsid w:val="00B6423A"/>
    <w:rsid w:val="00B64F51"/>
    <w:rsid w:val="00B653C4"/>
    <w:rsid w:val="00B72D05"/>
    <w:rsid w:val="00B73753"/>
    <w:rsid w:val="00B766B0"/>
    <w:rsid w:val="00B7725A"/>
    <w:rsid w:val="00B80AF7"/>
    <w:rsid w:val="00B80C0E"/>
    <w:rsid w:val="00B81C9A"/>
    <w:rsid w:val="00B82600"/>
    <w:rsid w:val="00B827D7"/>
    <w:rsid w:val="00B83159"/>
    <w:rsid w:val="00B8378B"/>
    <w:rsid w:val="00B86829"/>
    <w:rsid w:val="00B91CB2"/>
    <w:rsid w:val="00B92119"/>
    <w:rsid w:val="00B9417D"/>
    <w:rsid w:val="00B959CD"/>
    <w:rsid w:val="00B979E0"/>
    <w:rsid w:val="00BA2939"/>
    <w:rsid w:val="00BA4DA8"/>
    <w:rsid w:val="00BA54BE"/>
    <w:rsid w:val="00BA6E73"/>
    <w:rsid w:val="00BB114F"/>
    <w:rsid w:val="00BB11EC"/>
    <w:rsid w:val="00BB4736"/>
    <w:rsid w:val="00BB711F"/>
    <w:rsid w:val="00BC1AEA"/>
    <w:rsid w:val="00BC28BA"/>
    <w:rsid w:val="00BC5B6A"/>
    <w:rsid w:val="00BD557E"/>
    <w:rsid w:val="00BD735F"/>
    <w:rsid w:val="00BE3CC1"/>
    <w:rsid w:val="00BE431D"/>
    <w:rsid w:val="00BE6315"/>
    <w:rsid w:val="00BF08B2"/>
    <w:rsid w:val="00BF11A5"/>
    <w:rsid w:val="00BF3566"/>
    <w:rsid w:val="00BF5215"/>
    <w:rsid w:val="00BF7002"/>
    <w:rsid w:val="00BF7645"/>
    <w:rsid w:val="00BF768F"/>
    <w:rsid w:val="00C0041D"/>
    <w:rsid w:val="00C0086E"/>
    <w:rsid w:val="00C024F4"/>
    <w:rsid w:val="00C02FF5"/>
    <w:rsid w:val="00C0463F"/>
    <w:rsid w:val="00C10E39"/>
    <w:rsid w:val="00C121E7"/>
    <w:rsid w:val="00C134DE"/>
    <w:rsid w:val="00C166E0"/>
    <w:rsid w:val="00C212D1"/>
    <w:rsid w:val="00C26C6A"/>
    <w:rsid w:val="00C30470"/>
    <w:rsid w:val="00C337AF"/>
    <w:rsid w:val="00C41B3C"/>
    <w:rsid w:val="00C42732"/>
    <w:rsid w:val="00C44D3A"/>
    <w:rsid w:val="00C45FF6"/>
    <w:rsid w:val="00C471BA"/>
    <w:rsid w:val="00C47CFD"/>
    <w:rsid w:val="00C55082"/>
    <w:rsid w:val="00C55892"/>
    <w:rsid w:val="00C57CEE"/>
    <w:rsid w:val="00C60756"/>
    <w:rsid w:val="00C60834"/>
    <w:rsid w:val="00C60E74"/>
    <w:rsid w:val="00C62F34"/>
    <w:rsid w:val="00C63BDA"/>
    <w:rsid w:val="00C64190"/>
    <w:rsid w:val="00C66109"/>
    <w:rsid w:val="00C671DD"/>
    <w:rsid w:val="00C67A6E"/>
    <w:rsid w:val="00C67D4A"/>
    <w:rsid w:val="00C71589"/>
    <w:rsid w:val="00C71EAD"/>
    <w:rsid w:val="00C7262B"/>
    <w:rsid w:val="00C73E55"/>
    <w:rsid w:val="00C7433A"/>
    <w:rsid w:val="00C80C86"/>
    <w:rsid w:val="00C83453"/>
    <w:rsid w:val="00C86F89"/>
    <w:rsid w:val="00C875F7"/>
    <w:rsid w:val="00C90E09"/>
    <w:rsid w:val="00C91F86"/>
    <w:rsid w:val="00C9289F"/>
    <w:rsid w:val="00C944E2"/>
    <w:rsid w:val="00C978C0"/>
    <w:rsid w:val="00CA0E81"/>
    <w:rsid w:val="00CA3401"/>
    <w:rsid w:val="00CA5178"/>
    <w:rsid w:val="00CB0414"/>
    <w:rsid w:val="00CB56F0"/>
    <w:rsid w:val="00CB6AD2"/>
    <w:rsid w:val="00CC3012"/>
    <w:rsid w:val="00CC39BD"/>
    <w:rsid w:val="00CC7133"/>
    <w:rsid w:val="00CE0201"/>
    <w:rsid w:val="00CE700D"/>
    <w:rsid w:val="00CF1BCA"/>
    <w:rsid w:val="00CF2A02"/>
    <w:rsid w:val="00CF4969"/>
    <w:rsid w:val="00CF4BA0"/>
    <w:rsid w:val="00CF7901"/>
    <w:rsid w:val="00D01439"/>
    <w:rsid w:val="00D02E11"/>
    <w:rsid w:val="00D03758"/>
    <w:rsid w:val="00D0442E"/>
    <w:rsid w:val="00D1741E"/>
    <w:rsid w:val="00D17A63"/>
    <w:rsid w:val="00D20F19"/>
    <w:rsid w:val="00D236B8"/>
    <w:rsid w:val="00D271F8"/>
    <w:rsid w:val="00D311F8"/>
    <w:rsid w:val="00D3260D"/>
    <w:rsid w:val="00D35967"/>
    <w:rsid w:val="00D40504"/>
    <w:rsid w:val="00D40674"/>
    <w:rsid w:val="00D43506"/>
    <w:rsid w:val="00D450DE"/>
    <w:rsid w:val="00D45938"/>
    <w:rsid w:val="00D45DB6"/>
    <w:rsid w:val="00D45F81"/>
    <w:rsid w:val="00D47706"/>
    <w:rsid w:val="00D50C58"/>
    <w:rsid w:val="00D50FB0"/>
    <w:rsid w:val="00D552CB"/>
    <w:rsid w:val="00D56D94"/>
    <w:rsid w:val="00D5755A"/>
    <w:rsid w:val="00D6202D"/>
    <w:rsid w:val="00D70E9E"/>
    <w:rsid w:val="00D82EA0"/>
    <w:rsid w:val="00D8347D"/>
    <w:rsid w:val="00D90A38"/>
    <w:rsid w:val="00D954CD"/>
    <w:rsid w:val="00DA2687"/>
    <w:rsid w:val="00DA46AC"/>
    <w:rsid w:val="00DA664F"/>
    <w:rsid w:val="00DB0610"/>
    <w:rsid w:val="00DB07F8"/>
    <w:rsid w:val="00DB0861"/>
    <w:rsid w:val="00DB112C"/>
    <w:rsid w:val="00DB1B59"/>
    <w:rsid w:val="00DB2942"/>
    <w:rsid w:val="00DB3F8A"/>
    <w:rsid w:val="00DB5494"/>
    <w:rsid w:val="00DB71F8"/>
    <w:rsid w:val="00DC09ED"/>
    <w:rsid w:val="00DC0C1B"/>
    <w:rsid w:val="00DC1A6E"/>
    <w:rsid w:val="00DC7B66"/>
    <w:rsid w:val="00DD1B84"/>
    <w:rsid w:val="00DD27FD"/>
    <w:rsid w:val="00DD6921"/>
    <w:rsid w:val="00DE1544"/>
    <w:rsid w:val="00DE1F3D"/>
    <w:rsid w:val="00DE3112"/>
    <w:rsid w:val="00DE76CE"/>
    <w:rsid w:val="00DF05AA"/>
    <w:rsid w:val="00DF177E"/>
    <w:rsid w:val="00DF37D2"/>
    <w:rsid w:val="00DF4244"/>
    <w:rsid w:val="00DF497E"/>
    <w:rsid w:val="00DF7BEE"/>
    <w:rsid w:val="00E00C4E"/>
    <w:rsid w:val="00E016A6"/>
    <w:rsid w:val="00E022E1"/>
    <w:rsid w:val="00E03231"/>
    <w:rsid w:val="00E03285"/>
    <w:rsid w:val="00E04B01"/>
    <w:rsid w:val="00E0752E"/>
    <w:rsid w:val="00E1132B"/>
    <w:rsid w:val="00E1346E"/>
    <w:rsid w:val="00E1471C"/>
    <w:rsid w:val="00E17287"/>
    <w:rsid w:val="00E250EE"/>
    <w:rsid w:val="00E30AD0"/>
    <w:rsid w:val="00E33A78"/>
    <w:rsid w:val="00E35608"/>
    <w:rsid w:val="00E37E65"/>
    <w:rsid w:val="00E42A65"/>
    <w:rsid w:val="00E434B9"/>
    <w:rsid w:val="00E43960"/>
    <w:rsid w:val="00E464FA"/>
    <w:rsid w:val="00E46A4D"/>
    <w:rsid w:val="00E47DC2"/>
    <w:rsid w:val="00E5311B"/>
    <w:rsid w:val="00E54115"/>
    <w:rsid w:val="00E5437B"/>
    <w:rsid w:val="00E5635F"/>
    <w:rsid w:val="00E56DB2"/>
    <w:rsid w:val="00E600E9"/>
    <w:rsid w:val="00E614CD"/>
    <w:rsid w:val="00E61C3A"/>
    <w:rsid w:val="00E637DF"/>
    <w:rsid w:val="00E6633C"/>
    <w:rsid w:val="00E66EA2"/>
    <w:rsid w:val="00E70688"/>
    <w:rsid w:val="00E71640"/>
    <w:rsid w:val="00E7378A"/>
    <w:rsid w:val="00E752BE"/>
    <w:rsid w:val="00E764AF"/>
    <w:rsid w:val="00E77676"/>
    <w:rsid w:val="00E82CE6"/>
    <w:rsid w:val="00E83FE8"/>
    <w:rsid w:val="00E844C7"/>
    <w:rsid w:val="00E845A7"/>
    <w:rsid w:val="00E86907"/>
    <w:rsid w:val="00E87BBF"/>
    <w:rsid w:val="00E93CD4"/>
    <w:rsid w:val="00E93E92"/>
    <w:rsid w:val="00E95544"/>
    <w:rsid w:val="00EA06CF"/>
    <w:rsid w:val="00EA3179"/>
    <w:rsid w:val="00EA5D6B"/>
    <w:rsid w:val="00EA5F91"/>
    <w:rsid w:val="00EA7D0A"/>
    <w:rsid w:val="00EB0F1E"/>
    <w:rsid w:val="00EB34FC"/>
    <w:rsid w:val="00EB588C"/>
    <w:rsid w:val="00EC0FA1"/>
    <w:rsid w:val="00EC5111"/>
    <w:rsid w:val="00EC629B"/>
    <w:rsid w:val="00EC68EA"/>
    <w:rsid w:val="00EC7344"/>
    <w:rsid w:val="00ED1125"/>
    <w:rsid w:val="00ED267D"/>
    <w:rsid w:val="00ED3250"/>
    <w:rsid w:val="00ED3A81"/>
    <w:rsid w:val="00ED4125"/>
    <w:rsid w:val="00ED6483"/>
    <w:rsid w:val="00EE22B4"/>
    <w:rsid w:val="00EE3234"/>
    <w:rsid w:val="00EE38A3"/>
    <w:rsid w:val="00EE5C76"/>
    <w:rsid w:val="00EE6EA3"/>
    <w:rsid w:val="00EF0B64"/>
    <w:rsid w:val="00EF0C52"/>
    <w:rsid w:val="00EF2F06"/>
    <w:rsid w:val="00EF337B"/>
    <w:rsid w:val="00EF6995"/>
    <w:rsid w:val="00F06D3A"/>
    <w:rsid w:val="00F06E7B"/>
    <w:rsid w:val="00F074B2"/>
    <w:rsid w:val="00F109B3"/>
    <w:rsid w:val="00F13776"/>
    <w:rsid w:val="00F15E59"/>
    <w:rsid w:val="00F25AC8"/>
    <w:rsid w:val="00F276BF"/>
    <w:rsid w:val="00F31EA8"/>
    <w:rsid w:val="00F322A2"/>
    <w:rsid w:val="00F36ADE"/>
    <w:rsid w:val="00F400E9"/>
    <w:rsid w:val="00F406AE"/>
    <w:rsid w:val="00F42594"/>
    <w:rsid w:val="00F448E8"/>
    <w:rsid w:val="00F44BA0"/>
    <w:rsid w:val="00F45E8D"/>
    <w:rsid w:val="00F47A67"/>
    <w:rsid w:val="00F5494E"/>
    <w:rsid w:val="00F56133"/>
    <w:rsid w:val="00F57605"/>
    <w:rsid w:val="00F60D1F"/>
    <w:rsid w:val="00F61622"/>
    <w:rsid w:val="00F6355B"/>
    <w:rsid w:val="00F658CB"/>
    <w:rsid w:val="00F67D49"/>
    <w:rsid w:val="00F72F2E"/>
    <w:rsid w:val="00F73180"/>
    <w:rsid w:val="00F73CA2"/>
    <w:rsid w:val="00F74D3B"/>
    <w:rsid w:val="00F7533B"/>
    <w:rsid w:val="00F753E9"/>
    <w:rsid w:val="00F77228"/>
    <w:rsid w:val="00F8189E"/>
    <w:rsid w:val="00F81A70"/>
    <w:rsid w:val="00F83B92"/>
    <w:rsid w:val="00F851B1"/>
    <w:rsid w:val="00F9061F"/>
    <w:rsid w:val="00F93F38"/>
    <w:rsid w:val="00F959AC"/>
    <w:rsid w:val="00F97665"/>
    <w:rsid w:val="00F97F93"/>
    <w:rsid w:val="00FA07C5"/>
    <w:rsid w:val="00FA3CC4"/>
    <w:rsid w:val="00FA4D0A"/>
    <w:rsid w:val="00FB096D"/>
    <w:rsid w:val="00FB190D"/>
    <w:rsid w:val="00FB21B3"/>
    <w:rsid w:val="00FB50A8"/>
    <w:rsid w:val="00FC0F7E"/>
    <w:rsid w:val="00FC56F0"/>
    <w:rsid w:val="00FD41CD"/>
    <w:rsid w:val="00FD6AA9"/>
    <w:rsid w:val="00FE0374"/>
    <w:rsid w:val="00FE4576"/>
    <w:rsid w:val="00FE6DBF"/>
    <w:rsid w:val="00FF15EB"/>
    <w:rsid w:val="00FF17F0"/>
    <w:rsid w:val="00FF1C7C"/>
    <w:rsid w:val="00FF56AB"/>
    <w:rsid w:val="00FF6DFF"/>
    <w:rsid w:val="00FF7A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26D397-0415-4AC2-BFEC-861159753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092"/>
    <w:pPr>
      <w:spacing w:after="0"/>
    </w:pPr>
    <w:rPr>
      <w:rFonts w:ascii="Times New Roman" w:eastAsia="Calibri" w:hAnsi="Times New Roman" w:cs="Times New Roman"/>
      <w:sz w:val="24"/>
      <w:szCs w:val="24"/>
    </w:rPr>
  </w:style>
  <w:style w:type="paragraph" w:styleId="Heading1">
    <w:name w:val="heading 1"/>
    <w:basedOn w:val="Normal"/>
    <w:link w:val="Heading1Char"/>
    <w:uiPriority w:val="9"/>
    <w:qFormat/>
    <w:rsid w:val="00C91F86"/>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next w:val="Normal"/>
    <w:link w:val="Heading2Char"/>
    <w:uiPriority w:val="9"/>
    <w:semiHidden/>
    <w:unhideWhenUsed/>
    <w:qFormat/>
    <w:rsid w:val="00DB061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1A2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ED1125"/>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A00BE6"/>
    <w:rPr>
      <w:b/>
      <w:bCs/>
    </w:rPr>
  </w:style>
  <w:style w:type="paragraph" w:styleId="ListParagraph">
    <w:name w:val="List Paragraph"/>
    <w:basedOn w:val="Normal"/>
    <w:uiPriority w:val="34"/>
    <w:qFormat/>
    <w:rsid w:val="001940D0"/>
    <w:pPr>
      <w:ind w:left="720"/>
      <w:contextualSpacing/>
    </w:pPr>
  </w:style>
  <w:style w:type="character" w:styleId="Hyperlink">
    <w:name w:val="Hyperlink"/>
    <w:basedOn w:val="DefaultParagraphFont"/>
    <w:uiPriority w:val="99"/>
    <w:unhideWhenUsed/>
    <w:rsid w:val="00C91F86"/>
    <w:rPr>
      <w:color w:val="0000FF"/>
      <w:u w:val="single"/>
    </w:rPr>
  </w:style>
  <w:style w:type="character" w:customStyle="1" w:styleId="Heading1Char">
    <w:name w:val="Heading 1 Char"/>
    <w:basedOn w:val="DefaultParagraphFont"/>
    <w:link w:val="Heading1"/>
    <w:uiPriority w:val="9"/>
    <w:rsid w:val="00C91F86"/>
    <w:rPr>
      <w:rFonts w:ascii="Times New Roman" w:eastAsia="Times New Roman" w:hAnsi="Times New Roman" w:cs="Times New Roman"/>
      <w:b/>
      <w:bCs/>
      <w:kern w:val="36"/>
      <w:sz w:val="48"/>
      <w:szCs w:val="48"/>
    </w:rPr>
  </w:style>
  <w:style w:type="character" w:customStyle="1" w:styleId="field">
    <w:name w:val="field"/>
    <w:basedOn w:val="DefaultParagraphFont"/>
    <w:rsid w:val="00C91F86"/>
  </w:style>
  <w:style w:type="character" w:customStyle="1" w:styleId="citation-url">
    <w:name w:val="citation-url"/>
    <w:basedOn w:val="DefaultParagraphFont"/>
    <w:rsid w:val="007A2CD1"/>
  </w:style>
  <w:style w:type="character" w:customStyle="1" w:styleId="A3">
    <w:name w:val="A3"/>
    <w:uiPriority w:val="99"/>
    <w:rsid w:val="00641B40"/>
    <w:rPr>
      <w:rFonts w:cs="Adobe Caslon Pro"/>
      <w:color w:val="000000"/>
      <w:sz w:val="20"/>
      <w:szCs w:val="20"/>
    </w:rPr>
  </w:style>
  <w:style w:type="character" w:customStyle="1" w:styleId="Heading2Char">
    <w:name w:val="Heading 2 Char"/>
    <w:basedOn w:val="DefaultParagraphFont"/>
    <w:link w:val="Heading2"/>
    <w:uiPriority w:val="9"/>
    <w:semiHidden/>
    <w:rsid w:val="00DB0610"/>
    <w:rPr>
      <w:rFonts w:asciiTheme="majorHAnsi" w:eastAsiaTheme="majorEastAsia" w:hAnsiTheme="majorHAnsi" w:cstheme="majorBidi"/>
      <w:color w:val="365F91" w:themeColor="accent1" w:themeShade="BF"/>
      <w:sz w:val="26"/>
      <w:szCs w:val="26"/>
    </w:rPr>
  </w:style>
  <w:style w:type="paragraph" w:customStyle="1" w:styleId="Pa10">
    <w:name w:val="Pa10"/>
    <w:basedOn w:val="Default"/>
    <w:next w:val="Default"/>
    <w:uiPriority w:val="99"/>
    <w:rsid w:val="0064322E"/>
    <w:pPr>
      <w:spacing w:line="241" w:lineRule="atLeast"/>
    </w:pPr>
    <w:rPr>
      <w:rFonts w:ascii="Cambria" w:hAnsi="Cambria" w:cstheme="minorBidi"/>
      <w:color w:val="auto"/>
    </w:rPr>
  </w:style>
  <w:style w:type="character" w:customStyle="1" w:styleId="A10">
    <w:name w:val="A10"/>
    <w:uiPriority w:val="99"/>
    <w:rsid w:val="0064322E"/>
    <w:rPr>
      <w:rFonts w:cs="Cambria"/>
      <w:color w:val="000000"/>
    </w:rPr>
  </w:style>
  <w:style w:type="paragraph" w:styleId="Header">
    <w:name w:val="header"/>
    <w:basedOn w:val="Normal"/>
    <w:link w:val="HeaderChar"/>
    <w:uiPriority w:val="99"/>
    <w:unhideWhenUsed/>
    <w:rsid w:val="000B0914"/>
    <w:pPr>
      <w:tabs>
        <w:tab w:val="center" w:pos="4680"/>
        <w:tab w:val="right" w:pos="9360"/>
      </w:tabs>
      <w:spacing w:line="240" w:lineRule="auto"/>
    </w:pPr>
  </w:style>
  <w:style w:type="character" w:customStyle="1" w:styleId="HeaderChar">
    <w:name w:val="Header Char"/>
    <w:basedOn w:val="DefaultParagraphFont"/>
    <w:link w:val="Header"/>
    <w:uiPriority w:val="99"/>
    <w:rsid w:val="000B0914"/>
    <w:rPr>
      <w:rFonts w:ascii="Times New Roman" w:eastAsia="Calibri" w:hAnsi="Times New Roman" w:cs="Times New Roman"/>
      <w:sz w:val="24"/>
      <w:szCs w:val="24"/>
    </w:rPr>
  </w:style>
  <w:style w:type="paragraph" w:styleId="Footer">
    <w:name w:val="footer"/>
    <w:basedOn w:val="Normal"/>
    <w:link w:val="FooterChar"/>
    <w:uiPriority w:val="99"/>
    <w:unhideWhenUsed/>
    <w:rsid w:val="000B0914"/>
    <w:pPr>
      <w:tabs>
        <w:tab w:val="center" w:pos="4680"/>
        <w:tab w:val="right" w:pos="9360"/>
      </w:tabs>
      <w:spacing w:line="240" w:lineRule="auto"/>
    </w:pPr>
  </w:style>
  <w:style w:type="character" w:customStyle="1" w:styleId="FooterChar">
    <w:name w:val="Footer Char"/>
    <w:basedOn w:val="DefaultParagraphFont"/>
    <w:link w:val="Footer"/>
    <w:uiPriority w:val="99"/>
    <w:rsid w:val="000B0914"/>
    <w:rPr>
      <w:rFonts w:ascii="Times New Roman" w:eastAsia="Calibri" w:hAnsi="Times New Roman" w:cs="Times New Roman"/>
      <w:sz w:val="24"/>
      <w:szCs w:val="24"/>
    </w:rPr>
  </w:style>
  <w:style w:type="character" w:styleId="HTMLCite">
    <w:name w:val="HTML Cite"/>
    <w:basedOn w:val="DefaultParagraphFont"/>
    <w:uiPriority w:val="99"/>
    <w:semiHidden/>
    <w:unhideWhenUsed/>
    <w:rsid w:val="00444227"/>
    <w:rPr>
      <w:i/>
      <w:iCs/>
    </w:rPr>
  </w:style>
  <w:style w:type="character" w:styleId="CommentReference">
    <w:name w:val="annotation reference"/>
    <w:basedOn w:val="DefaultParagraphFont"/>
    <w:semiHidden/>
    <w:rsid w:val="00ED3250"/>
    <w:rPr>
      <w:sz w:val="16"/>
      <w:szCs w:val="16"/>
    </w:rPr>
  </w:style>
  <w:style w:type="paragraph" w:styleId="CommentText">
    <w:name w:val="annotation text"/>
    <w:basedOn w:val="Normal"/>
    <w:link w:val="CommentTextChar"/>
    <w:semiHidden/>
    <w:rsid w:val="00ED3250"/>
    <w:pPr>
      <w:spacing w:line="240" w:lineRule="auto"/>
    </w:pPr>
    <w:rPr>
      <w:rFonts w:eastAsia="Times New Roman"/>
      <w:sz w:val="20"/>
      <w:szCs w:val="20"/>
      <w:lang w:val="en-GB"/>
    </w:rPr>
  </w:style>
  <w:style w:type="character" w:customStyle="1" w:styleId="CommentTextChar">
    <w:name w:val="Comment Text Char"/>
    <w:basedOn w:val="DefaultParagraphFont"/>
    <w:link w:val="CommentText"/>
    <w:semiHidden/>
    <w:rsid w:val="00ED3250"/>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43441">
      <w:bodyDiv w:val="1"/>
      <w:marLeft w:val="0"/>
      <w:marRight w:val="0"/>
      <w:marTop w:val="0"/>
      <w:marBottom w:val="0"/>
      <w:divBdr>
        <w:top w:val="none" w:sz="0" w:space="0" w:color="auto"/>
        <w:left w:val="none" w:sz="0" w:space="0" w:color="auto"/>
        <w:bottom w:val="none" w:sz="0" w:space="0" w:color="auto"/>
        <w:right w:val="none" w:sz="0" w:space="0" w:color="auto"/>
      </w:divBdr>
    </w:div>
    <w:div w:id="82924509">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0859885">
      <w:bodyDiv w:val="1"/>
      <w:marLeft w:val="0"/>
      <w:marRight w:val="0"/>
      <w:marTop w:val="0"/>
      <w:marBottom w:val="0"/>
      <w:divBdr>
        <w:top w:val="none" w:sz="0" w:space="0" w:color="auto"/>
        <w:left w:val="none" w:sz="0" w:space="0" w:color="auto"/>
        <w:bottom w:val="none" w:sz="0" w:space="0" w:color="auto"/>
        <w:right w:val="none" w:sz="0" w:space="0" w:color="auto"/>
      </w:divBdr>
    </w:div>
    <w:div w:id="166605521">
      <w:bodyDiv w:val="1"/>
      <w:marLeft w:val="0"/>
      <w:marRight w:val="0"/>
      <w:marTop w:val="0"/>
      <w:marBottom w:val="0"/>
      <w:divBdr>
        <w:top w:val="none" w:sz="0" w:space="0" w:color="auto"/>
        <w:left w:val="none" w:sz="0" w:space="0" w:color="auto"/>
        <w:bottom w:val="none" w:sz="0" w:space="0" w:color="auto"/>
        <w:right w:val="none" w:sz="0" w:space="0" w:color="auto"/>
      </w:divBdr>
    </w:div>
    <w:div w:id="294144468">
      <w:bodyDiv w:val="1"/>
      <w:marLeft w:val="0"/>
      <w:marRight w:val="0"/>
      <w:marTop w:val="0"/>
      <w:marBottom w:val="0"/>
      <w:divBdr>
        <w:top w:val="none" w:sz="0" w:space="0" w:color="auto"/>
        <w:left w:val="none" w:sz="0" w:space="0" w:color="auto"/>
        <w:bottom w:val="none" w:sz="0" w:space="0" w:color="auto"/>
        <w:right w:val="none" w:sz="0" w:space="0" w:color="auto"/>
      </w:divBdr>
    </w:div>
    <w:div w:id="294944073">
      <w:bodyDiv w:val="1"/>
      <w:marLeft w:val="0"/>
      <w:marRight w:val="0"/>
      <w:marTop w:val="0"/>
      <w:marBottom w:val="0"/>
      <w:divBdr>
        <w:top w:val="none" w:sz="0" w:space="0" w:color="auto"/>
        <w:left w:val="none" w:sz="0" w:space="0" w:color="auto"/>
        <w:bottom w:val="none" w:sz="0" w:space="0" w:color="auto"/>
        <w:right w:val="none" w:sz="0" w:space="0" w:color="auto"/>
      </w:divBdr>
    </w:div>
    <w:div w:id="299924620">
      <w:bodyDiv w:val="1"/>
      <w:marLeft w:val="0"/>
      <w:marRight w:val="0"/>
      <w:marTop w:val="0"/>
      <w:marBottom w:val="0"/>
      <w:divBdr>
        <w:top w:val="none" w:sz="0" w:space="0" w:color="auto"/>
        <w:left w:val="none" w:sz="0" w:space="0" w:color="auto"/>
        <w:bottom w:val="none" w:sz="0" w:space="0" w:color="auto"/>
        <w:right w:val="none" w:sz="0" w:space="0" w:color="auto"/>
      </w:divBdr>
    </w:div>
    <w:div w:id="325675350">
      <w:bodyDiv w:val="1"/>
      <w:marLeft w:val="0"/>
      <w:marRight w:val="0"/>
      <w:marTop w:val="0"/>
      <w:marBottom w:val="0"/>
      <w:divBdr>
        <w:top w:val="none" w:sz="0" w:space="0" w:color="auto"/>
        <w:left w:val="none" w:sz="0" w:space="0" w:color="auto"/>
        <w:bottom w:val="none" w:sz="0" w:space="0" w:color="auto"/>
        <w:right w:val="none" w:sz="0" w:space="0" w:color="auto"/>
      </w:divBdr>
    </w:div>
    <w:div w:id="409810606">
      <w:bodyDiv w:val="1"/>
      <w:marLeft w:val="0"/>
      <w:marRight w:val="0"/>
      <w:marTop w:val="0"/>
      <w:marBottom w:val="0"/>
      <w:divBdr>
        <w:top w:val="none" w:sz="0" w:space="0" w:color="auto"/>
        <w:left w:val="none" w:sz="0" w:space="0" w:color="auto"/>
        <w:bottom w:val="none" w:sz="0" w:space="0" w:color="auto"/>
        <w:right w:val="none" w:sz="0" w:space="0" w:color="auto"/>
      </w:divBdr>
    </w:div>
    <w:div w:id="443765076">
      <w:bodyDiv w:val="1"/>
      <w:marLeft w:val="0"/>
      <w:marRight w:val="0"/>
      <w:marTop w:val="0"/>
      <w:marBottom w:val="0"/>
      <w:divBdr>
        <w:top w:val="none" w:sz="0" w:space="0" w:color="auto"/>
        <w:left w:val="none" w:sz="0" w:space="0" w:color="auto"/>
        <w:bottom w:val="none" w:sz="0" w:space="0" w:color="auto"/>
        <w:right w:val="none" w:sz="0" w:space="0" w:color="auto"/>
      </w:divBdr>
    </w:div>
    <w:div w:id="465126950">
      <w:bodyDiv w:val="1"/>
      <w:marLeft w:val="0"/>
      <w:marRight w:val="0"/>
      <w:marTop w:val="0"/>
      <w:marBottom w:val="0"/>
      <w:divBdr>
        <w:top w:val="none" w:sz="0" w:space="0" w:color="auto"/>
        <w:left w:val="none" w:sz="0" w:space="0" w:color="auto"/>
        <w:bottom w:val="none" w:sz="0" w:space="0" w:color="auto"/>
        <w:right w:val="none" w:sz="0" w:space="0" w:color="auto"/>
      </w:divBdr>
      <w:divsChild>
        <w:div w:id="516622814">
          <w:marLeft w:val="5760"/>
          <w:marRight w:val="0"/>
          <w:marTop w:val="0"/>
          <w:marBottom w:val="0"/>
          <w:divBdr>
            <w:top w:val="none" w:sz="0" w:space="0" w:color="auto"/>
            <w:left w:val="none" w:sz="0" w:space="0" w:color="auto"/>
            <w:bottom w:val="none" w:sz="0" w:space="0" w:color="auto"/>
            <w:right w:val="none" w:sz="0" w:space="0" w:color="auto"/>
          </w:divBdr>
        </w:div>
      </w:divsChild>
    </w:div>
    <w:div w:id="604076364">
      <w:bodyDiv w:val="1"/>
      <w:marLeft w:val="0"/>
      <w:marRight w:val="0"/>
      <w:marTop w:val="0"/>
      <w:marBottom w:val="0"/>
      <w:divBdr>
        <w:top w:val="none" w:sz="0" w:space="0" w:color="auto"/>
        <w:left w:val="none" w:sz="0" w:space="0" w:color="auto"/>
        <w:bottom w:val="none" w:sz="0" w:space="0" w:color="auto"/>
        <w:right w:val="none" w:sz="0" w:space="0" w:color="auto"/>
      </w:divBdr>
    </w:div>
    <w:div w:id="707994901">
      <w:bodyDiv w:val="1"/>
      <w:marLeft w:val="0"/>
      <w:marRight w:val="0"/>
      <w:marTop w:val="0"/>
      <w:marBottom w:val="0"/>
      <w:divBdr>
        <w:top w:val="none" w:sz="0" w:space="0" w:color="auto"/>
        <w:left w:val="none" w:sz="0" w:space="0" w:color="auto"/>
        <w:bottom w:val="none" w:sz="0" w:space="0" w:color="auto"/>
        <w:right w:val="none" w:sz="0" w:space="0" w:color="auto"/>
      </w:divBdr>
    </w:div>
    <w:div w:id="833181577">
      <w:bodyDiv w:val="1"/>
      <w:marLeft w:val="0"/>
      <w:marRight w:val="0"/>
      <w:marTop w:val="0"/>
      <w:marBottom w:val="0"/>
      <w:divBdr>
        <w:top w:val="none" w:sz="0" w:space="0" w:color="auto"/>
        <w:left w:val="none" w:sz="0" w:space="0" w:color="auto"/>
        <w:bottom w:val="none" w:sz="0" w:space="0" w:color="auto"/>
        <w:right w:val="none" w:sz="0" w:space="0" w:color="auto"/>
      </w:divBdr>
    </w:div>
    <w:div w:id="836771664">
      <w:bodyDiv w:val="1"/>
      <w:marLeft w:val="0"/>
      <w:marRight w:val="0"/>
      <w:marTop w:val="0"/>
      <w:marBottom w:val="0"/>
      <w:divBdr>
        <w:top w:val="none" w:sz="0" w:space="0" w:color="auto"/>
        <w:left w:val="none" w:sz="0" w:space="0" w:color="auto"/>
        <w:bottom w:val="none" w:sz="0" w:space="0" w:color="auto"/>
        <w:right w:val="none" w:sz="0" w:space="0" w:color="auto"/>
      </w:divBdr>
    </w:div>
    <w:div w:id="865828634">
      <w:bodyDiv w:val="1"/>
      <w:marLeft w:val="0"/>
      <w:marRight w:val="0"/>
      <w:marTop w:val="0"/>
      <w:marBottom w:val="0"/>
      <w:divBdr>
        <w:top w:val="none" w:sz="0" w:space="0" w:color="auto"/>
        <w:left w:val="none" w:sz="0" w:space="0" w:color="auto"/>
        <w:bottom w:val="none" w:sz="0" w:space="0" w:color="auto"/>
        <w:right w:val="none" w:sz="0" w:space="0" w:color="auto"/>
      </w:divBdr>
      <w:divsChild>
        <w:div w:id="1612782702">
          <w:marLeft w:val="446"/>
          <w:marRight w:val="0"/>
          <w:marTop w:val="0"/>
          <w:marBottom w:val="0"/>
          <w:divBdr>
            <w:top w:val="none" w:sz="0" w:space="0" w:color="auto"/>
            <w:left w:val="none" w:sz="0" w:space="0" w:color="auto"/>
            <w:bottom w:val="none" w:sz="0" w:space="0" w:color="auto"/>
            <w:right w:val="none" w:sz="0" w:space="0" w:color="auto"/>
          </w:divBdr>
        </w:div>
      </w:divsChild>
    </w:div>
    <w:div w:id="890003027">
      <w:bodyDiv w:val="1"/>
      <w:marLeft w:val="0"/>
      <w:marRight w:val="0"/>
      <w:marTop w:val="0"/>
      <w:marBottom w:val="0"/>
      <w:divBdr>
        <w:top w:val="none" w:sz="0" w:space="0" w:color="auto"/>
        <w:left w:val="none" w:sz="0" w:space="0" w:color="auto"/>
        <w:bottom w:val="none" w:sz="0" w:space="0" w:color="auto"/>
        <w:right w:val="none" w:sz="0" w:space="0" w:color="auto"/>
      </w:divBdr>
    </w:div>
    <w:div w:id="908273127">
      <w:bodyDiv w:val="1"/>
      <w:marLeft w:val="0"/>
      <w:marRight w:val="0"/>
      <w:marTop w:val="0"/>
      <w:marBottom w:val="0"/>
      <w:divBdr>
        <w:top w:val="none" w:sz="0" w:space="0" w:color="auto"/>
        <w:left w:val="none" w:sz="0" w:space="0" w:color="auto"/>
        <w:bottom w:val="none" w:sz="0" w:space="0" w:color="auto"/>
        <w:right w:val="none" w:sz="0" w:space="0" w:color="auto"/>
      </w:divBdr>
    </w:div>
    <w:div w:id="1023483404">
      <w:bodyDiv w:val="1"/>
      <w:marLeft w:val="0"/>
      <w:marRight w:val="0"/>
      <w:marTop w:val="0"/>
      <w:marBottom w:val="0"/>
      <w:divBdr>
        <w:top w:val="none" w:sz="0" w:space="0" w:color="auto"/>
        <w:left w:val="none" w:sz="0" w:space="0" w:color="auto"/>
        <w:bottom w:val="none" w:sz="0" w:space="0" w:color="auto"/>
        <w:right w:val="none" w:sz="0" w:space="0" w:color="auto"/>
      </w:divBdr>
    </w:div>
    <w:div w:id="1077899918">
      <w:bodyDiv w:val="1"/>
      <w:marLeft w:val="0"/>
      <w:marRight w:val="0"/>
      <w:marTop w:val="0"/>
      <w:marBottom w:val="0"/>
      <w:divBdr>
        <w:top w:val="none" w:sz="0" w:space="0" w:color="auto"/>
        <w:left w:val="none" w:sz="0" w:space="0" w:color="auto"/>
        <w:bottom w:val="none" w:sz="0" w:space="0" w:color="auto"/>
        <w:right w:val="none" w:sz="0" w:space="0" w:color="auto"/>
      </w:divBdr>
    </w:div>
    <w:div w:id="1087117397">
      <w:bodyDiv w:val="1"/>
      <w:marLeft w:val="0"/>
      <w:marRight w:val="0"/>
      <w:marTop w:val="0"/>
      <w:marBottom w:val="0"/>
      <w:divBdr>
        <w:top w:val="none" w:sz="0" w:space="0" w:color="auto"/>
        <w:left w:val="none" w:sz="0" w:space="0" w:color="auto"/>
        <w:bottom w:val="none" w:sz="0" w:space="0" w:color="auto"/>
        <w:right w:val="none" w:sz="0" w:space="0" w:color="auto"/>
      </w:divBdr>
    </w:div>
    <w:div w:id="1203981604">
      <w:bodyDiv w:val="1"/>
      <w:marLeft w:val="0"/>
      <w:marRight w:val="0"/>
      <w:marTop w:val="0"/>
      <w:marBottom w:val="0"/>
      <w:divBdr>
        <w:top w:val="none" w:sz="0" w:space="0" w:color="auto"/>
        <w:left w:val="none" w:sz="0" w:space="0" w:color="auto"/>
        <w:bottom w:val="none" w:sz="0" w:space="0" w:color="auto"/>
        <w:right w:val="none" w:sz="0" w:space="0" w:color="auto"/>
      </w:divBdr>
    </w:div>
    <w:div w:id="1219904707">
      <w:bodyDiv w:val="1"/>
      <w:marLeft w:val="0"/>
      <w:marRight w:val="0"/>
      <w:marTop w:val="0"/>
      <w:marBottom w:val="0"/>
      <w:divBdr>
        <w:top w:val="none" w:sz="0" w:space="0" w:color="auto"/>
        <w:left w:val="none" w:sz="0" w:space="0" w:color="auto"/>
        <w:bottom w:val="none" w:sz="0" w:space="0" w:color="auto"/>
        <w:right w:val="none" w:sz="0" w:space="0" w:color="auto"/>
      </w:divBdr>
    </w:div>
    <w:div w:id="1234239695">
      <w:bodyDiv w:val="1"/>
      <w:marLeft w:val="0"/>
      <w:marRight w:val="0"/>
      <w:marTop w:val="0"/>
      <w:marBottom w:val="0"/>
      <w:divBdr>
        <w:top w:val="none" w:sz="0" w:space="0" w:color="auto"/>
        <w:left w:val="none" w:sz="0" w:space="0" w:color="auto"/>
        <w:bottom w:val="none" w:sz="0" w:space="0" w:color="auto"/>
        <w:right w:val="none" w:sz="0" w:space="0" w:color="auto"/>
      </w:divBdr>
    </w:div>
    <w:div w:id="1267157464">
      <w:bodyDiv w:val="1"/>
      <w:marLeft w:val="0"/>
      <w:marRight w:val="0"/>
      <w:marTop w:val="0"/>
      <w:marBottom w:val="0"/>
      <w:divBdr>
        <w:top w:val="none" w:sz="0" w:space="0" w:color="auto"/>
        <w:left w:val="none" w:sz="0" w:space="0" w:color="auto"/>
        <w:bottom w:val="none" w:sz="0" w:space="0" w:color="auto"/>
        <w:right w:val="none" w:sz="0" w:space="0" w:color="auto"/>
      </w:divBdr>
    </w:div>
    <w:div w:id="1275744795">
      <w:bodyDiv w:val="1"/>
      <w:marLeft w:val="0"/>
      <w:marRight w:val="0"/>
      <w:marTop w:val="0"/>
      <w:marBottom w:val="0"/>
      <w:divBdr>
        <w:top w:val="none" w:sz="0" w:space="0" w:color="auto"/>
        <w:left w:val="none" w:sz="0" w:space="0" w:color="auto"/>
        <w:bottom w:val="none" w:sz="0" w:space="0" w:color="auto"/>
        <w:right w:val="none" w:sz="0" w:space="0" w:color="auto"/>
      </w:divBdr>
      <w:divsChild>
        <w:div w:id="1476947057">
          <w:marLeft w:val="446"/>
          <w:marRight w:val="0"/>
          <w:marTop w:val="0"/>
          <w:marBottom w:val="0"/>
          <w:divBdr>
            <w:top w:val="none" w:sz="0" w:space="0" w:color="auto"/>
            <w:left w:val="none" w:sz="0" w:space="0" w:color="auto"/>
            <w:bottom w:val="none" w:sz="0" w:space="0" w:color="auto"/>
            <w:right w:val="none" w:sz="0" w:space="0" w:color="auto"/>
          </w:divBdr>
        </w:div>
      </w:divsChild>
    </w:div>
    <w:div w:id="1309675237">
      <w:bodyDiv w:val="1"/>
      <w:marLeft w:val="0"/>
      <w:marRight w:val="0"/>
      <w:marTop w:val="0"/>
      <w:marBottom w:val="0"/>
      <w:divBdr>
        <w:top w:val="none" w:sz="0" w:space="0" w:color="auto"/>
        <w:left w:val="none" w:sz="0" w:space="0" w:color="auto"/>
        <w:bottom w:val="none" w:sz="0" w:space="0" w:color="auto"/>
        <w:right w:val="none" w:sz="0" w:space="0" w:color="auto"/>
      </w:divBdr>
    </w:div>
    <w:div w:id="1403020977">
      <w:bodyDiv w:val="1"/>
      <w:marLeft w:val="0"/>
      <w:marRight w:val="0"/>
      <w:marTop w:val="0"/>
      <w:marBottom w:val="0"/>
      <w:divBdr>
        <w:top w:val="none" w:sz="0" w:space="0" w:color="auto"/>
        <w:left w:val="none" w:sz="0" w:space="0" w:color="auto"/>
        <w:bottom w:val="none" w:sz="0" w:space="0" w:color="auto"/>
        <w:right w:val="none" w:sz="0" w:space="0" w:color="auto"/>
      </w:divBdr>
    </w:div>
    <w:div w:id="1562867756">
      <w:bodyDiv w:val="1"/>
      <w:marLeft w:val="0"/>
      <w:marRight w:val="0"/>
      <w:marTop w:val="0"/>
      <w:marBottom w:val="0"/>
      <w:divBdr>
        <w:top w:val="none" w:sz="0" w:space="0" w:color="auto"/>
        <w:left w:val="none" w:sz="0" w:space="0" w:color="auto"/>
        <w:bottom w:val="none" w:sz="0" w:space="0" w:color="auto"/>
        <w:right w:val="none" w:sz="0" w:space="0" w:color="auto"/>
      </w:divBdr>
    </w:div>
    <w:div w:id="1565213209">
      <w:bodyDiv w:val="1"/>
      <w:marLeft w:val="0"/>
      <w:marRight w:val="0"/>
      <w:marTop w:val="0"/>
      <w:marBottom w:val="0"/>
      <w:divBdr>
        <w:top w:val="none" w:sz="0" w:space="0" w:color="auto"/>
        <w:left w:val="none" w:sz="0" w:space="0" w:color="auto"/>
        <w:bottom w:val="none" w:sz="0" w:space="0" w:color="auto"/>
        <w:right w:val="none" w:sz="0" w:space="0" w:color="auto"/>
      </w:divBdr>
    </w:div>
    <w:div w:id="1616060185">
      <w:bodyDiv w:val="1"/>
      <w:marLeft w:val="0"/>
      <w:marRight w:val="0"/>
      <w:marTop w:val="0"/>
      <w:marBottom w:val="0"/>
      <w:divBdr>
        <w:top w:val="none" w:sz="0" w:space="0" w:color="auto"/>
        <w:left w:val="none" w:sz="0" w:space="0" w:color="auto"/>
        <w:bottom w:val="none" w:sz="0" w:space="0" w:color="auto"/>
        <w:right w:val="none" w:sz="0" w:space="0" w:color="auto"/>
      </w:divBdr>
    </w:div>
    <w:div w:id="1653218356">
      <w:bodyDiv w:val="1"/>
      <w:marLeft w:val="0"/>
      <w:marRight w:val="0"/>
      <w:marTop w:val="0"/>
      <w:marBottom w:val="0"/>
      <w:divBdr>
        <w:top w:val="none" w:sz="0" w:space="0" w:color="auto"/>
        <w:left w:val="none" w:sz="0" w:space="0" w:color="auto"/>
        <w:bottom w:val="none" w:sz="0" w:space="0" w:color="auto"/>
        <w:right w:val="none" w:sz="0" w:space="0" w:color="auto"/>
      </w:divBdr>
    </w:div>
    <w:div w:id="1719357888">
      <w:bodyDiv w:val="1"/>
      <w:marLeft w:val="0"/>
      <w:marRight w:val="0"/>
      <w:marTop w:val="0"/>
      <w:marBottom w:val="0"/>
      <w:divBdr>
        <w:top w:val="none" w:sz="0" w:space="0" w:color="auto"/>
        <w:left w:val="none" w:sz="0" w:space="0" w:color="auto"/>
        <w:bottom w:val="none" w:sz="0" w:space="0" w:color="auto"/>
        <w:right w:val="none" w:sz="0" w:space="0" w:color="auto"/>
      </w:divBdr>
    </w:div>
    <w:div w:id="1729841729">
      <w:bodyDiv w:val="1"/>
      <w:marLeft w:val="0"/>
      <w:marRight w:val="0"/>
      <w:marTop w:val="0"/>
      <w:marBottom w:val="0"/>
      <w:divBdr>
        <w:top w:val="none" w:sz="0" w:space="0" w:color="auto"/>
        <w:left w:val="none" w:sz="0" w:space="0" w:color="auto"/>
        <w:bottom w:val="none" w:sz="0" w:space="0" w:color="auto"/>
        <w:right w:val="none" w:sz="0" w:space="0" w:color="auto"/>
      </w:divBdr>
    </w:div>
    <w:div w:id="1730229559">
      <w:bodyDiv w:val="1"/>
      <w:marLeft w:val="0"/>
      <w:marRight w:val="0"/>
      <w:marTop w:val="0"/>
      <w:marBottom w:val="0"/>
      <w:divBdr>
        <w:top w:val="none" w:sz="0" w:space="0" w:color="auto"/>
        <w:left w:val="none" w:sz="0" w:space="0" w:color="auto"/>
        <w:bottom w:val="none" w:sz="0" w:space="0" w:color="auto"/>
        <w:right w:val="none" w:sz="0" w:space="0" w:color="auto"/>
      </w:divBdr>
    </w:div>
    <w:div w:id="1820613301">
      <w:bodyDiv w:val="1"/>
      <w:marLeft w:val="0"/>
      <w:marRight w:val="0"/>
      <w:marTop w:val="0"/>
      <w:marBottom w:val="0"/>
      <w:divBdr>
        <w:top w:val="none" w:sz="0" w:space="0" w:color="auto"/>
        <w:left w:val="none" w:sz="0" w:space="0" w:color="auto"/>
        <w:bottom w:val="none" w:sz="0" w:space="0" w:color="auto"/>
        <w:right w:val="none" w:sz="0" w:space="0" w:color="auto"/>
      </w:divBdr>
    </w:div>
    <w:div w:id="1895702034">
      <w:bodyDiv w:val="1"/>
      <w:marLeft w:val="0"/>
      <w:marRight w:val="0"/>
      <w:marTop w:val="0"/>
      <w:marBottom w:val="0"/>
      <w:divBdr>
        <w:top w:val="none" w:sz="0" w:space="0" w:color="auto"/>
        <w:left w:val="none" w:sz="0" w:space="0" w:color="auto"/>
        <w:bottom w:val="none" w:sz="0" w:space="0" w:color="auto"/>
        <w:right w:val="none" w:sz="0" w:space="0" w:color="auto"/>
      </w:divBdr>
    </w:div>
    <w:div w:id="1978953485">
      <w:bodyDiv w:val="1"/>
      <w:marLeft w:val="0"/>
      <w:marRight w:val="0"/>
      <w:marTop w:val="0"/>
      <w:marBottom w:val="0"/>
      <w:divBdr>
        <w:top w:val="none" w:sz="0" w:space="0" w:color="auto"/>
        <w:left w:val="none" w:sz="0" w:space="0" w:color="auto"/>
        <w:bottom w:val="none" w:sz="0" w:space="0" w:color="auto"/>
        <w:right w:val="none" w:sz="0" w:space="0" w:color="auto"/>
      </w:divBdr>
    </w:div>
    <w:div w:id="203472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abh.co/shco-standard.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i.org/10.1093/eurpub/cki004" TargetMode="External"/><Relationship Id="rId4" Type="http://schemas.openxmlformats.org/officeDocument/2006/relationships/settings" Target="settings.xml"/><Relationship Id="rId9" Type="http://schemas.openxmlformats.org/officeDocument/2006/relationships/hyperlink" Target="https://www.ahrq.gov/cahps/about-cahps/patient-experience/index.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9CA4D-602E-45ED-BAD2-7AE769873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3397</Words>
  <Characters>19367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MD</cp:lastModifiedBy>
  <cp:revision>2</cp:revision>
  <dcterms:created xsi:type="dcterms:W3CDTF">2020-04-30T06:07:00Z</dcterms:created>
  <dcterms:modified xsi:type="dcterms:W3CDTF">2020-04-30T06:07:00Z</dcterms:modified>
</cp:coreProperties>
</file>