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68C" w:rsidRPr="00DE27B2" w:rsidRDefault="0059570E" w:rsidP="00DE27B2">
      <w:pPr>
        <w:spacing w:line="480" w:lineRule="auto"/>
        <w:rPr>
          <w:rFonts w:asciiTheme="majorBidi" w:hAnsiTheme="majorBidi" w:cstheme="majorBidi"/>
          <w:sz w:val="28"/>
          <w:szCs w:val="28"/>
        </w:rPr>
      </w:pPr>
      <w:r w:rsidRPr="00DE27B2">
        <w:rPr>
          <w:rFonts w:asciiTheme="majorBidi" w:hAnsiTheme="majorBidi" w:cstheme="majorBidi"/>
          <w:b/>
          <w:bCs/>
          <w:sz w:val="28"/>
          <w:szCs w:val="28"/>
        </w:rPr>
        <w:t xml:space="preserve">The risk factor of </w:t>
      </w:r>
      <w:r w:rsidR="0040042A" w:rsidRPr="00DE27B2">
        <w:rPr>
          <w:rFonts w:asciiTheme="majorBidi" w:hAnsiTheme="majorBidi" w:cstheme="majorBidi"/>
          <w:b/>
          <w:bCs/>
          <w:sz w:val="28"/>
          <w:szCs w:val="28"/>
        </w:rPr>
        <w:t xml:space="preserve">polymorphism of </w:t>
      </w:r>
      <w:r w:rsidR="00446106" w:rsidRPr="00DE27B2">
        <w:rPr>
          <w:rFonts w:asciiTheme="majorBidi" w:hAnsiTheme="majorBidi" w:cstheme="majorBidi"/>
          <w:b/>
          <w:bCs/>
          <w:sz w:val="28"/>
          <w:szCs w:val="28"/>
        </w:rPr>
        <w:t xml:space="preserve">interleukin-6 </w:t>
      </w:r>
      <w:r w:rsidR="00627E14" w:rsidRPr="00DE27B2">
        <w:rPr>
          <w:rFonts w:asciiTheme="majorBidi" w:hAnsiTheme="majorBidi" w:cstheme="majorBidi"/>
          <w:b/>
          <w:bCs/>
          <w:sz w:val="28"/>
          <w:szCs w:val="28"/>
        </w:rPr>
        <w:t>(-174 G⁄C)</w:t>
      </w:r>
      <w:r w:rsidRPr="00DE27B2">
        <w:rPr>
          <w:rFonts w:asciiTheme="majorBidi" w:hAnsiTheme="majorBidi" w:cstheme="majorBidi"/>
          <w:b/>
          <w:bCs/>
          <w:sz w:val="28"/>
          <w:szCs w:val="28"/>
        </w:rPr>
        <w:t xml:space="preserve"> relationship to toxoplasmosis infection in Wasit</w:t>
      </w:r>
      <w:r w:rsidR="0041319A" w:rsidRPr="00DE27B2">
        <w:rPr>
          <w:rFonts w:asciiTheme="majorBidi" w:hAnsiTheme="majorBidi" w:cstheme="majorBidi"/>
          <w:b/>
          <w:bCs/>
          <w:sz w:val="28"/>
          <w:szCs w:val="28"/>
        </w:rPr>
        <w:t xml:space="preserve"> province</w:t>
      </w:r>
      <w:r w:rsidRPr="00DE27B2">
        <w:rPr>
          <w:rFonts w:asciiTheme="majorBidi" w:hAnsiTheme="majorBidi" w:cstheme="majorBidi"/>
          <w:b/>
          <w:bCs/>
          <w:sz w:val="28"/>
          <w:szCs w:val="28"/>
        </w:rPr>
        <w:t>, Iraq</w:t>
      </w:r>
      <w:r w:rsidR="0041319A" w:rsidRPr="00DE27B2">
        <w:rPr>
          <w:rFonts w:asciiTheme="majorBidi" w:hAnsiTheme="majorBidi" w:cstheme="majorBidi"/>
          <w:sz w:val="28"/>
          <w:szCs w:val="28"/>
        </w:rPr>
        <w:t>.</w:t>
      </w:r>
    </w:p>
    <w:p w:rsidR="00B33425" w:rsidRPr="00DE27B2" w:rsidRDefault="00B33425" w:rsidP="00DE27B2">
      <w:pPr>
        <w:spacing w:line="480" w:lineRule="auto"/>
        <w:rPr>
          <w:rFonts w:asciiTheme="majorBidi" w:hAnsiTheme="majorBidi" w:cstheme="majorBidi"/>
          <w:b/>
          <w:bCs/>
          <w:sz w:val="24"/>
          <w:szCs w:val="24"/>
        </w:rPr>
      </w:pPr>
      <w:proofErr w:type="spellStart"/>
      <w:r w:rsidRPr="00DE27B2">
        <w:rPr>
          <w:rFonts w:asciiTheme="majorBidi" w:hAnsiTheme="majorBidi" w:cstheme="majorBidi"/>
          <w:b/>
          <w:bCs/>
          <w:sz w:val="24"/>
          <w:szCs w:val="24"/>
        </w:rPr>
        <w:t>Baidaa</w:t>
      </w:r>
      <w:proofErr w:type="spellEnd"/>
      <w:r w:rsidR="002932A1" w:rsidRPr="00DE27B2">
        <w:rPr>
          <w:rFonts w:asciiTheme="majorBidi" w:hAnsiTheme="majorBidi" w:cstheme="majorBidi"/>
          <w:b/>
          <w:bCs/>
          <w:sz w:val="24"/>
          <w:szCs w:val="24"/>
        </w:rPr>
        <w:t xml:space="preserve"> </w:t>
      </w:r>
      <w:proofErr w:type="spellStart"/>
      <w:proofErr w:type="gramStart"/>
      <w:r w:rsidRPr="00DE27B2">
        <w:rPr>
          <w:rFonts w:asciiTheme="majorBidi" w:hAnsiTheme="majorBidi" w:cstheme="majorBidi"/>
          <w:b/>
          <w:bCs/>
          <w:sz w:val="24"/>
          <w:szCs w:val="24"/>
        </w:rPr>
        <w:t>A.Alwan</w:t>
      </w:r>
      <w:proofErr w:type="spellEnd"/>
      <w:proofErr w:type="gramEnd"/>
      <w:r w:rsidRPr="00DE27B2">
        <w:rPr>
          <w:rFonts w:asciiTheme="majorBidi" w:hAnsiTheme="majorBidi" w:cstheme="majorBidi"/>
          <w:b/>
          <w:bCs/>
          <w:sz w:val="24"/>
          <w:szCs w:val="24"/>
        </w:rPr>
        <w:t xml:space="preserve"> </w:t>
      </w:r>
      <w:r w:rsidRPr="00DE27B2">
        <w:rPr>
          <w:rFonts w:asciiTheme="majorBidi" w:hAnsiTheme="majorBidi" w:cstheme="majorBidi"/>
          <w:b/>
          <w:bCs/>
          <w:sz w:val="24"/>
          <w:szCs w:val="24"/>
          <w:vertAlign w:val="superscript"/>
        </w:rPr>
        <w:t>1</w:t>
      </w:r>
      <w:r w:rsidRPr="00DE27B2">
        <w:rPr>
          <w:rFonts w:asciiTheme="majorBidi" w:hAnsiTheme="majorBidi" w:cstheme="majorBidi"/>
          <w:b/>
          <w:bCs/>
          <w:sz w:val="24"/>
          <w:szCs w:val="24"/>
        </w:rPr>
        <w:t xml:space="preserve"> </w:t>
      </w:r>
      <w:r w:rsidR="00A27BE6" w:rsidRPr="00DE27B2">
        <w:rPr>
          <w:rFonts w:asciiTheme="majorBidi" w:hAnsiTheme="majorBidi" w:cstheme="majorBidi"/>
          <w:b/>
          <w:bCs/>
          <w:sz w:val="24"/>
          <w:szCs w:val="24"/>
        </w:rPr>
        <w:t>,</w:t>
      </w:r>
      <w:r w:rsidR="00DE27B2">
        <w:rPr>
          <w:rFonts w:asciiTheme="majorBidi" w:hAnsiTheme="majorBidi" w:cstheme="majorBidi"/>
          <w:b/>
          <w:bCs/>
          <w:sz w:val="24"/>
          <w:szCs w:val="24"/>
        </w:rPr>
        <w:t xml:space="preserve"> and </w:t>
      </w:r>
      <w:proofErr w:type="spellStart"/>
      <w:r w:rsidRPr="00DE27B2">
        <w:rPr>
          <w:rFonts w:asciiTheme="majorBidi" w:hAnsiTheme="majorBidi" w:cstheme="majorBidi"/>
          <w:b/>
          <w:bCs/>
          <w:sz w:val="24"/>
          <w:szCs w:val="24"/>
        </w:rPr>
        <w:t>Baraa</w:t>
      </w:r>
      <w:proofErr w:type="spellEnd"/>
      <w:r w:rsidR="002932A1" w:rsidRPr="00DE27B2">
        <w:rPr>
          <w:rFonts w:asciiTheme="majorBidi" w:hAnsiTheme="majorBidi" w:cstheme="majorBidi"/>
          <w:b/>
          <w:bCs/>
          <w:sz w:val="24"/>
          <w:szCs w:val="24"/>
        </w:rPr>
        <w:t xml:space="preserve"> </w:t>
      </w:r>
      <w:r w:rsidRPr="00DE27B2">
        <w:rPr>
          <w:rFonts w:asciiTheme="majorBidi" w:hAnsiTheme="majorBidi" w:cstheme="majorBidi"/>
          <w:b/>
          <w:bCs/>
          <w:sz w:val="24"/>
          <w:szCs w:val="24"/>
        </w:rPr>
        <w:t>A.</w:t>
      </w:r>
      <w:r w:rsidR="002932A1" w:rsidRPr="00DE27B2">
        <w:rPr>
          <w:rFonts w:asciiTheme="majorBidi" w:hAnsiTheme="majorBidi" w:cstheme="majorBidi"/>
          <w:b/>
          <w:bCs/>
          <w:sz w:val="24"/>
          <w:szCs w:val="24"/>
        </w:rPr>
        <w:t xml:space="preserve"> </w:t>
      </w:r>
      <w:proofErr w:type="spellStart"/>
      <w:r w:rsidRPr="00DE27B2">
        <w:rPr>
          <w:rFonts w:asciiTheme="majorBidi" w:hAnsiTheme="majorBidi" w:cstheme="majorBidi"/>
          <w:b/>
          <w:bCs/>
          <w:sz w:val="24"/>
          <w:szCs w:val="24"/>
        </w:rPr>
        <w:t>Hraija</w:t>
      </w:r>
      <w:proofErr w:type="spellEnd"/>
      <w:r w:rsidRPr="00DE27B2">
        <w:rPr>
          <w:rFonts w:asciiTheme="majorBidi" w:hAnsiTheme="majorBidi" w:cstheme="majorBidi"/>
          <w:b/>
          <w:bCs/>
          <w:sz w:val="24"/>
          <w:szCs w:val="24"/>
        </w:rPr>
        <w:t xml:space="preserve"> </w:t>
      </w:r>
      <w:r w:rsidRPr="00DE27B2">
        <w:rPr>
          <w:rFonts w:asciiTheme="majorBidi" w:hAnsiTheme="majorBidi" w:cstheme="majorBidi"/>
          <w:b/>
          <w:bCs/>
          <w:sz w:val="24"/>
          <w:szCs w:val="24"/>
          <w:vertAlign w:val="superscript"/>
        </w:rPr>
        <w:t>2</w:t>
      </w:r>
    </w:p>
    <w:p w:rsidR="00A27BE6" w:rsidRPr="00B33425" w:rsidRDefault="00B33425" w:rsidP="00DE27B2">
      <w:pPr>
        <w:spacing w:line="480" w:lineRule="auto"/>
        <w:rPr>
          <w:rFonts w:asciiTheme="majorBidi" w:hAnsiTheme="majorBidi" w:cstheme="majorBidi"/>
          <w:sz w:val="24"/>
          <w:szCs w:val="24"/>
        </w:rPr>
      </w:pPr>
      <w:r w:rsidRPr="00DE27B2">
        <w:rPr>
          <w:rFonts w:asciiTheme="majorBidi" w:hAnsiTheme="majorBidi" w:cstheme="majorBidi"/>
          <w:sz w:val="24"/>
          <w:szCs w:val="24"/>
          <w:vertAlign w:val="superscript"/>
        </w:rPr>
        <w:t>1</w:t>
      </w:r>
      <w:r w:rsidR="00A27BE6">
        <w:rPr>
          <w:rFonts w:ascii="Times New Roman" w:hAnsi="Times New Roman" w:cs="Times New Roman"/>
          <w:sz w:val="20"/>
          <w:szCs w:val="20"/>
        </w:rPr>
        <w:t>Department</w:t>
      </w:r>
      <w:r w:rsidRPr="00A27BE6">
        <w:rPr>
          <w:rFonts w:ascii="Times New Roman" w:hAnsi="Times New Roman" w:cs="Times New Roman"/>
          <w:sz w:val="20"/>
          <w:szCs w:val="20"/>
        </w:rPr>
        <w:t xml:space="preserve">of </w:t>
      </w:r>
      <w:proofErr w:type="spellStart"/>
      <w:r w:rsidRPr="00A27BE6">
        <w:rPr>
          <w:rFonts w:ascii="Times New Roman" w:hAnsi="Times New Roman" w:cs="Times New Roman"/>
          <w:sz w:val="20"/>
          <w:szCs w:val="20"/>
        </w:rPr>
        <w:t>Obstetric</w:t>
      </w:r>
      <w:proofErr w:type="spellEnd"/>
      <w:r w:rsidRPr="00A27BE6">
        <w:rPr>
          <w:rFonts w:ascii="Times New Roman" w:hAnsi="Times New Roman" w:cs="Times New Roman"/>
          <w:sz w:val="20"/>
          <w:szCs w:val="20"/>
        </w:rPr>
        <w:t xml:space="preserve"> and </w:t>
      </w:r>
      <w:proofErr w:type="spellStart"/>
      <w:r w:rsidRPr="00A27BE6">
        <w:rPr>
          <w:rFonts w:ascii="Times New Roman" w:hAnsi="Times New Roman" w:cs="Times New Roman"/>
          <w:sz w:val="20"/>
          <w:szCs w:val="20"/>
        </w:rPr>
        <w:t>gynaecology</w:t>
      </w:r>
      <w:proofErr w:type="spellEnd"/>
      <w:r w:rsidR="00A27BE6" w:rsidRPr="00A27BE6">
        <w:rPr>
          <w:rFonts w:ascii="Times New Roman" w:hAnsi="Times New Roman" w:cs="Times New Roman"/>
          <w:sz w:val="20"/>
          <w:szCs w:val="20"/>
        </w:rPr>
        <w:t xml:space="preserve">, </w:t>
      </w:r>
      <w:r w:rsidR="00A27BE6">
        <w:rPr>
          <w:rFonts w:ascii="Times New Roman" w:hAnsi="Times New Roman" w:cs="Times New Roman"/>
          <w:sz w:val="20"/>
          <w:szCs w:val="20"/>
        </w:rPr>
        <w:t xml:space="preserve">College of Medicine, Wasit University, </w:t>
      </w:r>
      <w:proofErr w:type="spellStart"/>
      <w:r w:rsidR="00A27BE6">
        <w:rPr>
          <w:rFonts w:ascii="Times New Roman" w:hAnsi="Times New Roman" w:cs="Times New Roman"/>
          <w:sz w:val="20"/>
          <w:szCs w:val="20"/>
        </w:rPr>
        <w:t>Kut</w:t>
      </w:r>
      <w:proofErr w:type="spellEnd"/>
      <w:r w:rsidR="00A27BE6">
        <w:rPr>
          <w:rFonts w:ascii="Times New Roman" w:hAnsi="Times New Roman" w:cs="Times New Roman"/>
          <w:sz w:val="20"/>
          <w:szCs w:val="20"/>
        </w:rPr>
        <w:t>, Iraq</w:t>
      </w:r>
      <w:r w:rsidR="00DE27B2">
        <w:rPr>
          <w:rFonts w:ascii="Times New Roman" w:hAnsi="Times New Roman" w:cs="Times New Roman"/>
          <w:sz w:val="20"/>
          <w:szCs w:val="20"/>
        </w:rPr>
        <w:t xml:space="preserve">, </w:t>
      </w:r>
      <w:r w:rsidR="00A27BE6" w:rsidRPr="00DE27B2">
        <w:rPr>
          <w:rFonts w:asciiTheme="majorBidi" w:hAnsiTheme="majorBidi" w:cstheme="majorBidi"/>
          <w:sz w:val="24"/>
          <w:szCs w:val="24"/>
          <w:vertAlign w:val="superscript"/>
        </w:rPr>
        <w:t>2</w:t>
      </w:r>
      <w:r w:rsidR="00A27BE6">
        <w:rPr>
          <w:rFonts w:ascii="Times New Roman" w:hAnsi="Times New Roman" w:cs="Times New Roman"/>
          <w:sz w:val="20"/>
          <w:szCs w:val="20"/>
        </w:rPr>
        <w:t xml:space="preserve">Department of Microbiology, College of Medicine, Wasit University, </w:t>
      </w:r>
      <w:proofErr w:type="spellStart"/>
      <w:r w:rsidR="00A27BE6">
        <w:rPr>
          <w:rFonts w:ascii="Times New Roman" w:hAnsi="Times New Roman" w:cs="Times New Roman"/>
          <w:sz w:val="20"/>
          <w:szCs w:val="20"/>
        </w:rPr>
        <w:t>Kut</w:t>
      </w:r>
      <w:proofErr w:type="spellEnd"/>
      <w:r w:rsidR="00A27BE6">
        <w:rPr>
          <w:rFonts w:ascii="Times New Roman" w:hAnsi="Times New Roman" w:cs="Times New Roman"/>
          <w:sz w:val="20"/>
          <w:szCs w:val="20"/>
        </w:rPr>
        <w:t>, Iraq.</w:t>
      </w:r>
    </w:p>
    <w:p w:rsidR="005E7AF0" w:rsidRDefault="005E7AF0" w:rsidP="005E7AF0">
      <w:pPr>
        <w:spacing w:line="480" w:lineRule="auto"/>
        <w:rPr>
          <w:rFonts w:asciiTheme="majorBidi" w:hAnsiTheme="majorBidi" w:cstheme="majorBidi"/>
          <w:sz w:val="24"/>
          <w:szCs w:val="24"/>
        </w:rPr>
      </w:pPr>
      <w:r>
        <w:rPr>
          <w:rFonts w:asciiTheme="majorBidi" w:hAnsiTheme="majorBidi" w:cstheme="majorBidi"/>
          <w:b/>
          <w:bCs/>
          <w:sz w:val="24"/>
          <w:szCs w:val="24"/>
        </w:rPr>
        <w:t>Abstract</w:t>
      </w:r>
    </w:p>
    <w:p w:rsidR="006F4612" w:rsidRDefault="00B1703E" w:rsidP="002D735F">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present investigation was carried out to identify if there is a </w:t>
      </w:r>
      <w:r w:rsidRPr="00B1703E">
        <w:rPr>
          <w:rFonts w:asciiTheme="majorBidi" w:hAnsiTheme="majorBidi" w:cstheme="majorBidi"/>
          <w:sz w:val="24"/>
          <w:szCs w:val="24"/>
        </w:rPr>
        <w:t xml:space="preserve">risk factor </w:t>
      </w:r>
      <w:r>
        <w:rPr>
          <w:rFonts w:asciiTheme="majorBidi" w:hAnsiTheme="majorBidi" w:cstheme="majorBidi"/>
          <w:sz w:val="24"/>
          <w:szCs w:val="24"/>
        </w:rPr>
        <w:t xml:space="preserve">supplied by the occurrence </w:t>
      </w:r>
      <w:proofErr w:type="spellStart"/>
      <w:r>
        <w:rPr>
          <w:rFonts w:asciiTheme="majorBidi" w:hAnsiTheme="majorBidi" w:cstheme="majorBidi"/>
          <w:sz w:val="24"/>
          <w:szCs w:val="24"/>
        </w:rPr>
        <w:t>ofthe</w:t>
      </w:r>
      <w:proofErr w:type="spellEnd"/>
      <w:r>
        <w:rPr>
          <w:rFonts w:asciiTheme="majorBidi" w:hAnsiTheme="majorBidi" w:cstheme="majorBidi"/>
          <w:sz w:val="24"/>
          <w:szCs w:val="24"/>
        </w:rPr>
        <w:t xml:space="preserve"> </w:t>
      </w:r>
      <w:r w:rsidR="0040042A" w:rsidRPr="00821DA0">
        <w:rPr>
          <w:rFonts w:asciiTheme="majorBidi" w:hAnsiTheme="majorBidi" w:cstheme="majorBidi"/>
          <w:sz w:val="24"/>
          <w:szCs w:val="24"/>
        </w:rPr>
        <w:t xml:space="preserve">single nucleotide polymorphism (SNP) </w:t>
      </w:r>
      <w:r w:rsidR="0040042A">
        <w:rPr>
          <w:rFonts w:asciiTheme="majorBidi" w:hAnsiTheme="majorBidi" w:cstheme="majorBidi"/>
          <w:sz w:val="24"/>
          <w:szCs w:val="24"/>
        </w:rPr>
        <w:t xml:space="preserve">of the </w:t>
      </w:r>
      <w:r w:rsidR="00446106">
        <w:rPr>
          <w:rFonts w:asciiTheme="majorBidi" w:hAnsiTheme="majorBidi" w:cstheme="majorBidi"/>
          <w:sz w:val="24"/>
          <w:szCs w:val="24"/>
        </w:rPr>
        <w:t>i</w:t>
      </w:r>
      <w:r w:rsidR="00446106" w:rsidRPr="00446106">
        <w:rPr>
          <w:rFonts w:asciiTheme="majorBidi" w:hAnsiTheme="majorBidi" w:cstheme="majorBidi"/>
          <w:sz w:val="24"/>
          <w:szCs w:val="24"/>
        </w:rPr>
        <w:t xml:space="preserve">nterleukin-6 </w:t>
      </w:r>
      <w:r w:rsidR="00627E14" w:rsidRPr="00627E14">
        <w:rPr>
          <w:rFonts w:asciiTheme="majorBidi" w:hAnsiTheme="majorBidi" w:cstheme="majorBidi"/>
          <w:sz w:val="24"/>
          <w:szCs w:val="24"/>
        </w:rPr>
        <w:t xml:space="preserve">(-174 G⁄C) </w:t>
      </w:r>
      <w:r>
        <w:rPr>
          <w:rFonts w:asciiTheme="majorBidi" w:hAnsiTheme="majorBidi" w:cstheme="majorBidi"/>
          <w:sz w:val="24"/>
          <w:szCs w:val="24"/>
        </w:rPr>
        <w:t xml:space="preserve">on </w:t>
      </w:r>
      <w:proofErr w:type="spellStart"/>
      <w:r>
        <w:rPr>
          <w:rFonts w:asciiTheme="majorBidi" w:hAnsiTheme="majorBidi" w:cstheme="majorBidi"/>
          <w:sz w:val="24"/>
          <w:szCs w:val="24"/>
        </w:rPr>
        <w:t>thepresence</w:t>
      </w:r>
      <w:proofErr w:type="spellEnd"/>
      <w:r>
        <w:rPr>
          <w:rFonts w:asciiTheme="majorBidi" w:hAnsiTheme="majorBidi" w:cstheme="majorBidi"/>
          <w:sz w:val="24"/>
          <w:szCs w:val="24"/>
        </w:rPr>
        <w:t xml:space="preserve"> of t</w:t>
      </w:r>
      <w:r w:rsidRPr="00B1703E">
        <w:rPr>
          <w:rFonts w:asciiTheme="majorBidi" w:hAnsiTheme="majorBidi" w:cstheme="majorBidi"/>
          <w:sz w:val="24"/>
          <w:szCs w:val="24"/>
        </w:rPr>
        <w:t>oxoplasmosis infection</w:t>
      </w:r>
      <w:r>
        <w:rPr>
          <w:rFonts w:asciiTheme="majorBidi" w:hAnsiTheme="majorBidi" w:cstheme="majorBidi"/>
          <w:sz w:val="24"/>
          <w:szCs w:val="24"/>
        </w:rPr>
        <w:t>. Herein, 100 blood sa</w:t>
      </w:r>
      <w:r w:rsidR="00B62E27">
        <w:rPr>
          <w:rFonts w:asciiTheme="majorBidi" w:hAnsiTheme="majorBidi" w:cstheme="majorBidi"/>
          <w:sz w:val="24"/>
          <w:szCs w:val="24"/>
        </w:rPr>
        <w:t>mples (50 samples from seropositive</w:t>
      </w:r>
      <w:r w:rsidR="002D735F">
        <w:rPr>
          <w:rFonts w:asciiTheme="majorBidi" w:hAnsiTheme="majorBidi" w:cstheme="majorBidi"/>
          <w:sz w:val="24"/>
          <w:szCs w:val="24"/>
        </w:rPr>
        <w:t xml:space="preserve"> aborted women </w:t>
      </w:r>
      <w:r w:rsidR="00B62E27">
        <w:rPr>
          <w:rFonts w:asciiTheme="majorBidi" w:hAnsiTheme="majorBidi" w:cstheme="majorBidi"/>
          <w:sz w:val="24"/>
          <w:szCs w:val="24"/>
        </w:rPr>
        <w:t xml:space="preserve">patients and 50 samples of </w:t>
      </w:r>
      <w:proofErr w:type="spellStart"/>
      <w:r w:rsidR="0040042A">
        <w:rPr>
          <w:rFonts w:asciiTheme="majorBidi" w:hAnsiTheme="majorBidi" w:cstheme="majorBidi"/>
          <w:sz w:val="24"/>
          <w:szCs w:val="24"/>
        </w:rPr>
        <w:t>seronegativeparticipants</w:t>
      </w:r>
      <w:proofErr w:type="spellEnd"/>
      <w:r w:rsidR="00B62E27">
        <w:rPr>
          <w:rFonts w:asciiTheme="majorBidi" w:hAnsiTheme="majorBidi" w:cstheme="majorBidi"/>
          <w:sz w:val="24"/>
          <w:szCs w:val="24"/>
        </w:rPr>
        <w:t xml:space="preserve">) were </w:t>
      </w:r>
      <w:r w:rsidR="0040042A">
        <w:rPr>
          <w:rFonts w:asciiTheme="majorBidi" w:hAnsiTheme="majorBidi" w:cstheme="majorBidi"/>
          <w:sz w:val="24"/>
          <w:szCs w:val="24"/>
        </w:rPr>
        <w:t>sampled</w:t>
      </w:r>
      <w:r w:rsidR="00B62E27">
        <w:rPr>
          <w:rFonts w:asciiTheme="majorBidi" w:hAnsiTheme="majorBidi" w:cstheme="majorBidi"/>
          <w:sz w:val="24"/>
          <w:szCs w:val="24"/>
        </w:rPr>
        <w:t xml:space="preserve"> from Al-</w:t>
      </w:r>
      <w:proofErr w:type="spellStart"/>
      <w:r w:rsidR="00B62E27">
        <w:rPr>
          <w:rFonts w:asciiTheme="majorBidi" w:hAnsiTheme="majorBidi" w:cstheme="majorBidi"/>
          <w:sz w:val="24"/>
          <w:szCs w:val="24"/>
        </w:rPr>
        <w:t>Kut</w:t>
      </w:r>
      <w:proofErr w:type="spellEnd"/>
      <w:r w:rsidR="00B62E27">
        <w:rPr>
          <w:rFonts w:asciiTheme="majorBidi" w:hAnsiTheme="majorBidi" w:cstheme="majorBidi"/>
          <w:sz w:val="24"/>
          <w:szCs w:val="24"/>
        </w:rPr>
        <w:t xml:space="preserve"> Hospital</w:t>
      </w:r>
      <w:r w:rsidR="002D735F">
        <w:rPr>
          <w:rFonts w:asciiTheme="majorBidi" w:hAnsiTheme="majorBidi" w:cstheme="majorBidi"/>
          <w:sz w:val="24"/>
          <w:szCs w:val="24"/>
        </w:rPr>
        <w:t>s and private clinic</w:t>
      </w:r>
      <w:r w:rsidR="00B62E27">
        <w:rPr>
          <w:rFonts w:asciiTheme="majorBidi" w:hAnsiTheme="majorBidi" w:cstheme="majorBidi"/>
          <w:sz w:val="24"/>
          <w:szCs w:val="24"/>
        </w:rPr>
        <w:t>, Wasit</w:t>
      </w:r>
      <w:r w:rsidR="002D735F">
        <w:rPr>
          <w:rFonts w:asciiTheme="majorBidi" w:hAnsiTheme="majorBidi" w:cstheme="majorBidi"/>
          <w:sz w:val="24"/>
          <w:szCs w:val="24"/>
        </w:rPr>
        <w:t xml:space="preserve"> province</w:t>
      </w:r>
      <w:r w:rsidR="00B62E27">
        <w:rPr>
          <w:rFonts w:asciiTheme="majorBidi" w:hAnsiTheme="majorBidi" w:cstheme="majorBidi"/>
          <w:sz w:val="24"/>
          <w:szCs w:val="24"/>
        </w:rPr>
        <w:t xml:space="preserve">, Iraq. </w:t>
      </w:r>
      <w:r w:rsidR="00446106">
        <w:rPr>
          <w:rFonts w:asciiTheme="majorBidi" w:hAnsiTheme="majorBidi" w:cstheme="majorBidi"/>
          <w:sz w:val="24"/>
          <w:szCs w:val="24"/>
        </w:rPr>
        <w:t xml:space="preserve">The </w:t>
      </w:r>
      <w:r w:rsidR="0040042A">
        <w:rPr>
          <w:rFonts w:asciiTheme="majorBidi" w:hAnsiTheme="majorBidi" w:cstheme="majorBidi"/>
          <w:sz w:val="24"/>
          <w:szCs w:val="24"/>
        </w:rPr>
        <w:t>blood specimens</w:t>
      </w:r>
      <w:r w:rsidR="00446106">
        <w:rPr>
          <w:rFonts w:asciiTheme="majorBidi" w:hAnsiTheme="majorBidi" w:cstheme="majorBidi"/>
          <w:sz w:val="24"/>
          <w:szCs w:val="24"/>
        </w:rPr>
        <w:t xml:space="preserve"> were exposed to a RFLP-polymerase chain reaction (RFLP-PCR) method</w:t>
      </w:r>
      <w:r w:rsidR="00E057A1">
        <w:rPr>
          <w:rFonts w:asciiTheme="majorBidi" w:hAnsiTheme="majorBidi" w:cstheme="majorBidi"/>
          <w:sz w:val="24"/>
          <w:szCs w:val="24"/>
        </w:rPr>
        <w:t xml:space="preserve">. </w:t>
      </w:r>
      <w:r w:rsidR="00217F32">
        <w:rPr>
          <w:rFonts w:asciiTheme="majorBidi" w:hAnsiTheme="majorBidi" w:cstheme="majorBidi"/>
          <w:sz w:val="24"/>
          <w:szCs w:val="24"/>
        </w:rPr>
        <w:t xml:space="preserve">The polymorphism </w:t>
      </w:r>
      <w:r w:rsidR="0040042A">
        <w:rPr>
          <w:rFonts w:asciiTheme="majorBidi" w:hAnsiTheme="majorBidi" w:cstheme="majorBidi"/>
          <w:sz w:val="24"/>
          <w:szCs w:val="24"/>
        </w:rPr>
        <w:t xml:space="preserve">incidence </w:t>
      </w:r>
      <w:r w:rsidR="00217F32">
        <w:rPr>
          <w:rFonts w:asciiTheme="majorBidi" w:hAnsiTheme="majorBidi" w:cstheme="majorBidi"/>
          <w:sz w:val="24"/>
          <w:szCs w:val="24"/>
        </w:rPr>
        <w:t>was detected as</w:t>
      </w:r>
      <w:r w:rsidR="003D782E">
        <w:rPr>
          <w:rFonts w:asciiTheme="majorBidi" w:hAnsiTheme="majorBidi" w:cstheme="majorBidi"/>
          <w:sz w:val="24"/>
          <w:szCs w:val="24"/>
        </w:rPr>
        <w:t xml:space="preserve"> GG </w:t>
      </w:r>
      <w:r w:rsidR="00FE1C85">
        <w:rPr>
          <w:rFonts w:asciiTheme="majorBidi" w:hAnsiTheme="majorBidi" w:cstheme="majorBidi"/>
          <w:sz w:val="24"/>
          <w:szCs w:val="24"/>
        </w:rPr>
        <w:t>(</w:t>
      </w:r>
      <w:r w:rsidR="003D782E">
        <w:rPr>
          <w:rFonts w:asciiTheme="majorBidi" w:hAnsiTheme="majorBidi" w:cstheme="majorBidi"/>
          <w:sz w:val="24"/>
          <w:szCs w:val="24"/>
        </w:rPr>
        <w:t>homozygous</w:t>
      </w:r>
      <w:r w:rsidR="00FE1C85">
        <w:rPr>
          <w:rFonts w:asciiTheme="majorBidi" w:hAnsiTheme="majorBidi" w:cstheme="majorBidi"/>
          <w:sz w:val="24"/>
          <w:szCs w:val="24"/>
        </w:rPr>
        <w:t>)</w:t>
      </w:r>
      <w:r w:rsidR="003D782E">
        <w:rPr>
          <w:rFonts w:asciiTheme="majorBidi" w:hAnsiTheme="majorBidi" w:cstheme="majorBidi"/>
          <w:sz w:val="24"/>
          <w:szCs w:val="24"/>
        </w:rPr>
        <w:t xml:space="preserve"> in</w:t>
      </w:r>
      <w:r w:rsidR="00F60792">
        <w:rPr>
          <w:rFonts w:asciiTheme="majorBidi" w:hAnsiTheme="majorBidi" w:cstheme="majorBidi"/>
          <w:sz w:val="24"/>
          <w:szCs w:val="24"/>
        </w:rPr>
        <w:t>8</w:t>
      </w:r>
      <w:r w:rsidR="00217F32">
        <w:rPr>
          <w:rFonts w:asciiTheme="majorBidi" w:hAnsiTheme="majorBidi" w:cstheme="majorBidi"/>
          <w:sz w:val="24"/>
          <w:szCs w:val="24"/>
        </w:rPr>
        <w:t xml:space="preserve"> (</w:t>
      </w:r>
      <w:r w:rsidR="00F60792">
        <w:rPr>
          <w:rFonts w:asciiTheme="majorBidi" w:hAnsiTheme="majorBidi" w:cstheme="majorBidi"/>
          <w:sz w:val="24"/>
          <w:szCs w:val="24"/>
        </w:rPr>
        <w:t>16</w:t>
      </w:r>
      <w:r w:rsidR="00217F32">
        <w:rPr>
          <w:rFonts w:asciiTheme="majorBidi" w:hAnsiTheme="majorBidi" w:cstheme="majorBidi"/>
          <w:sz w:val="24"/>
          <w:szCs w:val="24"/>
        </w:rPr>
        <w:t xml:space="preserve">%) and </w:t>
      </w:r>
      <w:r w:rsidR="00F60792">
        <w:rPr>
          <w:rFonts w:asciiTheme="majorBidi" w:hAnsiTheme="majorBidi" w:cstheme="majorBidi"/>
          <w:sz w:val="24"/>
          <w:szCs w:val="24"/>
        </w:rPr>
        <w:t>14</w:t>
      </w:r>
      <w:r w:rsidR="00217F32">
        <w:rPr>
          <w:rFonts w:asciiTheme="majorBidi" w:hAnsiTheme="majorBidi" w:cstheme="majorBidi"/>
          <w:sz w:val="24"/>
          <w:szCs w:val="24"/>
        </w:rPr>
        <w:t xml:space="preserve"> (</w:t>
      </w:r>
      <w:r w:rsidR="00F60792">
        <w:rPr>
          <w:rFonts w:asciiTheme="majorBidi" w:hAnsiTheme="majorBidi" w:cstheme="majorBidi"/>
          <w:sz w:val="24"/>
          <w:szCs w:val="24"/>
        </w:rPr>
        <w:t>28</w:t>
      </w:r>
      <w:r w:rsidR="00217F32">
        <w:rPr>
          <w:rFonts w:asciiTheme="majorBidi" w:hAnsiTheme="majorBidi" w:cstheme="majorBidi"/>
          <w:sz w:val="24"/>
          <w:szCs w:val="24"/>
        </w:rPr>
        <w:t xml:space="preserve">%) </w:t>
      </w:r>
      <w:r w:rsidR="003D782E">
        <w:rPr>
          <w:rFonts w:asciiTheme="majorBidi" w:hAnsiTheme="majorBidi" w:cstheme="majorBidi"/>
          <w:sz w:val="24"/>
          <w:szCs w:val="24"/>
        </w:rPr>
        <w:t>of</w:t>
      </w:r>
      <w:r w:rsidR="00217F32">
        <w:rPr>
          <w:rFonts w:asciiTheme="majorBidi" w:hAnsiTheme="majorBidi" w:cstheme="majorBidi"/>
          <w:sz w:val="24"/>
          <w:szCs w:val="24"/>
        </w:rPr>
        <w:t xml:space="preserve"> the samples from patients and healthy individuals, respectively. Moreover,</w:t>
      </w:r>
      <w:r w:rsidR="00D9225F">
        <w:rPr>
          <w:rFonts w:asciiTheme="majorBidi" w:hAnsiTheme="majorBidi" w:cstheme="majorBidi"/>
          <w:sz w:val="24"/>
          <w:szCs w:val="24"/>
        </w:rPr>
        <w:t xml:space="preserve"> the polymorphism was </w:t>
      </w:r>
      <w:r w:rsidR="00FE1C85">
        <w:rPr>
          <w:rFonts w:asciiTheme="majorBidi" w:hAnsiTheme="majorBidi" w:cstheme="majorBidi"/>
          <w:sz w:val="24"/>
          <w:szCs w:val="24"/>
        </w:rPr>
        <w:t>revealed</w:t>
      </w:r>
      <w:r w:rsidR="00D9225F">
        <w:rPr>
          <w:rFonts w:asciiTheme="majorBidi" w:hAnsiTheme="majorBidi" w:cstheme="majorBidi"/>
          <w:sz w:val="24"/>
          <w:szCs w:val="24"/>
        </w:rPr>
        <w:t xml:space="preserve"> as </w:t>
      </w:r>
      <w:r w:rsidR="003D782E">
        <w:rPr>
          <w:rFonts w:asciiTheme="majorBidi" w:hAnsiTheme="majorBidi" w:cstheme="majorBidi"/>
          <w:sz w:val="24"/>
          <w:szCs w:val="24"/>
        </w:rPr>
        <w:t xml:space="preserve">G/C </w:t>
      </w:r>
      <w:r w:rsidR="00FE1C85">
        <w:rPr>
          <w:rFonts w:asciiTheme="majorBidi" w:hAnsiTheme="majorBidi" w:cstheme="majorBidi"/>
          <w:sz w:val="24"/>
          <w:szCs w:val="24"/>
        </w:rPr>
        <w:t>(</w:t>
      </w:r>
      <w:r w:rsidR="003D782E">
        <w:rPr>
          <w:rFonts w:asciiTheme="majorBidi" w:hAnsiTheme="majorBidi" w:cstheme="majorBidi"/>
          <w:sz w:val="24"/>
          <w:szCs w:val="24"/>
        </w:rPr>
        <w:t>heterozygous</w:t>
      </w:r>
      <w:r w:rsidR="00FE1C85">
        <w:rPr>
          <w:rFonts w:asciiTheme="majorBidi" w:hAnsiTheme="majorBidi" w:cstheme="majorBidi"/>
          <w:sz w:val="24"/>
          <w:szCs w:val="24"/>
        </w:rPr>
        <w:t>)</w:t>
      </w:r>
      <w:r w:rsidR="003D782E">
        <w:rPr>
          <w:rFonts w:asciiTheme="majorBidi" w:hAnsiTheme="majorBidi" w:cstheme="majorBidi"/>
          <w:sz w:val="24"/>
          <w:szCs w:val="24"/>
        </w:rPr>
        <w:t xml:space="preserve"> in </w:t>
      </w:r>
      <w:r w:rsidR="00F60792">
        <w:rPr>
          <w:rFonts w:asciiTheme="majorBidi" w:hAnsiTheme="majorBidi" w:cstheme="majorBidi"/>
          <w:sz w:val="24"/>
          <w:szCs w:val="24"/>
        </w:rPr>
        <w:t>24</w:t>
      </w:r>
      <w:r w:rsidR="00D9225F">
        <w:rPr>
          <w:rFonts w:asciiTheme="majorBidi" w:hAnsiTheme="majorBidi" w:cstheme="majorBidi"/>
          <w:sz w:val="24"/>
          <w:szCs w:val="24"/>
        </w:rPr>
        <w:t xml:space="preserve"> (</w:t>
      </w:r>
      <w:r w:rsidR="00F60792">
        <w:rPr>
          <w:rFonts w:asciiTheme="majorBidi" w:hAnsiTheme="majorBidi" w:cstheme="majorBidi"/>
          <w:sz w:val="24"/>
          <w:szCs w:val="24"/>
        </w:rPr>
        <w:t>48</w:t>
      </w:r>
      <w:r w:rsidR="00D9225F">
        <w:rPr>
          <w:rFonts w:asciiTheme="majorBidi" w:hAnsiTheme="majorBidi" w:cstheme="majorBidi"/>
          <w:sz w:val="24"/>
          <w:szCs w:val="24"/>
        </w:rPr>
        <w:t xml:space="preserve">%) and </w:t>
      </w:r>
      <w:r w:rsidR="00F60792">
        <w:rPr>
          <w:rFonts w:asciiTheme="majorBidi" w:hAnsiTheme="majorBidi" w:cstheme="majorBidi"/>
          <w:sz w:val="24"/>
          <w:szCs w:val="24"/>
        </w:rPr>
        <w:t>14</w:t>
      </w:r>
      <w:r w:rsidR="00D9225F">
        <w:rPr>
          <w:rFonts w:asciiTheme="majorBidi" w:hAnsiTheme="majorBidi" w:cstheme="majorBidi"/>
          <w:sz w:val="24"/>
          <w:szCs w:val="24"/>
        </w:rPr>
        <w:t xml:space="preserve"> (</w:t>
      </w:r>
      <w:r w:rsidR="003D782E">
        <w:rPr>
          <w:rFonts w:asciiTheme="majorBidi" w:hAnsiTheme="majorBidi" w:cstheme="majorBidi"/>
          <w:sz w:val="24"/>
          <w:szCs w:val="24"/>
        </w:rPr>
        <w:t>2</w:t>
      </w:r>
      <w:r w:rsidR="00F60792">
        <w:rPr>
          <w:rFonts w:asciiTheme="majorBidi" w:hAnsiTheme="majorBidi" w:cstheme="majorBidi"/>
          <w:sz w:val="24"/>
          <w:szCs w:val="24"/>
        </w:rPr>
        <w:t>8</w:t>
      </w:r>
      <w:r w:rsidR="00D9225F">
        <w:rPr>
          <w:rFonts w:asciiTheme="majorBidi" w:hAnsiTheme="majorBidi" w:cstheme="majorBidi"/>
          <w:sz w:val="24"/>
          <w:szCs w:val="24"/>
        </w:rPr>
        <w:t xml:space="preserve">%) </w:t>
      </w:r>
      <w:r w:rsidR="003D782E">
        <w:rPr>
          <w:rFonts w:asciiTheme="majorBidi" w:hAnsiTheme="majorBidi" w:cstheme="majorBidi"/>
          <w:sz w:val="24"/>
          <w:szCs w:val="24"/>
        </w:rPr>
        <w:t>of</w:t>
      </w:r>
      <w:r w:rsidR="00D9225F">
        <w:rPr>
          <w:rFonts w:asciiTheme="majorBidi" w:hAnsiTheme="majorBidi" w:cstheme="majorBidi"/>
          <w:sz w:val="24"/>
          <w:szCs w:val="24"/>
        </w:rPr>
        <w:t xml:space="preserve"> the samples from patients and healthy individuals, respectively</w:t>
      </w:r>
      <w:r w:rsidR="003D782E">
        <w:rPr>
          <w:rFonts w:asciiTheme="majorBidi" w:hAnsiTheme="majorBidi" w:cstheme="majorBidi"/>
          <w:sz w:val="24"/>
          <w:szCs w:val="24"/>
        </w:rPr>
        <w:t>.</w:t>
      </w:r>
      <w:r w:rsidR="00FE1C85">
        <w:rPr>
          <w:rFonts w:asciiTheme="majorBidi" w:hAnsiTheme="majorBidi" w:cstheme="majorBidi"/>
          <w:sz w:val="24"/>
          <w:szCs w:val="24"/>
        </w:rPr>
        <w:t xml:space="preserve"> In addition, the occurrence of the polymorphism was identified as CC (homozygous) in </w:t>
      </w:r>
      <w:r w:rsidR="00F60792">
        <w:rPr>
          <w:rFonts w:asciiTheme="majorBidi" w:hAnsiTheme="majorBidi" w:cstheme="majorBidi"/>
          <w:sz w:val="24"/>
          <w:szCs w:val="24"/>
        </w:rPr>
        <w:t>18</w:t>
      </w:r>
      <w:r w:rsidR="00FE1C85">
        <w:rPr>
          <w:rFonts w:asciiTheme="majorBidi" w:hAnsiTheme="majorBidi" w:cstheme="majorBidi"/>
          <w:sz w:val="24"/>
          <w:szCs w:val="24"/>
        </w:rPr>
        <w:t xml:space="preserve"> (3</w:t>
      </w:r>
      <w:r w:rsidR="00F60792">
        <w:rPr>
          <w:rFonts w:asciiTheme="majorBidi" w:hAnsiTheme="majorBidi" w:cstheme="majorBidi"/>
          <w:sz w:val="24"/>
          <w:szCs w:val="24"/>
        </w:rPr>
        <w:t>6</w:t>
      </w:r>
      <w:r w:rsidR="00FE1C85">
        <w:rPr>
          <w:rFonts w:asciiTheme="majorBidi" w:hAnsiTheme="majorBidi" w:cstheme="majorBidi"/>
          <w:sz w:val="24"/>
          <w:szCs w:val="24"/>
        </w:rPr>
        <w:t>%) and 2</w:t>
      </w:r>
      <w:r w:rsidR="00F60792">
        <w:rPr>
          <w:rFonts w:asciiTheme="majorBidi" w:hAnsiTheme="majorBidi" w:cstheme="majorBidi"/>
          <w:sz w:val="24"/>
          <w:szCs w:val="24"/>
        </w:rPr>
        <w:t>2</w:t>
      </w:r>
      <w:r w:rsidR="00FE1C85">
        <w:rPr>
          <w:rFonts w:asciiTheme="majorBidi" w:hAnsiTheme="majorBidi" w:cstheme="majorBidi"/>
          <w:sz w:val="24"/>
          <w:szCs w:val="24"/>
        </w:rPr>
        <w:t xml:space="preserve"> (4</w:t>
      </w:r>
      <w:r w:rsidR="00F60792">
        <w:rPr>
          <w:rFonts w:asciiTheme="majorBidi" w:hAnsiTheme="majorBidi" w:cstheme="majorBidi"/>
          <w:sz w:val="24"/>
          <w:szCs w:val="24"/>
        </w:rPr>
        <w:t>4</w:t>
      </w:r>
      <w:r w:rsidR="00FE1C85">
        <w:rPr>
          <w:rFonts w:asciiTheme="majorBidi" w:hAnsiTheme="majorBidi" w:cstheme="majorBidi"/>
          <w:sz w:val="24"/>
          <w:szCs w:val="24"/>
        </w:rPr>
        <w:t xml:space="preserve">%) of the samples from patients and healthy individuals, respectively. </w:t>
      </w:r>
      <w:r w:rsidR="006F4612">
        <w:rPr>
          <w:rFonts w:asciiTheme="majorBidi" w:hAnsiTheme="majorBidi" w:cstheme="majorBidi"/>
          <w:sz w:val="24"/>
          <w:szCs w:val="24"/>
        </w:rPr>
        <w:t xml:space="preserve">The presence study reveals high relationship of the interleukin-6 polymorphism G/C (heterozygous) to the infection by </w:t>
      </w:r>
      <w:r w:rsidR="006F4612" w:rsidRPr="006F4612">
        <w:rPr>
          <w:rFonts w:asciiTheme="majorBidi" w:hAnsiTheme="majorBidi" w:cstheme="majorBidi"/>
          <w:i/>
          <w:iCs/>
          <w:sz w:val="24"/>
          <w:szCs w:val="24"/>
        </w:rPr>
        <w:t>Toxoplasma gondii</w:t>
      </w:r>
      <w:r w:rsidR="006F4612">
        <w:rPr>
          <w:rFonts w:asciiTheme="majorBidi" w:hAnsiTheme="majorBidi" w:cstheme="majorBidi"/>
          <w:sz w:val="24"/>
          <w:szCs w:val="24"/>
        </w:rPr>
        <w:t>.</w:t>
      </w:r>
    </w:p>
    <w:p w:rsidR="00B141DF" w:rsidRDefault="006F4612" w:rsidP="00446106">
      <w:pPr>
        <w:spacing w:line="480" w:lineRule="auto"/>
        <w:jc w:val="both"/>
        <w:rPr>
          <w:rFonts w:asciiTheme="majorBidi" w:hAnsiTheme="majorBidi" w:cstheme="majorBidi"/>
          <w:sz w:val="24"/>
          <w:szCs w:val="24"/>
        </w:rPr>
      </w:pPr>
      <w:r>
        <w:rPr>
          <w:rFonts w:asciiTheme="majorBidi" w:hAnsiTheme="majorBidi" w:cstheme="majorBidi"/>
          <w:b/>
          <w:bCs/>
          <w:sz w:val="24"/>
          <w:szCs w:val="24"/>
        </w:rPr>
        <w:t>Keywords</w:t>
      </w:r>
      <w:r>
        <w:rPr>
          <w:rFonts w:asciiTheme="majorBidi" w:hAnsiTheme="majorBidi" w:cstheme="majorBidi"/>
          <w:sz w:val="24"/>
          <w:szCs w:val="24"/>
        </w:rPr>
        <w:t>:</w:t>
      </w:r>
      <w:r w:rsidR="00B141DF">
        <w:rPr>
          <w:rFonts w:asciiTheme="majorBidi" w:hAnsiTheme="majorBidi" w:cstheme="majorBidi"/>
          <w:sz w:val="24"/>
          <w:szCs w:val="24"/>
        </w:rPr>
        <w:t xml:space="preserve"> Interleukin-6 polymorphism, </w:t>
      </w:r>
      <w:r w:rsidR="00603666">
        <w:rPr>
          <w:rFonts w:asciiTheme="majorBidi" w:hAnsiTheme="majorBidi" w:cstheme="majorBidi"/>
          <w:sz w:val="24"/>
          <w:szCs w:val="24"/>
        </w:rPr>
        <w:t>RFLP-</w:t>
      </w:r>
      <w:proofErr w:type="spellStart"/>
      <w:proofErr w:type="gramStart"/>
      <w:r w:rsidR="00603666">
        <w:rPr>
          <w:rFonts w:asciiTheme="majorBidi" w:hAnsiTheme="majorBidi" w:cstheme="majorBidi"/>
          <w:sz w:val="24"/>
          <w:szCs w:val="24"/>
        </w:rPr>
        <w:t>PCR,</w:t>
      </w:r>
      <w:r w:rsidR="00821DA0" w:rsidRPr="00821DA0">
        <w:rPr>
          <w:rFonts w:asciiTheme="majorBidi" w:hAnsiTheme="majorBidi" w:cstheme="majorBidi"/>
          <w:sz w:val="24"/>
          <w:szCs w:val="24"/>
        </w:rPr>
        <w:t>SNP</w:t>
      </w:r>
      <w:proofErr w:type="gramEnd"/>
      <w:r w:rsidR="00821DA0">
        <w:rPr>
          <w:rFonts w:asciiTheme="majorBidi" w:hAnsiTheme="majorBidi" w:cstheme="majorBidi"/>
          <w:sz w:val="24"/>
          <w:szCs w:val="24"/>
        </w:rPr>
        <w:t>,</w:t>
      </w:r>
      <w:r w:rsidR="00B141DF" w:rsidRPr="006F4612">
        <w:rPr>
          <w:rFonts w:asciiTheme="majorBidi" w:hAnsiTheme="majorBidi" w:cstheme="majorBidi"/>
          <w:i/>
          <w:iCs/>
          <w:sz w:val="24"/>
          <w:szCs w:val="24"/>
        </w:rPr>
        <w:t>Toxoplasmagondii</w:t>
      </w:r>
      <w:proofErr w:type="spellEnd"/>
      <w:r w:rsidR="00B141DF">
        <w:rPr>
          <w:rFonts w:asciiTheme="majorBidi" w:hAnsiTheme="majorBidi" w:cstheme="majorBidi"/>
          <w:sz w:val="24"/>
          <w:szCs w:val="24"/>
        </w:rPr>
        <w:t>, toxoplasmosis.</w:t>
      </w:r>
    </w:p>
    <w:p w:rsidR="00DE27B2" w:rsidRDefault="00DE27B2" w:rsidP="00446106">
      <w:pPr>
        <w:spacing w:line="480" w:lineRule="auto"/>
        <w:jc w:val="both"/>
        <w:rPr>
          <w:rFonts w:asciiTheme="majorBidi" w:hAnsiTheme="majorBidi" w:cstheme="majorBidi"/>
          <w:b/>
          <w:bCs/>
          <w:sz w:val="24"/>
          <w:szCs w:val="24"/>
        </w:rPr>
      </w:pPr>
    </w:p>
    <w:p w:rsidR="0079629D" w:rsidRDefault="00155ACF" w:rsidP="00446106">
      <w:pPr>
        <w:spacing w:line="480" w:lineRule="auto"/>
        <w:jc w:val="both"/>
        <w:rPr>
          <w:rFonts w:asciiTheme="majorBidi" w:hAnsiTheme="majorBidi" w:cstheme="majorBidi"/>
          <w:sz w:val="24"/>
          <w:szCs w:val="24"/>
        </w:rPr>
      </w:pPr>
      <w:r>
        <w:rPr>
          <w:rFonts w:asciiTheme="majorBidi" w:hAnsiTheme="majorBidi" w:cstheme="majorBidi"/>
          <w:b/>
          <w:bCs/>
          <w:sz w:val="24"/>
          <w:szCs w:val="24"/>
        </w:rPr>
        <w:lastRenderedPageBreak/>
        <w:t>Introduction</w:t>
      </w:r>
    </w:p>
    <w:p w:rsidR="00FE798B" w:rsidRDefault="00D820AD" w:rsidP="00D820AD">
      <w:pPr>
        <w:spacing w:line="480" w:lineRule="auto"/>
        <w:jc w:val="both"/>
        <w:rPr>
          <w:rFonts w:asciiTheme="majorBidi" w:hAnsiTheme="majorBidi" w:cstheme="majorBidi"/>
          <w:sz w:val="24"/>
          <w:szCs w:val="24"/>
        </w:rPr>
      </w:pPr>
      <w:r w:rsidRPr="00D820AD">
        <w:rPr>
          <w:rFonts w:asciiTheme="majorBidi" w:hAnsiTheme="majorBidi" w:cstheme="majorBidi"/>
          <w:sz w:val="24"/>
          <w:szCs w:val="24"/>
        </w:rPr>
        <w:t>The intracellular parasite of phyla Apicomplexa</w:t>
      </w:r>
      <w:r>
        <w:rPr>
          <w:rFonts w:asciiTheme="majorBidi" w:hAnsiTheme="majorBidi" w:cstheme="majorBidi"/>
          <w:sz w:val="24"/>
          <w:szCs w:val="24"/>
        </w:rPr>
        <w:t xml:space="preserve">, the </w:t>
      </w:r>
      <w:r w:rsidRPr="00D820AD">
        <w:rPr>
          <w:rFonts w:asciiTheme="majorBidi" w:hAnsiTheme="majorBidi" w:cstheme="majorBidi"/>
          <w:sz w:val="24"/>
          <w:szCs w:val="24"/>
        </w:rPr>
        <w:t xml:space="preserve">compulsory </w:t>
      </w:r>
      <w:proofErr w:type="spellStart"/>
      <w:proofErr w:type="gramStart"/>
      <w:r w:rsidRPr="00D820AD">
        <w:rPr>
          <w:rFonts w:asciiTheme="majorBidi" w:hAnsiTheme="majorBidi" w:cstheme="majorBidi"/>
          <w:i/>
          <w:iCs/>
          <w:sz w:val="24"/>
          <w:szCs w:val="24"/>
        </w:rPr>
        <w:t>T</w:t>
      </w:r>
      <w:r>
        <w:rPr>
          <w:rFonts w:asciiTheme="majorBidi" w:hAnsiTheme="majorBidi" w:cstheme="majorBidi"/>
          <w:sz w:val="24"/>
          <w:szCs w:val="24"/>
        </w:rPr>
        <w:t>.</w:t>
      </w:r>
      <w:r w:rsidRPr="00D820AD">
        <w:rPr>
          <w:rFonts w:asciiTheme="majorBidi" w:hAnsiTheme="majorBidi" w:cstheme="majorBidi"/>
          <w:i/>
          <w:iCs/>
          <w:sz w:val="24"/>
          <w:szCs w:val="24"/>
        </w:rPr>
        <w:t>gondii</w:t>
      </w:r>
      <w:proofErr w:type="spellEnd"/>
      <w:proofErr w:type="gramEnd"/>
      <w:r>
        <w:rPr>
          <w:rFonts w:asciiTheme="majorBidi" w:hAnsiTheme="majorBidi" w:cstheme="majorBidi"/>
          <w:sz w:val="24"/>
          <w:szCs w:val="24"/>
        </w:rPr>
        <w:t xml:space="preserve">, is </w:t>
      </w:r>
      <w:r w:rsidRPr="00D820AD">
        <w:rPr>
          <w:rFonts w:asciiTheme="majorBidi" w:hAnsiTheme="majorBidi" w:cstheme="majorBidi"/>
          <w:sz w:val="24"/>
          <w:szCs w:val="24"/>
        </w:rPr>
        <w:t xml:space="preserve">most recognized </w:t>
      </w:r>
      <w:proofErr w:type="spellStart"/>
      <w:r>
        <w:rPr>
          <w:rFonts w:asciiTheme="majorBidi" w:hAnsiTheme="majorBidi" w:cstheme="majorBidi"/>
          <w:sz w:val="24"/>
          <w:szCs w:val="24"/>
        </w:rPr>
        <w:t>inf</w:t>
      </w:r>
      <w:r w:rsidRPr="00D820AD">
        <w:rPr>
          <w:rFonts w:asciiTheme="majorBidi" w:hAnsiTheme="majorBidi" w:cstheme="majorBidi"/>
          <w:sz w:val="24"/>
          <w:szCs w:val="24"/>
        </w:rPr>
        <w:t>elids</w:t>
      </w:r>
      <w:proofErr w:type="spellEnd"/>
      <w:r w:rsidR="000E578B">
        <w:rPr>
          <w:rFonts w:asciiTheme="majorBidi" w:hAnsiTheme="majorBidi" w:cstheme="majorBidi"/>
          <w:sz w:val="24"/>
          <w:szCs w:val="24"/>
        </w:rPr>
        <w:t xml:space="preserve"> as final </w:t>
      </w:r>
      <w:proofErr w:type="spellStart"/>
      <w:r w:rsidR="000E578B">
        <w:rPr>
          <w:rFonts w:asciiTheme="majorBidi" w:hAnsiTheme="majorBidi" w:cstheme="majorBidi"/>
          <w:sz w:val="24"/>
          <w:szCs w:val="24"/>
        </w:rPr>
        <w:t>hosts</w:t>
      </w:r>
      <w:r w:rsidRPr="00D820AD">
        <w:rPr>
          <w:rFonts w:asciiTheme="majorBidi" w:hAnsiTheme="majorBidi" w:cstheme="majorBidi"/>
          <w:sz w:val="24"/>
          <w:szCs w:val="24"/>
        </w:rPr>
        <w:t>.</w:t>
      </w:r>
      <w:r w:rsidR="000E578B">
        <w:rPr>
          <w:rFonts w:asciiTheme="majorBidi" w:hAnsiTheme="majorBidi" w:cstheme="majorBidi"/>
          <w:sz w:val="24"/>
          <w:szCs w:val="24"/>
        </w:rPr>
        <w:t>However</w:t>
      </w:r>
      <w:proofErr w:type="spellEnd"/>
      <w:r w:rsidR="000E578B">
        <w:rPr>
          <w:rFonts w:asciiTheme="majorBidi" w:hAnsiTheme="majorBidi" w:cstheme="majorBidi"/>
          <w:sz w:val="24"/>
          <w:szCs w:val="24"/>
        </w:rPr>
        <w:t xml:space="preserve">, </w:t>
      </w:r>
      <w:r w:rsidRPr="00D820AD">
        <w:rPr>
          <w:rFonts w:asciiTheme="majorBidi" w:hAnsiTheme="majorBidi" w:cstheme="majorBidi"/>
          <w:i/>
          <w:iCs/>
          <w:sz w:val="24"/>
          <w:szCs w:val="24"/>
        </w:rPr>
        <w:t>T</w:t>
      </w:r>
      <w:r>
        <w:rPr>
          <w:rFonts w:asciiTheme="majorBidi" w:hAnsiTheme="majorBidi" w:cstheme="majorBidi"/>
          <w:sz w:val="24"/>
          <w:szCs w:val="24"/>
        </w:rPr>
        <w:t xml:space="preserve">. </w:t>
      </w:r>
      <w:r>
        <w:rPr>
          <w:rFonts w:asciiTheme="majorBidi" w:hAnsiTheme="majorBidi" w:cstheme="majorBidi"/>
          <w:i/>
          <w:iCs/>
          <w:sz w:val="24"/>
          <w:szCs w:val="24"/>
        </w:rPr>
        <w:t>g</w:t>
      </w:r>
      <w:r w:rsidRPr="00D820AD">
        <w:rPr>
          <w:rFonts w:asciiTheme="majorBidi" w:hAnsiTheme="majorBidi" w:cstheme="majorBidi"/>
          <w:i/>
          <w:iCs/>
          <w:sz w:val="24"/>
          <w:szCs w:val="24"/>
        </w:rPr>
        <w:t>ondii</w:t>
      </w:r>
      <w:r w:rsidRPr="00D820AD">
        <w:rPr>
          <w:rFonts w:asciiTheme="majorBidi" w:hAnsiTheme="majorBidi" w:cstheme="majorBidi"/>
          <w:sz w:val="24"/>
          <w:szCs w:val="24"/>
        </w:rPr>
        <w:t xml:space="preserve"> has a </w:t>
      </w:r>
      <w:r w:rsidR="000E578B">
        <w:rPr>
          <w:rFonts w:asciiTheme="majorBidi" w:hAnsiTheme="majorBidi" w:cstheme="majorBidi"/>
          <w:sz w:val="24"/>
          <w:szCs w:val="24"/>
        </w:rPr>
        <w:t xml:space="preserve">variety </w:t>
      </w:r>
      <w:proofErr w:type="spellStart"/>
      <w:r w:rsidR="000E578B">
        <w:rPr>
          <w:rFonts w:asciiTheme="majorBidi" w:hAnsiTheme="majorBidi" w:cstheme="majorBidi"/>
          <w:sz w:val="24"/>
          <w:szCs w:val="24"/>
        </w:rPr>
        <w:t>ofintermediate</w:t>
      </w:r>
      <w:r w:rsidRPr="00D820AD">
        <w:rPr>
          <w:rFonts w:asciiTheme="majorBidi" w:hAnsiTheme="majorBidi" w:cstheme="majorBidi"/>
          <w:sz w:val="24"/>
          <w:szCs w:val="24"/>
        </w:rPr>
        <w:t>host</w:t>
      </w:r>
      <w:r w:rsidR="000E578B">
        <w:rPr>
          <w:rFonts w:asciiTheme="majorBidi" w:hAnsiTheme="majorBidi" w:cstheme="majorBidi"/>
          <w:sz w:val="24"/>
          <w:szCs w:val="24"/>
        </w:rPr>
        <w:t>sof</w:t>
      </w:r>
      <w:proofErr w:type="spellEnd"/>
      <w:r w:rsidRPr="00D820AD">
        <w:rPr>
          <w:rFonts w:asciiTheme="majorBidi" w:hAnsiTheme="majorBidi" w:cstheme="majorBidi"/>
          <w:sz w:val="24"/>
          <w:szCs w:val="24"/>
        </w:rPr>
        <w:t xml:space="preserve"> the majority of warm-bl</w:t>
      </w:r>
      <w:r w:rsidR="000E578B">
        <w:rPr>
          <w:rFonts w:asciiTheme="majorBidi" w:hAnsiTheme="majorBidi" w:cstheme="majorBidi"/>
          <w:sz w:val="24"/>
          <w:szCs w:val="24"/>
        </w:rPr>
        <w:t>oode</w:t>
      </w:r>
      <w:r w:rsidRPr="00D820AD">
        <w:rPr>
          <w:rFonts w:asciiTheme="majorBidi" w:hAnsiTheme="majorBidi" w:cstheme="majorBidi"/>
          <w:sz w:val="24"/>
          <w:szCs w:val="24"/>
        </w:rPr>
        <w:t>d animals such as rodents</w:t>
      </w:r>
      <w:r w:rsidR="000E578B">
        <w:rPr>
          <w:rFonts w:asciiTheme="majorBidi" w:hAnsiTheme="majorBidi" w:cstheme="majorBidi"/>
          <w:sz w:val="24"/>
          <w:szCs w:val="24"/>
        </w:rPr>
        <w:t xml:space="preserve">, </w:t>
      </w:r>
      <w:r w:rsidR="000E578B" w:rsidRPr="00D820AD">
        <w:rPr>
          <w:rFonts w:asciiTheme="majorBidi" w:hAnsiTheme="majorBidi" w:cstheme="majorBidi"/>
          <w:sz w:val="24"/>
          <w:szCs w:val="24"/>
        </w:rPr>
        <w:t>birds,</w:t>
      </w:r>
      <w:r w:rsidRPr="00D820AD">
        <w:rPr>
          <w:rFonts w:asciiTheme="majorBidi" w:hAnsiTheme="majorBidi" w:cstheme="majorBidi"/>
          <w:sz w:val="24"/>
          <w:szCs w:val="24"/>
        </w:rPr>
        <w:t xml:space="preserve"> and human beings. In the majority of hosts, </w:t>
      </w:r>
      <w:r w:rsidR="000E578B">
        <w:rPr>
          <w:rFonts w:asciiTheme="majorBidi" w:hAnsiTheme="majorBidi" w:cstheme="majorBidi"/>
          <w:sz w:val="24"/>
          <w:szCs w:val="24"/>
        </w:rPr>
        <w:t xml:space="preserve">the parasite infects a wide-range </w:t>
      </w:r>
      <w:proofErr w:type="spellStart"/>
      <w:r w:rsidR="000E578B">
        <w:rPr>
          <w:rFonts w:asciiTheme="majorBidi" w:hAnsiTheme="majorBidi" w:cstheme="majorBidi"/>
          <w:sz w:val="24"/>
          <w:szCs w:val="24"/>
        </w:rPr>
        <w:t>of</w:t>
      </w:r>
      <w:r w:rsidRPr="00D820AD">
        <w:rPr>
          <w:rFonts w:asciiTheme="majorBidi" w:hAnsiTheme="majorBidi" w:cstheme="majorBidi"/>
          <w:sz w:val="24"/>
          <w:szCs w:val="24"/>
        </w:rPr>
        <w:t>tissues</w:t>
      </w:r>
      <w:r w:rsidR="000E578B">
        <w:rPr>
          <w:rFonts w:asciiTheme="majorBidi" w:hAnsiTheme="majorBidi" w:cstheme="majorBidi"/>
          <w:sz w:val="24"/>
          <w:szCs w:val="24"/>
        </w:rPr>
        <w:t>,leading</w:t>
      </w:r>
      <w:proofErr w:type="spellEnd"/>
      <w:r w:rsidR="000E578B">
        <w:rPr>
          <w:rFonts w:asciiTheme="majorBidi" w:hAnsiTheme="majorBidi" w:cstheme="majorBidi"/>
          <w:sz w:val="24"/>
          <w:szCs w:val="24"/>
        </w:rPr>
        <w:t xml:space="preserve"> to prolonged latent infections, </w:t>
      </w:r>
      <w:proofErr w:type="spellStart"/>
      <w:r w:rsidR="000E578B">
        <w:rPr>
          <w:rFonts w:asciiTheme="majorBidi" w:hAnsiTheme="majorBidi" w:cstheme="majorBidi"/>
          <w:sz w:val="24"/>
          <w:szCs w:val="24"/>
        </w:rPr>
        <w:t>affectingthe</w:t>
      </w:r>
      <w:r w:rsidRPr="00D820AD">
        <w:rPr>
          <w:rFonts w:asciiTheme="majorBidi" w:hAnsiTheme="majorBidi" w:cstheme="majorBidi"/>
          <w:sz w:val="24"/>
          <w:szCs w:val="24"/>
        </w:rPr>
        <w:t>brain</w:t>
      </w:r>
      <w:proofErr w:type="spellEnd"/>
      <w:r w:rsidRPr="00D820AD">
        <w:rPr>
          <w:rFonts w:asciiTheme="majorBidi" w:hAnsiTheme="majorBidi" w:cstheme="majorBidi"/>
          <w:sz w:val="24"/>
          <w:szCs w:val="24"/>
        </w:rPr>
        <w:t>, spinal cord</w:t>
      </w:r>
      <w:r w:rsidR="000E578B">
        <w:rPr>
          <w:rFonts w:asciiTheme="majorBidi" w:hAnsiTheme="majorBidi" w:cstheme="majorBidi"/>
          <w:sz w:val="24"/>
          <w:szCs w:val="24"/>
        </w:rPr>
        <w:t>,</w:t>
      </w:r>
      <w:r w:rsidRPr="00D820AD">
        <w:rPr>
          <w:rFonts w:asciiTheme="majorBidi" w:hAnsiTheme="majorBidi" w:cstheme="majorBidi"/>
          <w:sz w:val="24"/>
          <w:szCs w:val="24"/>
        </w:rPr>
        <w:t xml:space="preserve"> retina,</w:t>
      </w:r>
      <w:r w:rsidR="000E578B">
        <w:rPr>
          <w:rFonts w:asciiTheme="majorBidi" w:hAnsiTheme="majorBidi" w:cstheme="majorBidi"/>
          <w:sz w:val="24"/>
          <w:szCs w:val="24"/>
        </w:rPr>
        <w:t xml:space="preserve"> and cardiac and </w:t>
      </w:r>
      <w:r w:rsidRPr="00D820AD">
        <w:rPr>
          <w:rFonts w:asciiTheme="majorBidi" w:hAnsiTheme="majorBidi" w:cstheme="majorBidi"/>
          <w:sz w:val="24"/>
          <w:szCs w:val="24"/>
        </w:rPr>
        <w:t>skeletal muscle</w:t>
      </w:r>
      <w:r w:rsidR="000E578B">
        <w:rPr>
          <w:rFonts w:asciiTheme="majorBidi" w:hAnsiTheme="majorBidi" w:cstheme="majorBidi"/>
          <w:sz w:val="24"/>
          <w:szCs w:val="24"/>
        </w:rPr>
        <w:t xml:space="preserve">s </w:t>
      </w:r>
      <w:r w:rsidR="00814981">
        <w:rPr>
          <w:rFonts w:asciiTheme="majorBidi" w:hAnsiTheme="majorBidi" w:cstheme="majorBidi"/>
          <w:sz w:val="24"/>
          <w:szCs w:val="24"/>
        </w:rPr>
        <w:fldChar w:fldCharType="begin" w:fldLock="1"/>
      </w:r>
      <w:r w:rsidR="00800689">
        <w:rPr>
          <w:rFonts w:asciiTheme="majorBidi" w:hAnsiTheme="majorBidi" w:cstheme="majorBidi"/>
          <w:sz w:val="24"/>
          <w:szCs w:val="24"/>
        </w:rPr>
        <w:instrText>ADDIN CSL_CITATION {"citationItems":[{"id":"ITEM-1","itemData":{"DOI":"10.1371/journal.ppat.1006351","ISSN":"1553-7374","PMID":"28727854","abstract":"Toxoplasma gondii is one of the world's most successful parasites, in part because of its ability to infect and persist in most warm-blooded animals. A unique characteristic of T. gondii is its ability to persist in the central nervous system (CNS) of a variety of hosts, including humans and rodents. How, what, and why T. gondii encysts in the CNS has been the topic of study for decades. In this review, we will discuss recent work on how T. gondii is able to traverse the unique barrier surrounding the CNS, what cells of the CNS play host to T. gondii, and finally, how T. gondii infection may influence global and cellular physiology of the CNS.","author":[{"dropping-particle":"","family":"Mendez","given":"Oscar A","non-dropping-particle":"","parse-names":false,"suffix":""},{"dropping-particle":"","family":"Koshy","given":"Anita A","non-dropping-particle":"","parse-names":false,"suffix":""}],"container-title":"PLoS pathogens","id":"ITEM-1","issue":"7","issued":{"date-parts":[["2017","7"]]},"page":"e1006351","publisher":"Public Library of Science","title":"Toxoplasma gondii: Entry, association, and physiological influence on the central nervous system.","type":"article-journal","volume":"13"},"uris":["http://www.mendeley.com/documents/?uuid=df8234ed-d296-30cf-9b8b-32237bef9e63"]}],"mendeley":{"formattedCitation":"(Mendez and Koshy, 2017)","plainTextFormattedCitation":"(Mendez and Koshy, 2017)","previouslyFormattedCitation":"(Mendez and Koshy, 2017)"},"properties":{"noteIndex":0},"schema":"https://github.com/citation-style-language/schema/raw/master/csl-citation.json"}</w:instrText>
      </w:r>
      <w:r w:rsidR="00814981">
        <w:rPr>
          <w:rFonts w:asciiTheme="majorBidi" w:hAnsiTheme="majorBidi" w:cstheme="majorBidi"/>
          <w:sz w:val="24"/>
          <w:szCs w:val="24"/>
        </w:rPr>
        <w:fldChar w:fldCharType="separate"/>
      </w:r>
      <w:r w:rsidR="003D4E9F" w:rsidRPr="003D4E9F">
        <w:rPr>
          <w:rFonts w:asciiTheme="majorBidi" w:hAnsiTheme="majorBidi" w:cstheme="majorBidi"/>
          <w:noProof/>
          <w:sz w:val="24"/>
          <w:szCs w:val="24"/>
        </w:rPr>
        <w:t>(Mendez and Koshy, 2017)</w:t>
      </w:r>
      <w:r w:rsidR="00814981">
        <w:rPr>
          <w:rFonts w:asciiTheme="majorBidi" w:hAnsiTheme="majorBidi" w:cstheme="majorBidi"/>
          <w:sz w:val="24"/>
          <w:szCs w:val="24"/>
        </w:rPr>
        <w:fldChar w:fldCharType="end"/>
      </w:r>
      <w:r w:rsidRPr="00D820AD">
        <w:rPr>
          <w:rFonts w:asciiTheme="majorBidi" w:hAnsiTheme="majorBidi" w:cstheme="majorBidi"/>
          <w:sz w:val="24"/>
          <w:szCs w:val="24"/>
        </w:rPr>
        <w:t>.</w:t>
      </w:r>
    </w:p>
    <w:p w:rsidR="00800689" w:rsidRDefault="00421E9C" w:rsidP="00D820AD">
      <w:pPr>
        <w:spacing w:line="480" w:lineRule="auto"/>
        <w:jc w:val="both"/>
        <w:rPr>
          <w:rFonts w:asciiTheme="majorBidi" w:hAnsiTheme="majorBidi" w:cstheme="majorBidi"/>
          <w:sz w:val="24"/>
          <w:szCs w:val="24"/>
        </w:rPr>
      </w:pPr>
      <w:r w:rsidRPr="00421E9C">
        <w:rPr>
          <w:rFonts w:asciiTheme="majorBidi" w:hAnsiTheme="majorBidi" w:cstheme="majorBidi"/>
          <w:sz w:val="24"/>
          <w:szCs w:val="24"/>
        </w:rPr>
        <w:t xml:space="preserve">The main source of </w:t>
      </w:r>
      <w:r w:rsidRPr="00421E9C">
        <w:rPr>
          <w:rFonts w:asciiTheme="majorBidi" w:hAnsiTheme="majorBidi" w:cstheme="majorBidi"/>
          <w:i/>
          <w:iCs/>
          <w:sz w:val="24"/>
          <w:szCs w:val="24"/>
        </w:rPr>
        <w:t>T. gondii</w:t>
      </w:r>
      <w:r w:rsidRPr="00421E9C">
        <w:rPr>
          <w:rFonts w:asciiTheme="majorBidi" w:hAnsiTheme="majorBidi" w:cstheme="majorBidi"/>
          <w:sz w:val="24"/>
          <w:szCs w:val="24"/>
        </w:rPr>
        <w:t xml:space="preserve"> is food or water that contains the infective stage of the parasite or vertical transmission. Seroprevalence incidence rates are observed globally and recognized as from &lt;10% to &gt;60%. In acute infections, </w:t>
      </w:r>
      <w:r w:rsidRPr="00421E9C">
        <w:rPr>
          <w:rFonts w:asciiTheme="majorBidi" w:hAnsiTheme="majorBidi" w:cstheme="majorBidi"/>
          <w:i/>
          <w:iCs/>
          <w:sz w:val="24"/>
          <w:szCs w:val="24"/>
        </w:rPr>
        <w:t>Gondii</w:t>
      </w:r>
      <w:r w:rsidRPr="00421E9C">
        <w:rPr>
          <w:rFonts w:asciiTheme="majorBidi" w:hAnsiTheme="majorBidi" w:cstheme="majorBidi"/>
          <w:sz w:val="24"/>
          <w:szCs w:val="24"/>
        </w:rPr>
        <w:t xml:space="preserve"> spreads the quickly-replicating stage of the protozoan as a tachyzoite via the host, which is the target of the </w:t>
      </w:r>
      <w:r w:rsidR="0040042A">
        <w:rPr>
          <w:rFonts w:asciiTheme="majorBidi" w:hAnsiTheme="majorBidi" w:cstheme="majorBidi"/>
          <w:sz w:val="24"/>
          <w:szCs w:val="24"/>
        </w:rPr>
        <w:t xml:space="preserve">host </w:t>
      </w:r>
      <w:r w:rsidRPr="00421E9C">
        <w:rPr>
          <w:rFonts w:asciiTheme="majorBidi" w:hAnsiTheme="majorBidi" w:cstheme="majorBidi"/>
          <w:sz w:val="24"/>
          <w:szCs w:val="24"/>
        </w:rPr>
        <w:t xml:space="preserve">immune </w:t>
      </w:r>
      <w:r w:rsidR="0040042A">
        <w:rPr>
          <w:rFonts w:asciiTheme="majorBidi" w:hAnsiTheme="majorBidi" w:cstheme="majorBidi"/>
          <w:sz w:val="24"/>
          <w:szCs w:val="24"/>
        </w:rPr>
        <w:t>machinery</w:t>
      </w:r>
      <w:r w:rsidRPr="00421E9C">
        <w:rPr>
          <w:rFonts w:asciiTheme="majorBidi" w:hAnsiTheme="majorBidi" w:cstheme="majorBidi"/>
          <w:sz w:val="24"/>
          <w:szCs w:val="24"/>
        </w:rPr>
        <w:t xml:space="preserve">. As the disease progresses, the parasite is transported to a slowly replicating stage, bradyzoite, encyst form, generating the chronic infection. There are several </w:t>
      </w:r>
      <w:r w:rsidR="00534960">
        <w:rPr>
          <w:rFonts w:asciiTheme="majorBidi" w:hAnsiTheme="majorBidi" w:cstheme="majorBidi"/>
          <w:sz w:val="24"/>
          <w:szCs w:val="24"/>
        </w:rPr>
        <w:t>transformations</w:t>
      </w:r>
      <w:r w:rsidRPr="00421E9C">
        <w:rPr>
          <w:rFonts w:asciiTheme="majorBidi" w:hAnsiTheme="majorBidi" w:cstheme="majorBidi"/>
          <w:sz w:val="24"/>
          <w:szCs w:val="24"/>
        </w:rPr>
        <w:t xml:space="preserve"> between the two forms making difficulties for the immune system to recognize the bradyzoite/cyst</w:t>
      </w:r>
      <w:r w:rsidR="00814981">
        <w:rPr>
          <w:rFonts w:asciiTheme="majorBidi" w:hAnsiTheme="majorBidi" w:cstheme="majorBidi"/>
          <w:sz w:val="24"/>
          <w:szCs w:val="24"/>
        </w:rPr>
        <w:fldChar w:fldCharType="begin" w:fldLock="1"/>
      </w:r>
      <w:r w:rsidR="00DF4760">
        <w:rPr>
          <w:rFonts w:asciiTheme="majorBidi" w:hAnsiTheme="majorBidi" w:cstheme="majorBidi"/>
          <w:sz w:val="24"/>
          <w:szCs w:val="24"/>
        </w:rPr>
        <w:instrText>ADDIN CSL_CITATION {"citationItems":[{"id":"ITEM-1","itemData":{"DOI":"10.1016/j.ijpara.2009.04.003","ISSN":"00207519","PMID":"19433092","abstract":"Toxoplasma gondii's importance for humans refers mainly to primary infection during pregnancy, resulting in abortion/stillbirth or congenital toxoplasmosis. The authors sought to evaluate the current global status of T. gondii seroprevalence and its correlations with risk factors, environmental and socioeconomic parameters. Literature published during the last decade on toxoplasmosis seroprevalence, in women who were pregnant or of childbearing age, was retrieved. A total of 99 studies were eligible; a further 36 studies offered seroprevalence data from regions/countries for which no data on pregnancy/childbearing age were available. Foci of high prevalence exist in Latin America, parts of Eastern/Central Europe, the Middle East, parts of south-east Asia and Africa. Regional seroprevalence variations relate to individual subpopulations' religious and socioeconomic practices. A trend towards lower seroprevalence is observed in many European countries and the United States of America (USA). There is no obvious climate-related gradient, excluding North and Latin America. Immigration has affected local prevalence in certain countries. We further sought to recognise specific risk factors related to seropositivity; however, such risk factors are not reported systematically. Population awareness may affect recognition of said risks. Global toxoplasmosis seroprevalence is continuingly evolving, subject to regional socioeconomic parameters and population habits. Awareness of these seroprevalence trends, particularly in the case of women of childbearing age, may allow proper public health policies to be enforced, targeting in particular seronegative women of childbearing age in high seroprevalence areas.","author":[{"dropping-particle":"","family":"Pappas","given":"Georgios","non-dropping-particle":"","parse-names":false,"suffix":""},{"dropping-particle":"","family":"Roussos","given":"Nikos","non-dropping-particle":"","parse-names":false,"suffix":""},{"dropping-particle":"","family":"Falagas","given":"Matthew E.","non-dropping-particle":"","parse-names":false,"suffix":""}],"container-title":"International Journal for Parasitology","id":"ITEM-1","issue":"12","issued":{"date-parts":[["2009","10"]]},"page":"1385-1394","title":"Toxoplasmosis snapshots: Global status of Toxoplasma gondii seroprevalence and implications for pregnancy and congenital toxoplasmosis","type":"article-journal","volume":"39"},"uris":["http://www.mendeley.com/documents/?uuid=0e263652-f78f-33e0-956b-5c7ef5772ccb"]},{"id":"ITEM-2","itemData":{"DOI":"10.4049/jimmunol.174.12.8038","ISSN":"0022-1767","PMID":"15944311","abstract":"Toxoplasma persists in the face of a functional immune system. This success critically depends on the ability of parasites to activate a strong adaptive immune response during acute infection with tachyzoites that eliminates most of the parasites and to undergo stage conversion to bradyzoites that encyst and persist predominantly in the brain. A dramatic change in antigenic composition occurs during stage conversion, such that tachyzoites and bradyzoites express closely related but antigenically distinct sets of surface Ags belonging to the surface Ag 1 (SAG1)-related sequence (SRS) family. To test the contribution of this antigenic switch to parasite persistence, we engineered parasites to constitutively express the normally bradyzoite-specific SRS9 (SRS9(c)) mutants and tachyzoite-specific SAG1 (SAG1(c)) mutants. SRS9(c) but not wild-type parasites elicited a SRS9-specific immune response marked by IFN-gamma production, suggesting that stage-specificity of SRS Ags determines their immunogenicity in infection. The induction of a SRS9-specific immune response correlated with a continual decrease in the number of SRS9(c) cysts persisting in the brain. In contrast, SAG1(c) mutants produced reduced brain cyst loads early in chronic infection, but these substantially increased over time accompanying a hyperproduction of IFN-gamma, TNF-alpha, and IL-10, and severe encephalitis. We conclude that stage-specific expression of SRS Ags is among the key mechanisms by which optimal parasite persistency is established and maintained.","author":[{"dropping-particle":"","family":"Kim","given":"Seon-Kyeong","non-dropping-particle":"","parse-names":false,"suffix":""},{"dropping-particle":"","family":"Boothroyd","given":"John C.","non-dropping-particle":"","parse-names":false,"suffix":""}],"container-title":"The Journal of Immunology","id":"ITEM-2","issue":"12","issued":{"date-parts":[["2005","6","15"]]},"page":"8038-8048","title":"Stage-Specific Expression of Surface Antigens by &lt;i&gt;Toxoplasma gondii&lt;/i&gt; as a Mechanism to Facilitate Parasite Persistence","type":"article-journal","volume":"174"},"uris":["http://www.mendeley.com/documents/?uuid=1f0d589a-75b6-395f-bbc1-1615fe9b8951"]}],"mendeley":{"formattedCitation":"(Kim and Boothroyd, 2005; Pappas, Roussos and Falagas, 2009)","plainTextFormattedCitation":"(Kim and Boothroyd, 2005; Pappas, Roussos and Falagas, 2009)","previouslyFormattedCitation":"(Kim and Boothroyd, 2005; Pappas, Roussos and Falagas, 2009)"},"properties":{"noteIndex":0},"schema":"https://github.com/citation-style-language/schema/raw/master/csl-citation.json"}</w:instrText>
      </w:r>
      <w:r w:rsidR="00814981">
        <w:rPr>
          <w:rFonts w:asciiTheme="majorBidi" w:hAnsiTheme="majorBidi" w:cstheme="majorBidi"/>
          <w:sz w:val="24"/>
          <w:szCs w:val="24"/>
        </w:rPr>
        <w:fldChar w:fldCharType="separate"/>
      </w:r>
      <w:r w:rsidR="00534960" w:rsidRPr="00534960">
        <w:rPr>
          <w:rFonts w:asciiTheme="majorBidi" w:hAnsiTheme="majorBidi" w:cstheme="majorBidi"/>
          <w:noProof/>
          <w:sz w:val="24"/>
          <w:szCs w:val="24"/>
        </w:rPr>
        <w:t>(Kim and Boothroyd, 2005; Pappas, Roussos and Falagas, 2009)</w:t>
      </w:r>
      <w:r w:rsidR="00814981">
        <w:rPr>
          <w:rFonts w:asciiTheme="majorBidi" w:hAnsiTheme="majorBidi" w:cstheme="majorBidi"/>
          <w:sz w:val="24"/>
          <w:szCs w:val="24"/>
        </w:rPr>
        <w:fldChar w:fldCharType="end"/>
      </w:r>
      <w:r w:rsidRPr="00421E9C">
        <w:rPr>
          <w:rFonts w:asciiTheme="majorBidi" w:hAnsiTheme="majorBidi" w:cstheme="majorBidi"/>
          <w:sz w:val="24"/>
          <w:szCs w:val="24"/>
        </w:rPr>
        <w:t>.</w:t>
      </w:r>
    </w:p>
    <w:p w:rsidR="009C255E" w:rsidRDefault="004C034E" w:rsidP="00D820AD">
      <w:pPr>
        <w:spacing w:line="480" w:lineRule="auto"/>
        <w:jc w:val="both"/>
        <w:rPr>
          <w:rFonts w:asciiTheme="majorBidi" w:hAnsiTheme="majorBidi" w:cstheme="majorBidi"/>
          <w:sz w:val="24"/>
          <w:szCs w:val="24"/>
        </w:rPr>
      </w:pPr>
      <w:r w:rsidRPr="004C034E">
        <w:rPr>
          <w:rFonts w:asciiTheme="majorBidi" w:hAnsiTheme="majorBidi" w:cstheme="majorBidi"/>
          <w:sz w:val="24"/>
          <w:szCs w:val="24"/>
        </w:rPr>
        <w:t xml:space="preserve">IL-6 is </w:t>
      </w:r>
      <w:r>
        <w:rPr>
          <w:rFonts w:asciiTheme="majorBidi" w:hAnsiTheme="majorBidi" w:cstheme="majorBidi"/>
          <w:sz w:val="24"/>
          <w:szCs w:val="24"/>
        </w:rPr>
        <w:t xml:space="preserve">known for its important in the toxoplasmosis reinfection as an anti-parasite immune </w:t>
      </w:r>
      <w:proofErr w:type="spellStart"/>
      <w:r>
        <w:rPr>
          <w:rFonts w:asciiTheme="majorBidi" w:hAnsiTheme="majorBidi" w:cstheme="majorBidi"/>
          <w:sz w:val="24"/>
          <w:szCs w:val="24"/>
        </w:rPr>
        <w:t>response</w:t>
      </w:r>
      <w:r w:rsidRPr="004C034E">
        <w:rPr>
          <w:rFonts w:asciiTheme="majorBidi" w:hAnsiTheme="majorBidi" w:cstheme="majorBidi"/>
          <w:sz w:val="24"/>
          <w:szCs w:val="24"/>
        </w:rPr>
        <w:t>.</w:t>
      </w:r>
      <w:r w:rsidR="00ED76F5">
        <w:rPr>
          <w:rFonts w:asciiTheme="majorBidi" w:hAnsiTheme="majorBidi" w:cstheme="majorBidi"/>
          <w:sz w:val="24"/>
          <w:szCs w:val="24"/>
        </w:rPr>
        <w:t>However</w:t>
      </w:r>
      <w:proofErr w:type="spellEnd"/>
      <w:r w:rsidR="00ED76F5">
        <w:rPr>
          <w:rFonts w:asciiTheme="majorBidi" w:hAnsiTheme="majorBidi" w:cstheme="majorBidi"/>
          <w:sz w:val="24"/>
          <w:szCs w:val="24"/>
        </w:rPr>
        <w:t xml:space="preserve">, disturbances of </w:t>
      </w:r>
      <w:proofErr w:type="spellStart"/>
      <w:r w:rsidR="00ED76F5">
        <w:rPr>
          <w:rFonts w:asciiTheme="majorBidi" w:hAnsiTheme="majorBidi" w:cstheme="majorBidi"/>
          <w:sz w:val="24"/>
          <w:szCs w:val="24"/>
        </w:rPr>
        <w:t>thesignaling</w:t>
      </w:r>
      <w:proofErr w:type="spellEnd"/>
      <w:r w:rsidR="00ED76F5">
        <w:rPr>
          <w:rFonts w:asciiTheme="majorBidi" w:hAnsiTheme="majorBidi" w:cstheme="majorBidi"/>
          <w:sz w:val="24"/>
          <w:szCs w:val="24"/>
        </w:rPr>
        <w:t xml:space="preserve"> of the </w:t>
      </w:r>
      <w:r w:rsidR="00ED76F5" w:rsidRPr="00ED76F5">
        <w:rPr>
          <w:rFonts w:asciiTheme="majorBidi" w:hAnsiTheme="majorBidi" w:cstheme="majorBidi"/>
          <w:sz w:val="24"/>
          <w:szCs w:val="24"/>
        </w:rPr>
        <w:t xml:space="preserve">IL-6 </w:t>
      </w:r>
      <w:r w:rsidR="00ED76F5">
        <w:rPr>
          <w:rFonts w:asciiTheme="majorBidi" w:hAnsiTheme="majorBidi" w:cstheme="majorBidi"/>
          <w:sz w:val="24"/>
          <w:szCs w:val="24"/>
        </w:rPr>
        <w:t>via</w:t>
      </w:r>
      <w:r w:rsidR="00ED76F5" w:rsidRPr="00ED76F5">
        <w:rPr>
          <w:rFonts w:asciiTheme="majorBidi" w:hAnsiTheme="majorBidi" w:cstheme="majorBidi"/>
          <w:sz w:val="24"/>
          <w:szCs w:val="24"/>
        </w:rPr>
        <w:t xml:space="preserve"> the receptor subunit</w:t>
      </w:r>
      <w:r w:rsidR="00ED76F5">
        <w:rPr>
          <w:rFonts w:asciiTheme="majorBidi" w:hAnsiTheme="majorBidi" w:cstheme="majorBidi"/>
          <w:sz w:val="24"/>
          <w:szCs w:val="24"/>
        </w:rPr>
        <w:t xml:space="preserve">, </w:t>
      </w:r>
      <w:r w:rsidR="00ED76F5" w:rsidRPr="00ED76F5">
        <w:rPr>
          <w:rFonts w:asciiTheme="majorBidi" w:hAnsiTheme="majorBidi" w:cstheme="majorBidi"/>
          <w:sz w:val="24"/>
          <w:szCs w:val="24"/>
        </w:rPr>
        <w:t>gp130</w:t>
      </w:r>
      <w:r w:rsidR="00ED76F5">
        <w:rPr>
          <w:rFonts w:asciiTheme="majorBidi" w:hAnsiTheme="majorBidi" w:cstheme="majorBidi"/>
          <w:sz w:val="24"/>
          <w:szCs w:val="24"/>
        </w:rPr>
        <w:t>,</w:t>
      </w:r>
      <w:r w:rsidR="00ED76F5" w:rsidRPr="00ED76F5">
        <w:rPr>
          <w:rFonts w:asciiTheme="majorBidi" w:hAnsiTheme="majorBidi" w:cstheme="majorBidi"/>
          <w:sz w:val="24"/>
          <w:szCs w:val="24"/>
        </w:rPr>
        <w:t xml:space="preserve"> could </w:t>
      </w:r>
      <w:r w:rsidR="00ED76F5">
        <w:rPr>
          <w:rFonts w:asciiTheme="majorBidi" w:hAnsiTheme="majorBidi" w:cstheme="majorBidi"/>
          <w:sz w:val="24"/>
          <w:szCs w:val="24"/>
        </w:rPr>
        <w:t>introduce</w:t>
      </w:r>
      <w:r w:rsidR="00ED76F5" w:rsidRPr="00ED76F5">
        <w:rPr>
          <w:rFonts w:asciiTheme="majorBidi" w:hAnsiTheme="majorBidi" w:cstheme="majorBidi"/>
          <w:sz w:val="24"/>
          <w:szCs w:val="24"/>
        </w:rPr>
        <w:t xml:space="preserve"> IL-6 a</w:t>
      </w:r>
      <w:r w:rsidR="00ED76F5">
        <w:rPr>
          <w:rFonts w:asciiTheme="majorBidi" w:hAnsiTheme="majorBidi" w:cstheme="majorBidi"/>
          <w:sz w:val="24"/>
          <w:szCs w:val="24"/>
        </w:rPr>
        <w:t xml:space="preserve">s </w:t>
      </w:r>
      <w:proofErr w:type="spellStart"/>
      <w:r w:rsidR="00ED76F5">
        <w:rPr>
          <w:rFonts w:asciiTheme="majorBidi" w:hAnsiTheme="majorBidi" w:cstheme="majorBidi"/>
          <w:sz w:val="24"/>
          <w:szCs w:val="24"/>
        </w:rPr>
        <w:t>a</w:t>
      </w:r>
      <w:r w:rsidR="0040042A">
        <w:rPr>
          <w:rFonts w:asciiTheme="majorBidi" w:hAnsiTheme="majorBidi" w:cstheme="majorBidi"/>
          <w:sz w:val="24"/>
          <w:szCs w:val="24"/>
        </w:rPr>
        <w:t>disease</w:t>
      </w:r>
      <w:r w:rsidR="00ED76F5">
        <w:rPr>
          <w:rFonts w:asciiTheme="majorBidi" w:hAnsiTheme="majorBidi" w:cstheme="majorBidi"/>
          <w:sz w:val="24"/>
          <w:szCs w:val="24"/>
        </w:rPr>
        <w:t>risk</w:t>
      </w:r>
      <w:r w:rsidR="0040042A">
        <w:rPr>
          <w:rFonts w:asciiTheme="majorBidi" w:hAnsiTheme="majorBidi" w:cstheme="majorBidi"/>
          <w:sz w:val="24"/>
          <w:szCs w:val="24"/>
        </w:rPr>
        <w:t>precursor</w:t>
      </w:r>
      <w:proofErr w:type="spellEnd"/>
      <w:r w:rsidR="00ED76F5">
        <w:rPr>
          <w:rFonts w:asciiTheme="majorBidi" w:hAnsiTheme="majorBidi" w:cstheme="majorBidi"/>
          <w:sz w:val="24"/>
          <w:szCs w:val="24"/>
        </w:rPr>
        <w:t xml:space="preserve"> instead of its protective role </w:t>
      </w:r>
      <w:r w:rsidR="00814981">
        <w:rPr>
          <w:rFonts w:asciiTheme="majorBidi" w:hAnsiTheme="majorBidi" w:cstheme="majorBidi"/>
          <w:sz w:val="24"/>
          <w:szCs w:val="24"/>
        </w:rPr>
        <w:fldChar w:fldCharType="begin" w:fldLock="1"/>
      </w:r>
      <w:r w:rsidR="006D1D04">
        <w:rPr>
          <w:rFonts w:asciiTheme="majorBidi" w:hAnsiTheme="majorBidi" w:cstheme="majorBidi"/>
          <w:sz w:val="24"/>
          <w:szCs w:val="24"/>
        </w:rPr>
        <w:instrText>ADDIN CSL_CITATION {"citationItems":[{"id":"ITEM-1","itemData":{"DOI":"10.1016/j.ajpath.2012.03.029","ISSN":"00029440","PMID":"22640806","abstract":"The obligate intracellular parasite Toxoplasma gondii infects and persists within neurons of approximately one-third of the human population. Intracerebral control of T. gondii largely depends on interferon (IFN)-γ-producing T cells, which induce antiparasitic effector mechanisms in infected cells, as well as immunosuppressive cytokines, which prevent immunopathology. To gain further insight into the role of neurons in Toxoplasma encephalitis (TE), we generated C57BL/6 synapsin-I (Syn)-Cre gp130(fl/fl) mice, which lack gp130, the signal-transducing receptor for the IL-6 family of cytokines, in their neurons. On infection with T. gondii, Syn-Cre gp130(fl/fl) mice failed to control T. gondii infection and died of necrotizing TE before day 77. In contrast, gp130(fl/fl) control mice efficiently restricted parasite replication and survived the infection. TE in Syn-Cre gp130(fl/fl) mice was characterized by a hyperinflammatory immune response with increased numbers of IL-17- and IFN-γ-producing CD4 and CD8 T cells but reduced intracerebral production of immunosuppressive transforming growth factor (TGF)-β and IL-27. Additional in vitro experiments found that IL-6 stimulation of neurons induced gp130-dependent TGF-β1, TGF-β2, and IL-27 production. Importantly, gp130 expression and stimulation with IL-6 cytokine family members also reduced death and apoptosis of infected cultured neurons. Correspondingly, TE in Syn-Cre gp130(fl/fl) but not gp130(fl/fl) mice was characterized by progressive neuronal loss. Collectively, these findings indicate a crucial protective function of gp130-expressing neurons in a model of chronic encephalitis.","author":[{"dropping-particle":"","family":"Händel","given":"Ulrike","non-dropping-particle":"","parse-names":false,"suffix":""},{"dropping-particle":"","family":"Brunn","given":"Anna","non-dropping-particle":"","parse-names":false,"suffix":""},{"dropping-particle":"","family":"Drögemüller","given":"Katrin","non-dropping-particle":"","parse-names":false,"suffix":""},{"dropping-particle":"","family":"Müller","given":"Werner","non-dropping-particle":"","parse-names":false,"suffix":""},{"dropping-particle":"","family":"Deckert","given":"Martina","non-dropping-particle":"","parse-names":false,"suffix":""},{"dropping-particle":"","family":"Schlüter","given":"Dirk","non-dropping-particle":"","parse-names":false,"suffix":""}],"container-title":"The American Journal of Pathology","id":"ITEM-1","issue":"1","issued":{"date-parts":[["2012","7"]]},"page":"163-173","title":"Neuronal gp130 Expression Is Crucial to Prevent Neuronal Loss, Hyperinflammation, and Lethal Course of Murine Toxoplasma Encephalitis","type":"article-journal","volume":"181"},"uris":["http://www.mendeley.com/documents/?uuid=ece300b4-828c-3f86-89b7-2d26058df607"]}],"mendeley":{"formattedCitation":"(Händel &lt;i&gt;et al.&lt;/i&gt;, 2012)","plainTextFormattedCitation":"(Händel et al., 2012)","previouslyFormattedCitation":"(Händel &lt;i&gt;et al.&lt;/i&gt;, 2012)"},"properties":{"noteIndex":0},"schema":"https://github.com/citation-style-language/schema/raw/master/csl-citation.json"}</w:instrText>
      </w:r>
      <w:r w:rsidR="00814981">
        <w:rPr>
          <w:rFonts w:asciiTheme="majorBidi" w:hAnsiTheme="majorBidi" w:cstheme="majorBidi"/>
          <w:sz w:val="24"/>
          <w:szCs w:val="24"/>
        </w:rPr>
        <w:fldChar w:fldCharType="separate"/>
      </w:r>
      <w:r w:rsidR="00DF4760" w:rsidRPr="00DF4760">
        <w:rPr>
          <w:rFonts w:asciiTheme="majorBidi" w:hAnsiTheme="majorBidi" w:cstheme="majorBidi"/>
          <w:noProof/>
          <w:sz w:val="24"/>
          <w:szCs w:val="24"/>
        </w:rPr>
        <w:t xml:space="preserve">(Händel </w:t>
      </w:r>
      <w:r w:rsidR="00DF4760" w:rsidRPr="00DF4760">
        <w:rPr>
          <w:rFonts w:asciiTheme="majorBidi" w:hAnsiTheme="majorBidi" w:cstheme="majorBidi"/>
          <w:i/>
          <w:noProof/>
          <w:sz w:val="24"/>
          <w:szCs w:val="24"/>
        </w:rPr>
        <w:t>et al.</w:t>
      </w:r>
      <w:r w:rsidR="00DF4760" w:rsidRPr="00DF4760">
        <w:rPr>
          <w:rFonts w:asciiTheme="majorBidi" w:hAnsiTheme="majorBidi" w:cstheme="majorBidi"/>
          <w:noProof/>
          <w:sz w:val="24"/>
          <w:szCs w:val="24"/>
        </w:rPr>
        <w:t>, 2012)</w:t>
      </w:r>
      <w:r w:rsidR="00814981">
        <w:rPr>
          <w:rFonts w:asciiTheme="majorBidi" w:hAnsiTheme="majorBidi" w:cstheme="majorBidi"/>
          <w:sz w:val="24"/>
          <w:szCs w:val="24"/>
        </w:rPr>
        <w:fldChar w:fldCharType="end"/>
      </w:r>
      <w:r w:rsidR="00ED76F5">
        <w:rPr>
          <w:rFonts w:asciiTheme="majorBidi" w:hAnsiTheme="majorBidi" w:cstheme="majorBidi"/>
          <w:sz w:val="24"/>
          <w:szCs w:val="24"/>
        </w:rPr>
        <w:t xml:space="preserve">. </w:t>
      </w:r>
      <w:proofErr w:type="spellStart"/>
      <w:r w:rsidR="00D35D1C">
        <w:rPr>
          <w:rFonts w:asciiTheme="majorBidi" w:hAnsiTheme="majorBidi" w:cstheme="majorBidi"/>
          <w:sz w:val="24"/>
          <w:szCs w:val="24"/>
        </w:rPr>
        <w:t>In</w:t>
      </w:r>
      <w:r w:rsidR="00DF4760" w:rsidRPr="00DF4760">
        <w:rPr>
          <w:rFonts w:asciiTheme="majorBidi" w:hAnsiTheme="majorBidi" w:cstheme="majorBidi"/>
          <w:sz w:val="24"/>
          <w:szCs w:val="24"/>
        </w:rPr>
        <w:t>wom</w:t>
      </w:r>
      <w:r w:rsidR="00D35D1C">
        <w:rPr>
          <w:rFonts w:asciiTheme="majorBidi" w:hAnsiTheme="majorBidi" w:cstheme="majorBidi"/>
          <w:sz w:val="24"/>
          <w:szCs w:val="24"/>
        </w:rPr>
        <w:t>antoxoplasmosis</w:t>
      </w:r>
      <w:r w:rsidR="00DF4760" w:rsidRPr="00DF4760">
        <w:rPr>
          <w:rFonts w:asciiTheme="majorBidi" w:hAnsiTheme="majorBidi" w:cstheme="majorBidi"/>
          <w:sz w:val="24"/>
          <w:szCs w:val="24"/>
        </w:rPr>
        <w:t>infect</w:t>
      </w:r>
      <w:r w:rsidR="00D35D1C">
        <w:rPr>
          <w:rFonts w:asciiTheme="majorBidi" w:hAnsiTheme="majorBidi" w:cstheme="majorBidi"/>
          <w:sz w:val="24"/>
          <w:szCs w:val="24"/>
        </w:rPr>
        <w:t>ion</w:t>
      </w:r>
      <w:proofErr w:type="spellEnd"/>
      <w:r w:rsidR="00DF4760" w:rsidRPr="00DF4760">
        <w:rPr>
          <w:rFonts w:asciiTheme="majorBidi" w:hAnsiTheme="majorBidi" w:cstheme="majorBidi"/>
          <w:sz w:val="24"/>
          <w:szCs w:val="24"/>
        </w:rPr>
        <w:t>, IL6 expression</w:t>
      </w:r>
      <w:r w:rsidR="00D35D1C">
        <w:rPr>
          <w:rFonts w:asciiTheme="majorBidi" w:hAnsiTheme="majorBidi" w:cstheme="majorBidi"/>
          <w:sz w:val="24"/>
          <w:szCs w:val="24"/>
        </w:rPr>
        <w:t xml:space="preserve"> level</w:t>
      </w:r>
      <w:r w:rsidR="00DF4760" w:rsidRPr="00DF4760">
        <w:rPr>
          <w:rFonts w:asciiTheme="majorBidi" w:hAnsiTheme="majorBidi" w:cstheme="majorBidi"/>
          <w:sz w:val="24"/>
          <w:szCs w:val="24"/>
        </w:rPr>
        <w:t xml:space="preserve"> was </w:t>
      </w:r>
      <w:r w:rsidR="00D35D1C">
        <w:rPr>
          <w:rFonts w:asciiTheme="majorBidi" w:hAnsiTheme="majorBidi" w:cstheme="majorBidi"/>
          <w:sz w:val="24"/>
          <w:szCs w:val="24"/>
        </w:rPr>
        <w:t>calculated</w:t>
      </w:r>
      <w:r w:rsidR="00DF4760" w:rsidRPr="00DF4760">
        <w:rPr>
          <w:rFonts w:asciiTheme="majorBidi" w:hAnsiTheme="majorBidi" w:cstheme="majorBidi"/>
          <w:sz w:val="24"/>
          <w:szCs w:val="24"/>
        </w:rPr>
        <w:t xml:space="preserve"> to be </w:t>
      </w:r>
      <w:r w:rsidR="00D35D1C">
        <w:rPr>
          <w:rFonts w:asciiTheme="majorBidi" w:hAnsiTheme="majorBidi" w:cstheme="majorBidi"/>
          <w:sz w:val="24"/>
          <w:szCs w:val="24"/>
        </w:rPr>
        <w:t>double</w:t>
      </w:r>
      <w:r w:rsidR="00DF4760" w:rsidRPr="00DF4760">
        <w:rPr>
          <w:rFonts w:asciiTheme="majorBidi" w:hAnsiTheme="majorBidi" w:cstheme="majorBidi"/>
          <w:sz w:val="24"/>
          <w:szCs w:val="24"/>
        </w:rPr>
        <w:t xml:space="preserve"> as high </w:t>
      </w:r>
      <w:r w:rsidR="00D35D1C">
        <w:rPr>
          <w:rFonts w:asciiTheme="majorBidi" w:hAnsiTheme="majorBidi" w:cstheme="majorBidi"/>
          <w:sz w:val="24"/>
          <w:szCs w:val="24"/>
        </w:rPr>
        <w:t xml:space="preserve">when a </w:t>
      </w:r>
      <w:r w:rsidR="00DF4760" w:rsidRPr="00DF4760">
        <w:rPr>
          <w:rFonts w:asciiTheme="majorBidi" w:hAnsiTheme="majorBidi" w:cstheme="majorBidi"/>
          <w:sz w:val="24"/>
          <w:szCs w:val="24"/>
        </w:rPr>
        <w:t>compar</w:t>
      </w:r>
      <w:r w:rsidR="00D35D1C">
        <w:rPr>
          <w:rFonts w:asciiTheme="majorBidi" w:hAnsiTheme="majorBidi" w:cstheme="majorBidi"/>
          <w:sz w:val="24"/>
          <w:szCs w:val="24"/>
        </w:rPr>
        <w:t xml:space="preserve">ison was </w:t>
      </w:r>
      <w:proofErr w:type="spellStart"/>
      <w:r w:rsidR="00D35D1C">
        <w:rPr>
          <w:rFonts w:asciiTheme="majorBidi" w:hAnsiTheme="majorBidi" w:cstheme="majorBidi"/>
          <w:sz w:val="24"/>
          <w:szCs w:val="24"/>
        </w:rPr>
        <w:t>madewith</w:t>
      </w:r>
      <w:proofErr w:type="spellEnd"/>
      <w:r w:rsidR="00DF4760" w:rsidRPr="00DF4760">
        <w:rPr>
          <w:rFonts w:asciiTheme="majorBidi" w:hAnsiTheme="majorBidi" w:cstheme="majorBidi"/>
          <w:sz w:val="24"/>
          <w:szCs w:val="24"/>
        </w:rPr>
        <w:t xml:space="preserve"> the control </w:t>
      </w:r>
      <w:r w:rsidR="00D35D1C">
        <w:rPr>
          <w:rFonts w:asciiTheme="majorBidi" w:hAnsiTheme="majorBidi" w:cstheme="majorBidi"/>
          <w:sz w:val="24"/>
          <w:szCs w:val="24"/>
        </w:rPr>
        <w:t>individuals</w:t>
      </w:r>
      <w:r w:rsidR="00814981">
        <w:rPr>
          <w:rFonts w:asciiTheme="majorBidi" w:hAnsiTheme="majorBidi" w:cstheme="majorBidi"/>
          <w:sz w:val="24"/>
          <w:szCs w:val="24"/>
        </w:rPr>
        <w:fldChar w:fldCharType="begin" w:fldLock="1"/>
      </w:r>
      <w:r w:rsidR="00B3537D">
        <w:rPr>
          <w:rFonts w:asciiTheme="majorBidi" w:hAnsiTheme="majorBidi" w:cstheme="majorBidi"/>
          <w:sz w:val="24"/>
          <w:szCs w:val="24"/>
        </w:rPr>
        <w:instrText>ADDIN CSL_CITATION {"citationItems":[{"id":"ITEM-1","itemData":{"DOI":"10.1155/2009/374696","ISSN":"1740-2522","PMID":"19478959","abstract":"&lt;p&gt; In the study performed in a group of patients infected with &lt;italic&gt;T. gondii&lt;/italic&gt; , we evaluated Th2 humoral response (IL-5, IL-6, IL-10) and Th1 cell response (IL-12, TNF- &lt;math&gt;&lt;mi&gt;α&lt;/mi&gt;&lt;/math&gt; ). The study objective was to assess the effect of &lt;italic&gt;T. gondii&lt;/italic&gt; on chosen indices of the immune response. The study involved 52 women infected with &lt;italic&gt;T. gondii&lt;/italic&gt; (aged 18–42 years) prior to antiparasitic treatment. In all the patients, we found IgM (index &lt;math&gt;&lt;mrow&gt;&lt;mo&gt;&amp;gt;&lt;/mo&gt;&lt;mn&gt;0.7&lt;/mn&gt;&lt;/mrow&gt;&lt;/math&gt; ) and IgG which exceeded 300 IU/ml. The control group (C) consisted of 40 healthy women aged 18–46 years. In the study group (T) and in the control group (C), the levels of IgE, IL-5, IL-6, IL-10, IL-12, and TNF- &lt;math&gt;&lt;mi&gt;α&lt;/mi&gt;&lt;/math&gt; were determined. In our study, &lt;italic&gt;T. gondii&lt;/italic&gt; patients had twofold higher levels of IL-5 and IL-6 as compared to healthy subjects, which seems to confirm the presence of an inflammatory state. We found the level of IL-10 to be fivefold higher in the course of &lt;italic&gt;toxoplasmosis&lt;/italic&gt; than in healthy controls. The levels of IL-12 and TNF- &lt;math&gt;&lt;mi&gt;α&lt;/mi&gt;&lt;/math&gt; were comparable to those observed in healthy controls. The study has revealed that that patients infected with &lt;italic&gt;T. gondii&lt;/italic&gt; show increased production of the humoral response cytokines, whereas the generation of the cell response cytokines remains unchanged. &lt;/p&gt;","author":[{"dropping-particle":"","family":"Matowicka-Karna","given":"Joanna","non-dropping-particle":"","parse-names":false,"suffix":""},{"dropping-particle":"","family":"Dymicka-Piekarska","given":"Violetta","non-dropping-particle":"","parse-names":false,"suffix":""},{"dropping-particle":"","family":"Kemona","given":"Halina","non-dropping-particle":"","parse-names":false,"suffix":""}],"container-title":"Clinical and Developmental Immunology","id":"ITEM-1","issued":{"date-parts":[["2009"]]},"page":"1-4","title":"Does &lt;i&gt;Toxoplasma gondii&lt;/i&gt; Infection Affect the Levels of IgE and Cytokines (IL-5, IL-6, IL-10, IL-12, and TNF-alpha)?","type":"article-journal","volume":"2009"},"uris":["http://www.mendeley.com/documents/?uuid=81addd12-b9cb-31eb-8dd5-50f519707230"]}],"mendeley":{"formattedCitation":"(Matowicka-Karna, Dymicka-Piekarska and Kemona, 2009)","plainTextFormattedCitation":"(Matowicka-Karna, Dymicka-Piekarska and Kemona, 2009)","previouslyFormattedCitation":"(Matowicka-Karna, Dymicka-Piekarska and Kemona, 2009)"},"properties":{"noteIndex":0},"schema":"https://github.com/citation-style-language/schema/raw/master/csl-citation.json"}</w:instrText>
      </w:r>
      <w:r w:rsidR="00814981">
        <w:rPr>
          <w:rFonts w:asciiTheme="majorBidi" w:hAnsiTheme="majorBidi" w:cstheme="majorBidi"/>
          <w:sz w:val="24"/>
          <w:szCs w:val="24"/>
        </w:rPr>
        <w:fldChar w:fldCharType="separate"/>
      </w:r>
      <w:r w:rsidR="006D1D04" w:rsidRPr="006D1D04">
        <w:rPr>
          <w:rFonts w:asciiTheme="majorBidi" w:hAnsiTheme="majorBidi" w:cstheme="majorBidi"/>
          <w:noProof/>
          <w:sz w:val="24"/>
          <w:szCs w:val="24"/>
        </w:rPr>
        <w:t>(</w:t>
      </w:r>
      <w:proofErr w:type="spellStart"/>
      <w:r w:rsidR="006D1D04" w:rsidRPr="006D1D04">
        <w:rPr>
          <w:rFonts w:asciiTheme="majorBidi" w:hAnsiTheme="majorBidi" w:cstheme="majorBidi"/>
          <w:noProof/>
          <w:sz w:val="24"/>
          <w:szCs w:val="24"/>
        </w:rPr>
        <w:t>Matowicka</w:t>
      </w:r>
      <w:proofErr w:type="spellEnd"/>
      <w:r w:rsidR="006D1D04" w:rsidRPr="006D1D04">
        <w:rPr>
          <w:rFonts w:asciiTheme="majorBidi" w:hAnsiTheme="majorBidi" w:cstheme="majorBidi"/>
          <w:noProof/>
          <w:sz w:val="24"/>
          <w:szCs w:val="24"/>
        </w:rPr>
        <w:t>-Karna, Dymicka-Piekarska and Kemona, 2009)</w:t>
      </w:r>
      <w:r w:rsidR="00814981">
        <w:rPr>
          <w:rFonts w:asciiTheme="majorBidi" w:hAnsiTheme="majorBidi" w:cstheme="majorBidi"/>
          <w:sz w:val="24"/>
          <w:szCs w:val="24"/>
        </w:rPr>
        <w:fldChar w:fldCharType="end"/>
      </w:r>
      <w:r w:rsidR="006D1D04">
        <w:rPr>
          <w:rFonts w:asciiTheme="majorBidi" w:hAnsiTheme="majorBidi" w:cstheme="majorBidi"/>
          <w:sz w:val="24"/>
          <w:szCs w:val="24"/>
        </w:rPr>
        <w:t>.</w:t>
      </w:r>
    </w:p>
    <w:p w:rsidR="00821DA0" w:rsidRDefault="00821DA0" w:rsidP="00D820AD">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present investigation was carried out to identify if there is a </w:t>
      </w:r>
      <w:r w:rsidRPr="00B1703E">
        <w:rPr>
          <w:rFonts w:asciiTheme="majorBidi" w:hAnsiTheme="majorBidi" w:cstheme="majorBidi"/>
          <w:sz w:val="24"/>
          <w:szCs w:val="24"/>
        </w:rPr>
        <w:t xml:space="preserve">risk factor </w:t>
      </w:r>
      <w:r>
        <w:rPr>
          <w:rFonts w:asciiTheme="majorBidi" w:hAnsiTheme="majorBidi" w:cstheme="majorBidi"/>
          <w:sz w:val="24"/>
          <w:szCs w:val="24"/>
        </w:rPr>
        <w:t xml:space="preserve">supplied by the occurrence </w:t>
      </w:r>
      <w:proofErr w:type="spellStart"/>
      <w:r>
        <w:rPr>
          <w:rFonts w:asciiTheme="majorBidi" w:hAnsiTheme="majorBidi" w:cstheme="majorBidi"/>
          <w:sz w:val="24"/>
          <w:szCs w:val="24"/>
        </w:rPr>
        <w:t>ofthe</w:t>
      </w:r>
      <w:proofErr w:type="spellEnd"/>
      <w:r>
        <w:rPr>
          <w:rFonts w:asciiTheme="majorBidi" w:hAnsiTheme="majorBidi" w:cstheme="majorBidi"/>
          <w:sz w:val="24"/>
          <w:szCs w:val="24"/>
        </w:rPr>
        <w:t xml:space="preserve"> i</w:t>
      </w:r>
      <w:r w:rsidRPr="00446106">
        <w:rPr>
          <w:rFonts w:asciiTheme="majorBidi" w:hAnsiTheme="majorBidi" w:cstheme="majorBidi"/>
          <w:sz w:val="24"/>
          <w:szCs w:val="24"/>
        </w:rPr>
        <w:t xml:space="preserve">nterleukin-6 </w:t>
      </w:r>
      <w:r w:rsidRPr="00627E14">
        <w:rPr>
          <w:rFonts w:asciiTheme="majorBidi" w:hAnsiTheme="majorBidi" w:cstheme="majorBidi"/>
          <w:sz w:val="24"/>
          <w:szCs w:val="24"/>
        </w:rPr>
        <w:t xml:space="preserve">(-174 G⁄C) </w:t>
      </w:r>
      <w:r w:rsidRPr="00821DA0">
        <w:rPr>
          <w:rFonts w:asciiTheme="majorBidi" w:hAnsiTheme="majorBidi" w:cstheme="majorBidi"/>
          <w:sz w:val="24"/>
          <w:szCs w:val="24"/>
        </w:rPr>
        <w:t xml:space="preserve">SNP </w:t>
      </w:r>
      <w:r>
        <w:rPr>
          <w:rFonts w:asciiTheme="majorBidi" w:hAnsiTheme="majorBidi" w:cstheme="majorBidi"/>
          <w:sz w:val="24"/>
          <w:szCs w:val="24"/>
        </w:rPr>
        <w:t xml:space="preserve">on </w:t>
      </w:r>
      <w:proofErr w:type="spellStart"/>
      <w:r>
        <w:rPr>
          <w:rFonts w:asciiTheme="majorBidi" w:hAnsiTheme="majorBidi" w:cstheme="majorBidi"/>
          <w:sz w:val="24"/>
          <w:szCs w:val="24"/>
        </w:rPr>
        <w:t>thepresence</w:t>
      </w:r>
      <w:proofErr w:type="spellEnd"/>
      <w:r>
        <w:rPr>
          <w:rFonts w:asciiTheme="majorBidi" w:hAnsiTheme="majorBidi" w:cstheme="majorBidi"/>
          <w:sz w:val="24"/>
          <w:szCs w:val="24"/>
        </w:rPr>
        <w:t xml:space="preserve"> of t</w:t>
      </w:r>
      <w:r w:rsidRPr="00B1703E">
        <w:rPr>
          <w:rFonts w:asciiTheme="majorBidi" w:hAnsiTheme="majorBidi" w:cstheme="majorBidi"/>
          <w:sz w:val="24"/>
          <w:szCs w:val="24"/>
        </w:rPr>
        <w:t>oxoplasmosis infection</w:t>
      </w:r>
      <w:r>
        <w:rPr>
          <w:rFonts w:asciiTheme="majorBidi" w:hAnsiTheme="majorBidi" w:cstheme="majorBidi"/>
          <w:sz w:val="24"/>
          <w:szCs w:val="24"/>
        </w:rPr>
        <w:t>.</w:t>
      </w:r>
    </w:p>
    <w:p w:rsidR="00821DA0" w:rsidRDefault="004D654B" w:rsidP="00D820AD">
      <w:pPr>
        <w:spacing w:line="480" w:lineRule="auto"/>
        <w:jc w:val="both"/>
        <w:rPr>
          <w:rFonts w:asciiTheme="majorBidi" w:hAnsiTheme="majorBidi" w:cstheme="majorBidi"/>
          <w:sz w:val="24"/>
          <w:szCs w:val="24"/>
        </w:rPr>
      </w:pPr>
      <w:r>
        <w:rPr>
          <w:rFonts w:asciiTheme="majorBidi" w:hAnsiTheme="majorBidi" w:cstheme="majorBidi"/>
          <w:b/>
          <w:bCs/>
          <w:sz w:val="24"/>
          <w:szCs w:val="24"/>
        </w:rPr>
        <w:lastRenderedPageBreak/>
        <w:t>Materials and methods</w:t>
      </w:r>
    </w:p>
    <w:p w:rsidR="004D654B" w:rsidRDefault="00CB0F17" w:rsidP="00D820AD">
      <w:pPr>
        <w:spacing w:line="480" w:lineRule="auto"/>
        <w:jc w:val="both"/>
        <w:rPr>
          <w:rFonts w:asciiTheme="majorBidi" w:hAnsiTheme="majorBidi" w:cstheme="majorBidi"/>
          <w:sz w:val="24"/>
          <w:szCs w:val="24"/>
        </w:rPr>
      </w:pPr>
      <w:r w:rsidRPr="006870B7">
        <w:rPr>
          <w:rFonts w:asciiTheme="majorBidi" w:hAnsiTheme="majorBidi" w:cstheme="majorBidi"/>
          <w:b/>
          <w:bCs/>
          <w:sz w:val="24"/>
          <w:szCs w:val="24"/>
        </w:rPr>
        <w:t>Samples</w:t>
      </w:r>
    </w:p>
    <w:p w:rsidR="00097C0D" w:rsidRDefault="00097C0D" w:rsidP="002D735F">
      <w:pPr>
        <w:spacing w:line="480" w:lineRule="auto"/>
        <w:jc w:val="both"/>
        <w:rPr>
          <w:rFonts w:asciiTheme="majorBidi" w:hAnsiTheme="majorBidi" w:cstheme="majorBidi"/>
          <w:sz w:val="24"/>
          <w:szCs w:val="24"/>
        </w:rPr>
      </w:pPr>
      <w:r>
        <w:rPr>
          <w:rFonts w:asciiTheme="majorBidi" w:hAnsiTheme="majorBidi" w:cstheme="majorBidi"/>
          <w:sz w:val="24"/>
          <w:szCs w:val="24"/>
        </w:rPr>
        <w:t>Herein, 100 blood samples (50 samples from seropositive</w:t>
      </w:r>
      <w:r w:rsidR="002D735F">
        <w:rPr>
          <w:rFonts w:asciiTheme="majorBidi" w:hAnsiTheme="majorBidi" w:cstheme="majorBidi"/>
          <w:sz w:val="24"/>
          <w:szCs w:val="24"/>
        </w:rPr>
        <w:t xml:space="preserve"> aborted women</w:t>
      </w:r>
      <w:r>
        <w:rPr>
          <w:rFonts w:asciiTheme="majorBidi" w:hAnsiTheme="majorBidi" w:cstheme="majorBidi"/>
          <w:sz w:val="24"/>
          <w:szCs w:val="24"/>
        </w:rPr>
        <w:t xml:space="preserve"> patients and 50 samples of healthy individuals) were collected </w:t>
      </w:r>
      <w:r w:rsidR="000579B6">
        <w:rPr>
          <w:rFonts w:asciiTheme="majorBidi" w:hAnsiTheme="majorBidi" w:cstheme="majorBidi"/>
          <w:sz w:val="24"/>
          <w:szCs w:val="24"/>
        </w:rPr>
        <w:t xml:space="preserve">in </w:t>
      </w:r>
      <w:r w:rsidR="000579B6" w:rsidRPr="000579B6">
        <w:rPr>
          <w:rFonts w:asciiTheme="majorBidi" w:hAnsiTheme="majorBidi" w:cstheme="majorBidi"/>
          <w:sz w:val="24"/>
          <w:szCs w:val="24"/>
        </w:rPr>
        <w:t>EDTA</w:t>
      </w:r>
      <w:r w:rsidR="000579B6">
        <w:rPr>
          <w:rFonts w:asciiTheme="majorBidi" w:hAnsiTheme="majorBidi" w:cstheme="majorBidi"/>
          <w:sz w:val="24"/>
          <w:szCs w:val="24"/>
        </w:rPr>
        <w:t xml:space="preserve">-contained </w:t>
      </w:r>
      <w:r w:rsidR="000579B6" w:rsidRPr="000579B6">
        <w:rPr>
          <w:rFonts w:asciiTheme="majorBidi" w:hAnsiTheme="majorBidi" w:cstheme="majorBidi"/>
          <w:sz w:val="24"/>
          <w:szCs w:val="24"/>
        </w:rPr>
        <w:t xml:space="preserve">tubes </w:t>
      </w:r>
      <w:r>
        <w:rPr>
          <w:rFonts w:asciiTheme="majorBidi" w:hAnsiTheme="majorBidi" w:cstheme="majorBidi"/>
          <w:sz w:val="24"/>
          <w:szCs w:val="24"/>
        </w:rPr>
        <w:t>from Al-</w:t>
      </w:r>
      <w:proofErr w:type="spellStart"/>
      <w:r>
        <w:rPr>
          <w:rFonts w:asciiTheme="majorBidi" w:hAnsiTheme="majorBidi" w:cstheme="majorBidi"/>
          <w:sz w:val="24"/>
          <w:szCs w:val="24"/>
        </w:rPr>
        <w:t>Kut</w:t>
      </w:r>
      <w:proofErr w:type="spellEnd"/>
      <w:r>
        <w:rPr>
          <w:rFonts w:asciiTheme="majorBidi" w:hAnsiTheme="majorBidi" w:cstheme="majorBidi"/>
          <w:sz w:val="24"/>
          <w:szCs w:val="24"/>
        </w:rPr>
        <w:t xml:space="preserve"> Hospital</w:t>
      </w:r>
      <w:r w:rsidR="002D735F">
        <w:rPr>
          <w:rFonts w:asciiTheme="majorBidi" w:hAnsiTheme="majorBidi" w:cstheme="majorBidi"/>
          <w:sz w:val="24"/>
          <w:szCs w:val="24"/>
        </w:rPr>
        <w:t>s and private clinic</w:t>
      </w:r>
      <w:r>
        <w:rPr>
          <w:rFonts w:asciiTheme="majorBidi" w:hAnsiTheme="majorBidi" w:cstheme="majorBidi"/>
          <w:sz w:val="24"/>
          <w:szCs w:val="24"/>
        </w:rPr>
        <w:t>, Wasit</w:t>
      </w:r>
      <w:r w:rsidR="002D735F">
        <w:rPr>
          <w:rFonts w:asciiTheme="majorBidi" w:hAnsiTheme="majorBidi" w:cstheme="majorBidi"/>
          <w:sz w:val="24"/>
          <w:szCs w:val="24"/>
        </w:rPr>
        <w:t xml:space="preserve"> province</w:t>
      </w:r>
      <w:r>
        <w:rPr>
          <w:rFonts w:asciiTheme="majorBidi" w:hAnsiTheme="majorBidi" w:cstheme="majorBidi"/>
          <w:sz w:val="24"/>
          <w:szCs w:val="24"/>
        </w:rPr>
        <w:t>, Iraq.</w:t>
      </w:r>
    </w:p>
    <w:p w:rsidR="000579B6" w:rsidRDefault="000579B6" w:rsidP="00D820AD">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Extraction of the DNA</w:t>
      </w:r>
    </w:p>
    <w:p w:rsidR="000579B6" w:rsidRDefault="009A0410" w:rsidP="00D820AD">
      <w:pPr>
        <w:spacing w:line="480" w:lineRule="auto"/>
        <w:jc w:val="both"/>
        <w:rPr>
          <w:rFonts w:asciiTheme="majorBidi" w:hAnsiTheme="majorBidi" w:cstheme="majorBidi"/>
          <w:sz w:val="24"/>
          <w:szCs w:val="24"/>
        </w:rPr>
      </w:pPr>
      <w:r w:rsidRPr="009A0410">
        <w:rPr>
          <w:rFonts w:asciiTheme="majorBidi" w:hAnsiTheme="majorBidi" w:cstheme="majorBidi"/>
          <w:sz w:val="24"/>
          <w:szCs w:val="24"/>
        </w:rPr>
        <w:t xml:space="preserve">Using Genetic DNA Mini Pack, </w:t>
      </w:r>
      <w:proofErr w:type="spellStart"/>
      <w:r w:rsidRPr="009A0410">
        <w:rPr>
          <w:rFonts w:asciiTheme="majorBidi" w:hAnsiTheme="majorBidi" w:cstheme="majorBidi"/>
          <w:sz w:val="24"/>
          <w:szCs w:val="24"/>
        </w:rPr>
        <w:t>Geneaid</w:t>
      </w:r>
      <w:proofErr w:type="spellEnd"/>
      <w:r w:rsidRPr="009A0410">
        <w:rPr>
          <w:rFonts w:asciiTheme="majorBidi" w:hAnsiTheme="majorBidi" w:cstheme="majorBidi"/>
          <w:sz w:val="24"/>
          <w:szCs w:val="24"/>
        </w:rPr>
        <w:t xml:space="preserve">. USA, DNA has been obtained from the preserved blood samples. Depending on the guidance of the extraction steps provided by the manufacturer, the extraction was carried out using Proteinase K (frozen blood extraction protocol method). The </w:t>
      </w:r>
      <w:r w:rsidR="0040042A">
        <w:rPr>
          <w:rFonts w:asciiTheme="majorBidi" w:hAnsiTheme="majorBidi" w:cstheme="majorBidi"/>
          <w:sz w:val="24"/>
          <w:szCs w:val="24"/>
        </w:rPr>
        <w:t xml:space="preserve">concentration of the </w:t>
      </w:r>
      <w:r w:rsidRPr="009A0410">
        <w:rPr>
          <w:rFonts w:asciiTheme="majorBidi" w:hAnsiTheme="majorBidi" w:cstheme="majorBidi"/>
          <w:sz w:val="24"/>
          <w:szCs w:val="24"/>
        </w:rPr>
        <w:t xml:space="preserve">DNA </w:t>
      </w:r>
      <w:r w:rsidR="0040042A">
        <w:rPr>
          <w:rFonts w:asciiTheme="majorBidi" w:hAnsiTheme="majorBidi" w:cstheme="majorBidi"/>
          <w:sz w:val="24"/>
          <w:szCs w:val="24"/>
        </w:rPr>
        <w:t xml:space="preserve">and its </w:t>
      </w:r>
      <w:r w:rsidRPr="009A0410">
        <w:rPr>
          <w:rFonts w:asciiTheme="majorBidi" w:hAnsiTheme="majorBidi" w:cstheme="majorBidi"/>
          <w:sz w:val="24"/>
          <w:szCs w:val="24"/>
        </w:rPr>
        <w:t xml:space="preserve">quality were examined by </w:t>
      </w:r>
      <w:r w:rsidR="0040042A">
        <w:rPr>
          <w:rFonts w:asciiTheme="majorBidi" w:hAnsiTheme="majorBidi" w:cstheme="majorBidi"/>
          <w:sz w:val="24"/>
          <w:szCs w:val="24"/>
        </w:rPr>
        <w:t xml:space="preserve">working on </w:t>
      </w:r>
      <w:proofErr w:type="spellStart"/>
      <w:r w:rsidR="0040042A">
        <w:rPr>
          <w:rFonts w:asciiTheme="majorBidi" w:hAnsiTheme="majorBidi" w:cstheme="majorBidi"/>
          <w:sz w:val="24"/>
          <w:szCs w:val="24"/>
        </w:rPr>
        <w:t>a</w:t>
      </w:r>
      <w:r w:rsidRPr="009A0410">
        <w:rPr>
          <w:rFonts w:asciiTheme="majorBidi" w:hAnsiTheme="majorBidi" w:cstheme="majorBidi"/>
          <w:sz w:val="24"/>
          <w:szCs w:val="24"/>
        </w:rPr>
        <w:t>Nanodrop</w:t>
      </w:r>
      <w:proofErr w:type="spellEnd"/>
      <w:r w:rsidRPr="009A0410">
        <w:rPr>
          <w:rFonts w:asciiTheme="majorBidi" w:hAnsiTheme="majorBidi" w:cstheme="majorBidi"/>
          <w:sz w:val="24"/>
          <w:szCs w:val="24"/>
        </w:rPr>
        <w:t xml:space="preserve"> spectrophotometer, and it was -20C-stored to be used in the PCR step.</w:t>
      </w:r>
    </w:p>
    <w:p w:rsidR="00E25742" w:rsidRPr="006870B7" w:rsidRDefault="00E25742" w:rsidP="00E25742">
      <w:pPr>
        <w:spacing w:line="480" w:lineRule="auto"/>
        <w:rPr>
          <w:rFonts w:asciiTheme="majorBidi" w:hAnsiTheme="majorBidi" w:cstheme="majorBidi"/>
          <w:b/>
          <w:bCs/>
          <w:sz w:val="24"/>
          <w:szCs w:val="24"/>
        </w:rPr>
      </w:pPr>
      <w:r w:rsidRPr="006870B7">
        <w:rPr>
          <w:rFonts w:asciiTheme="majorBidi" w:hAnsiTheme="majorBidi" w:cstheme="majorBidi"/>
          <w:b/>
          <w:bCs/>
          <w:sz w:val="24"/>
          <w:szCs w:val="24"/>
        </w:rPr>
        <w:t>PCR RFLP</w:t>
      </w:r>
    </w:p>
    <w:p w:rsidR="007B77A0" w:rsidRPr="009A0410" w:rsidRDefault="00E25742" w:rsidP="007B77A0">
      <w:pPr>
        <w:spacing w:line="480" w:lineRule="auto"/>
        <w:rPr>
          <w:rFonts w:asciiTheme="majorBidi" w:hAnsiTheme="majorBidi" w:cstheme="majorBidi"/>
          <w:sz w:val="24"/>
          <w:szCs w:val="24"/>
        </w:rPr>
      </w:pPr>
      <w:r w:rsidRPr="00E25742">
        <w:rPr>
          <w:rFonts w:asciiTheme="majorBidi" w:hAnsiTheme="majorBidi" w:cstheme="majorBidi"/>
          <w:sz w:val="24"/>
          <w:szCs w:val="24"/>
        </w:rPr>
        <w:t xml:space="preserve">PCR-RFLP was </w:t>
      </w:r>
      <w:r w:rsidR="0040042A">
        <w:rPr>
          <w:rFonts w:asciiTheme="majorBidi" w:hAnsiTheme="majorBidi" w:cstheme="majorBidi"/>
          <w:sz w:val="24"/>
          <w:szCs w:val="24"/>
        </w:rPr>
        <w:t>introduced</w:t>
      </w:r>
      <w:r w:rsidRPr="00E25742">
        <w:rPr>
          <w:rFonts w:asciiTheme="majorBidi" w:hAnsiTheme="majorBidi" w:cstheme="majorBidi"/>
          <w:sz w:val="24"/>
          <w:szCs w:val="24"/>
        </w:rPr>
        <w:t xml:space="preserve"> for </w:t>
      </w:r>
      <w:r>
        <w:rPr>
          <w:rFonts w:asciiTheme="majorBidi" w:hAnsiTheme="majorBidi" w:cstheme="majorBidi"/>
          <w:sz w:val="24"/>
          <w:szCs w:val="24"/>
        </w:rPr>
        <w:t xml:space="preserve">the </w:t>
      </w:r>
      <w:r w:rsidRPr="00E25742">
        <w:rPr>
          <w:rFonts w:asciiTheme="majorBidi" w:hAnsiTheme="majorBidi" w:cstheme="majorBidi"/>
          <w:sz w:val="24"/>
          <w:szCs w:val="24"/>
        </w:rPr>
        <w:t xml:space="preserve">detection </w:t>
      </w:r>
      <w:r>
        <w:rPr>
          <w:rFonts w:asciiTheme="majorBidi" w:hAnsiTheme="majorBidi" w:cstheme="majorBidi"/>
          <w:sz w:val="24"/>
          <w:szCs w:val="24"/>
        </w:rPr>
        <w:t>of IL</w:t>
      </w:r>
      <w:r w:rsidRPr="00E25742">
        <w:rPr>
          <w:rFonts w:asciiTheme="majorBidi" w:hAnsiTheme="majorBidi" w:cstheme="majorBidi"/>
          <w:sz w:val="24"/>
          <w:szCs w:val="24"/>
        </w:rPr>
        <w:t xml:space="preserve">6 (-174 G⁄C) </w:t>
      </w:r>
      <w:r>
        <w:rPr>
          <w:rFonts w:asciiTheme="majorBidi" w:hAnsiTheme="majorBidi" w:cstheme="majorBidi"/>
          <w:sz w:val="24"/>
          <w:szCs w:val="24"/>
        </w:rPr>
        <w:t>SNP</w:t>
      </w:r>
      <w:r w:rsidRPr="00E25742">
        <w:rPr>
          <w:rFonts w:asciiTheme="majorBidi" w:hAnsiTheme="majorBidi" w:cstheme="majorBidi"/>
          <w:sz w:val="24"/>
          <w:szCs w:val="24"/>
        </w:rPr>
        <w:t xml:space="preserve"> from seropositive patients and healthy </w:t>
      </w:r>
      <w:r>
        <w:rPr>
          <w:rFonts w:asciiTheme="majorBidi" w:hAnsiTheme="majorBidi" w:cstheme="majorBidi"/>
          <w:sz w:val="24"/>
          <w:szCs w:val="24"/>
        </w:rPr>
        <w:t>individual blood samples</w:t>
      </w:r>
      <w:r w:rsidRPr="00E25742">
        <w:rPr>
          <w:rFonts w:asciiTheme="majorBidi" w:hAnsiTheme="majorBidi" w:cstheme="majorBidi"/>
          <w:sz w:val="24"/>
          <w:szCs w:val="24"/>
        </w:rPr>
        <w:t xml:space="preserve">. The technique was </w:t>
      </w:r>
      <w:proofErr w:type="spellStart"/>
      <w:r>
        <w:rPr>
          <w:rFonts w:asciiTheme="majorBidi" w:hAnsiTheme="majorBidi" w:cstheme="majorBidi"/>
          <w:sz w:val="24"/>
          <w:szCs w:val="24"/>
        </w:rPr>
        <w:t>performedrelying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ona</w:t>
      </w:r>
      <w:proofErr w:type="spellEnd"/>
      <w:r>
        <w:rPr>
          <w:rFonts w:asciiTheme="majorBidi" w:hAnsiTheme="majorBidi" w:cstheme="majorBidi"/>
          <w:sz w:val="24"/>
          <w:szCs w:val="24"/>
        </w:rPr>
        <w:t xml:space="preserve"> method by </w:t>
      </w:r>
      <w:r w:rsidRPr="00E25742">
        <w:rPr>
          <w:rFonts w:asciiTheme="majorBidi" w:hAnsiTheme="majorBidi" w:cstheme="majorBidi"/>
          <w:sz w:val="24"/>
          <w:szCs w:val="24"/>
        </w:rPr>
        <w:t>(Cordeiro et al., 2013).</w:t>
      </w:r>
      <w:r w:rsidR="007B77A0">
        <w:rPr>
          <w:rFonts w:asciiTheme="majorBidi" w:hAnsiTheme="majorBidi" w:cstheme="majorBidi"/>
          <w:sz w:val="24"/>
          <w:szCs w:val="24"/>
        </w:rPr>
        <w:t xml:space="preserve"> The primers, table 1, were ordered from </w:t>
      </w:r>
      <w:proofErr w:type="spellStart"/>
      <w:r w:rsidR="007B77A0" w:rsidRPr="007B77A0">
        <w:rPr>
          <w:rFonts w:asciiTheme="majorBidi" w:hAnsiTheme="majorBidi" w:cstheme="majorBidi"/>
          <w:sz w:val="24"/>
          <w:szCs w:val="24"/>
        </w:rPr>
        <w:t>Macrogen</w:t>
      </w:r>
      <w:r w:rsidR="007B77A0">
        <w:rPr>
          <w:rFonts w:asciiTheme="majorBidi" w:hAnsiTheme="majorBidi" w:cstheme="majorBidi"/>
          <w:sz w:val="24"/>
          <w:szCs w:val="24"/>
        </w:rPr>
        <w:t>C</w:t>
      </w:r>
      <w:r w:rsidR="007B77A0" w:rsidRPr="007B77A0">
        <w:rPr>
          <w:rFonts w:asciiTheme="majorBidi" w:hAnsiTheme="majorBidi" w:cstheme="majorBidi"/>
          <w:sz w:val="24"/>
          <w:szCs w:val="24"/>
        </w:rPr>
        <w:t>ompany</w:t>
      </w:r>
      <w:proofErr w:type="spellEnd"/>
      <w:r w:rsidR="007B77A0">
        <w:rPr>
          <w:rFonts w:asciiTheme="majorBidi" w:hAnsiTheme="majorBidi" w:cstheme="majorBidi"/>
          <w:sz w:val="24"/>
          <w:szCs w:val="24"/>
        </w:rPr>
        <w:t xml:space="preserve"> (</w:t>
      </w:r>
      <w:r w:rsidR="007B77A0" w:rsidRPr="007B77A0">
        <w:rPr>
          <w:rFonts w:asciiTheme="majorBidi" w:hAnsiTheme="majorBidi" w:cstheme="majorBidi"/>
          <w:sz w:val="24"/>
          <w:szCs w:val="24"/>
        </w:rPr>
        <w:t>Korea).</w:t>
      </w:r>
    </w:p>
    <w:p w:rsidR="00AD20EF" w:rsidRPr="00A935D0" w:rsidRDefault="007B77A0" w:rsidP="006870B7">
      <w:pPr>
        <w:spacing w:line="480" w:lineRule="auto"/>
        <w:jc w:val="center"/>
        <w:rPr>
          <w:rFonts w:asciiTheme="majorBidi" w:hAnsiTheme="majorBidi" w:cstheme="majorBidi"/>
          <w:b/>
          <w:bCs/>
          <w:sz w:val="24"/>
          <w:szCs w:val="24"/>
        </w:rPr>
      </w:pPr>
      <w:r w:rsidRPr="00A935D0">
        <w:rPr>
          <w:rFonts w:asciiTheme="majorBidi" w:hAnsiTheme="majorBidi" w:cstheme="majorBidi"/>
          <w:b/>
          <w:bCs/>
          <w:sz w:val="24"/>
          <w:szCs w:val="24"/>
        </w:rPr>
        <w:t>Table (1): The RFLP-PCR primers.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80" w:firstRow="0" w:lastRow="0" w:firstColumn="1" w:lastColumn="0" w:noHBand="0" w:noVBand="0"/>
      </w:tblPr>
      <w:tblGrid>
        <w:gridCol w:w="1338"/>
        <w:gridCol w:w="954"/>
        <w:gridCol w:w="3752"/>
        <w:gridCol w:w="1929"/>
      </w:tblGrid>
      <w:tr w:rsidR="009D6EAF" w:rsidRPr="009D6EAF" w:rsidTr="009D6EAF">
        <w:trPr>
          <w:trHeight w:val="380"/>
          <w:jc w:val="center"/>
        </w:trPr>
        <w:tc>
          <w:tcPr>
            <w:tcW w:w="1338" w:type="dxa"/>
            <w:vAlign w:val="center"/>
          </w:tcPr>
          <w:p w:rsidR="009D6EAF" w:rsidRPr="009D6EAF" w:rsidRDefault="009D6EAF" w:rsidP="009D6EAF">
            <w:pPr>
              <w:spacing w:after="0" w:line="480" w:lineRule="auto"/>
              <w:ind w:left="-58" w:right="180"/>
              <w:jc w:val="center"/>
              <w:rPr>
                <w:rFonts w:asciiTheme="majorBidi" w:hAnsiTheme="majorBidi" w:cstheme="majorBidi"/>
                <w:b/>
                <w:bCs/>
                <w:sz w:val="24"/>
                <w:szCs w:val="24"/>
              </w:rPr>
            </w:pPr>
          </w:p>
        </w:tc>
        <w:tc>
          <w:tcPr>
            <w:tcW w:w="4706" w:type="dxa"/>
            <w:gridSpan w:val="2"/>
            <w:vAlign w:val="center"/>
          </w:tcPr>
          <w:p w:rsidR="009D6EAF" w:rsidRPr="009D6EAF" w:rsidRDefault="009D6EAF" w:rsidP="009D6EAF">
            <w:pPr>
              <w:spacing w:after="0" w:line="480" w:lineRule="auto"/>
              <w:ind w:left="-58" w:right="180"/>
              <w:jc w:val="center"/>
              <w:rPr>
                <w:rFonts w:asciiTheme="majorBidi" w:hAnsiTheme="majorBidi" w:cstheme="majorBidi"/>
                <w:b/>
                <w:bCs/>
                <w:sz w:val="24"/>
                <w:szCs w:val="24"/>
              </w:rPr>
            </w:pPr>
            <w:r w:rsidRPr="009D6EAF">
              <w:rPr>
                <w:rFonts w:asciiTheme="majorBidi" w:hAnsiTheme="majorBidi" w:cstheme="majorBidi"/>
                <w:b/>
                <w:bCs/>
                <w:sz w:val="24"/>
                <w:szCs w:val="24"/>
              </w:rPr>
              <w:t>Primer</w:t>
            </w:r>
            <w:r w:rsidR="0040042A">
              <w:rPr>
                <w:rFonts w:asciiTheme="majorBidi" w:hAnsiTheme="majorBidi" w:cstheme="majorBidi"/>
                <w:b/>
                <w:bCs/>
                <w:sz w:val="24"/>
                <w:szCs w:val="24"/>
              </w:rPr>
              <w:t xml:space="preserve">s </w:t>
            </w:r>
            <w:r>
              <w:rPr>
                <w:rFonts w:asciiTheme="majorBidi" w:hAnsiTheme="majorBidi" w:cstheme="majorBidi"/>
                <w:b/>
                <w:bCs/>
                <w:sz w:val="24"/>
                <w:szCs w:val="24"/>
              </w:rPr>
              <w:t>(</w:t>
            </w:r>
            <w:r w:rsidRPr="009D6EAF">
              <w:rPr>
                <w:rFonts w:asciiTheme="majorBidi" w:hAnsiTheme="majorBidi" w:cstheme="majorBidi"/>
                <w:b/>
                <w:bCs/>
                <w:sz w:val="24"/>
                <w:szCs w:val="24"/>
              </w:rPr>
              <w:t>5'-3'</w:t>
            </w:r>
            <w:r>
              <w:rPr>
                <w:rFonts w:asciiTheme="majorBidi" w:hAnsiTheme="majorBidi" w:cstheme="majorBidi"/>
                <w:b/>
                <w:bCs/>
                <w:sz w:val="24"/>
                <w:szCs w:val="24"/>
              </w:rPr>
              <w:t>)</w:t>
            </w:r>
          </w:p>
        </w:tc>
        <w:tc>
          <w:tcPr>
            <w:tcW w:w="1929" w:type="dxa"/>
            <w:vAlign w:val="center"/>
          </w:tcPr>
          <w:p w:rsidR="009D6EAF" w:rsidRPr="009D6EAF" w:rsidRDefault="002C4C4E" w:rsidP="009D6EAF">
            <w:pPr>
              <w:spacing w:after="0" w:line="480" w:lineRule="auto"/>
              <w:ind w:left="-58" w:right="180"/>
              <w:jc w:val="center"/>
              <w:rPr>
                <w:rFonts w:asciiTheme="majorBidi" w:hAnsiTheme="majorBidi" w:cstheme="majorBidi"/>
                <w:b/>
                <w:bCs/>
                <w:sz w:val="24"/>
                <w:szCs w:val="24"/>
              </w:rPr>
            </w:pPr>
            <w:r>
              <w:rPr>
                <w:rFonts w:asciiTheme="majorBidi" w:hAnsiTheme="majorBidi" w:cstheme="majorBidi"/>
                <w:b/>
                <w:bCs/>
                <w:sz w:val="24"/>
                <w:szCs w:val="24"/>
              </w:rPr>
              <w:t>S</w:t>
            </w:r>
            <w:r w:rsidR="009D6EAF" w:rsidRPr="009D6EAF">
              <w:rPr>
                <w:rFonts w:asciiTheme="majorBidi" w:hAnsiTheme="majorBidi" w:cstheme="majorBidi"/>
                <w:b/>
                <w:bCs/>
                <w:sz w:val="24"/>
                <w:szCs w:val="24"/>
              </w:rPr>
              <w:t>ize</w:t>
            </w:r>
            <w:r>
              <w:rPr>
                <w:rFonts w:asciiTheme="majorBidi" w:hAnsiTheme="majorBidi" w:cstheme="majorBidi"/>
                <w:b/>
                <w:bCs/>
                <w:sz w:val="24"/>
                <w:szCs w:val="24"/>
              </w:rPr>
              <w:t xml:space="preserve"> of the product</w:t>
            </w:r>
            <w:r w:rsidR="009D6EAF">
              <w:rPr>
                <w:rFonts w:asciiTheme="majorBidi" w:hAnsiTheme="majorBidi" w:cstheme="majorBidi"/>
                <w:b/>
                <w:bCs/>
                <w:sz w:val="24"/>
                <w:szCs w:val="24"/>
              </w:rPr>
              <w:t xml:space="preserve"> (bp)</w:t>
            </w:r>
          </w:p>
        </w:tc>
      </w:tr>
      <w:tr w:rsidR="009D6EAF" w:rsidRPr="009D6EAF" w:rsidTr="009D6EAF">
        <w:trPr>
          <w:trHeight w:val="380"/>
          <w:jc w:val="center"/>
        </w:trPr>
        <w:tc>
          <w:tcPr>
            <w:tcW w:w="1338" w:type="dxa"/>
            <w:vMerge w:val="restart"/>
            <w:vAlign w:val="center"/>
          </w:tcPr>
          <w:p w:rsidR="009D6EAF" w:rsidRPr="009D6EAF" w:rsidRDefault="009D6EAF" w:rsidP="009D6EAF">
            <w:pPr>
              <w:spacing w:after="0" w:line="480" w:lineRule="auto"/>
              <w:ind w:left="-58" w:right="180"/>
              <w:jc w:val="center"/>
              <w:rPr>
                <w:rFonts w:asciiTheme="majorBidi" w:hAnsiTheme="majorBidi" w:cstheme="majorBidi"/>
                <w:b/>
                <w:bCs/>
                <w:sz w:val="24"/>
                <w:szCs w:val="24"/>
              </w:rPr>
            </w:pPr>
            <w:r w:rsidRPr="009D6EAF">
              <w:rPr>
                <w:rFonts w:asciiTheme="majorBidi" w:hAnsiTheme="majorBidi" w:cstheme="majorBidi"/>
                <w:b/>
                <w:bCs/>
                <w:sz w:val="24"/>
                <w:szCs w:val="24"/>
              </w:rPr>
              <w:t>IL-6 gene</w:t>
            </w:r>
          </w:p>
        </w:tc>
        <w:tc>
          <w:tcPr>
            <w:tcW w:w="954" w:type="dxa"/>
            <w:vAlign w:val="center"/>
          </w:tcPr>
          <w:p w:rsidR="009D6EAF" w:rsidRPr="009D6EAF" w:rsidRDefault="009D6EAF" w:rsidP="009D6EAF">
            <w:pPr>
              <w:spacing w:after="0" w:line="480" w:lineRule="auto"/>
              <w:ind w:left="-58" w:right="180"/>
              <w:jc w:val="center"/>
              <w:rPr>
                <w:rFonts w:asciiTheme="majorBidi" w:hAnsiTheme="majorBidi" w:cstheme="majorBidi"/>
                <w:b/>
                <w:bCs/>
                <w:sz w:val="24"/>
                <w:szCs w:val="24"/>
              </w:rPr>
            </w:pPr>
            <w:r w:rsidRPr="009D6EAF">
              <w:rPr>
                <w:rFonts w:asciiTheme="majorBidi" w:hAnsiTheme="majorBidi" w:cstheme="majorBidi"/>
                <w:b/>
                <w:bCs/>
                <w:sz w:val="24"/>
                <w:szCs w:val="24"/>
              </w:rPr>
              <w:t>F</w:t>
            </w:r>
          </w:p>
        </w:tc>
        <w:tc>
          <w:tcPr>
            <w:tcW w:w="3752" w:type="dxa"/>
            <w:vAlign w:val="center"/>
          </w:tcPr>
          <w:p w:rsidR="009D6EAF" w:rsidRPr="009D6EAF" w:rsidRDefault="009D6EAF" w:rsidP="009D6EAF">
            <w:pPr>
              <w:spacing w:after="0" w:line="480" w:lineRule="auto"/>
              <w:ind w:left="-58" w:right="180"/>
              <w:jc w:val="center"/>
              <w:rPr>
                <w:rFonts w:asciiTheme="majorBidi" w:hAnsiTheme="majorBidi" w:cstheme="majorBidi"/>
                <w:b/>
                <w:bCs/>
                <w:sz w:val="24"/>
                <w:szCs w:val="24"/>
              </w:rPr>
            </w:pPr>
            <w:r w:rsidRPr="009D6EAF">
              <w:rPr>
                <w:rFonts w:asciiTheme="majorBidi" w:hAnsiTheme="majorBidi" w:cstheme="majorBidi"/>
                <w:sz w:val="24"/>
                <w:szCs w:val="24"/>
              </w:rPr>
              <w:t>CAGAAGAACTCAGATGACTG-</w:t>
            </w:r>
          </w:p>
        </w:tc>
        <w:tc>
          <w:tcPr>
            <w:tcW w:w="1929" w:type="dxa"/>
            <w:vMerge w:val="restart"/>
            <w:vAlign w:val="center"/>
          </w:tcPr>
          <w:p w:rsidR="009D6EAF" w:rsidRPr="009D6EAF" w:rsidRDefault="009D6EAF" w:rsidP="009D6EAF">
            <w:pPr>
              <w:spacing w:after="0" w:line="480" w:lineRule="auto"/>
              <w:ind w:left="-58" w:right="180"/>
              <w:jc w:val="center"/>
              <w:rPr>
                <w:rFonts w:asciiTheme="majorBidi" w:hAnsiTheme="majorBidi" w:cstheme="majorBidi"/>
                <w:b/>
                <w:bCs/>
                <w:sz w:val="24"/>
                <w:szCs w:val="24"/>
              </w:rPr>
            </w:pPr>
            <w:r w:rsidRPr="009D6EAF">
              <w:rPr>
                <w:rFonts w:asciiTheme="majorBidi" w:hAnsiTheme="majorBidi" w:cstheme="majorBidi"/>
                <w:sz w:val="24"/>
                <w:szCs w:val="24"/>
              </w:rPr>
              <w:t>431</w:t>
            </w:r>
          </w:p>
        </w:tc>
      </w:tr>
      <w:tr w:rsidR="009D6EAF" w:rsidRPr="009D6EAF" w:rsidTr="009D6EAF">
        <w:trPr>
          <w:trHeight w:val="380"/>
          <w:jc w:val="center"/>
        </w:trPr>
        <w:tc>
          <w:tcPr>
            <w:tcW w:w="1338" w:type="dxa"/>
            <w:vMerge/>
            <w:vAlign w:val="center"/>
          </w:tcPr>
          <w:p w:rsidR="009D6EAF" w:rsidRPr="009D6EAF" w:rsidRDefault="009D6EAF" w:rsidP="009D6EAF">
            <w:pPr>
              <w:spacing w:after="0" w:line="480" w:lineRule="auto"/>
              <w:ind w:left="-58" w:right="180"/>
              <w:jc w:val="center"/>
              <w:rPr>
                <w:rFonts w:asciiTheme="majorBidi" w:hAnsiTheme="majorBidi" w:cstheme="majorBidi"/>
                <w:b/>
                <w:bCs/>
                <w:sz w:val="24"/>
                <w:szCs w:val="24"/>
              </w:rPr>
            </w:pPr>
          </w:p>
        </w:tc>
        <w:tc>
          <w:tcPr>
            <w:tcW w:w="954" w:type="dxa"/>
            <w:vAlign w:val="center"/>
          </w:tcPr>
          <w:p w:rsidR="009D6EAF" w:rsidRPr="009D6EAF" w:rsidRDefault="009D6EAF" w:rsidP="009D6EAF">
            <w:pPr>
              <w:spacing w:after="0" w:line="480" w:lineRule="auto"/>
              <w:ind w:left="-58" w:right="180"/>
              <w:jc w:val="center"/>
              <w:rPr>
                <w:rFonts w:asciiTheme="majorBidi" w:hAnsiTheme="majorBidi" w:cstheme="majorBidi"/>
                <w:b/>
                <w:bCs/>
                <w:sz w:val="24"/>
                <w:szCs w:val="24"/>
              </w:rPr>
            </w:pPr>
            <w:r w:rsidRPr="009D6EAF">
              <w:rPr>
                <w:rFonts w:asciiTheme="majorBidi" w:hAnsiTheme="majorBidi" w:cstheme="majorBidi"/>
                <w:b/>
                <w:bCs/>
                <w:sz w:val="24"/>
                <w:szCs w:val="24"/>
              </w:rPr>
              <w:t>R</w:t>
            </w:r>
          </w:p>
        </w:tc>
        <w:tc>
          <w:tcPr>
            <w:tcW w:w="3752" w:type="dxa"/>
            <w:vAlign w:val="center"/>
          </w:tcPr>
          <w:p w:rsidR="009D6EAF" w:rsidRPr="009D6EAF" w:rsidRDefault="009D6EAF" w:rsidP="009D6EAF">
            <w:pPr>
              <w:spacing w:after="0" w:line="480" w:lineRule="auto"/>
              <w:ind w:left="-58" w:right="180"/>
              <w:jc w:val="center"/>
              <w:rPr>
                <w:rFonts w:asciiTheme="majorBidi" w:hAnsiTheme="majorBidi" w:cstheme="majorBidi"/>
                <w:b/>
                <w:bCs/>
                <w:sz w:val="24"/>
                <w:szCs w:val="24"/>
              </w:rPr>
            </w:pPr>
            <w:r w:rsidRPr="009D6EAF">
              <w:rPr>
                <w:rFonts w:asciiTheme="majorBidi" w:hAnsiTheme="majorBidi" w:cstheme="majorBidi"/>
                <w:color w:val="2A2A2A"/>
                <w:sz w:val="24"/>
                <w:szCs w:val="24"/>
                <w:shd w:val="clear" w:color="auto" w:fill="FFFFFF"/>
              </w:rPr>
              <w:t>GTGGGGCTGATTGGAAA</w:t>
            </w:r>
          </w:p>
        </w:tc>
        <w:tc>
          <w:tcPr>
            <w:tcW w:w="1929" w:type="dxa"/>
            <w:vMerge/>
            <w:vAlign w:val="center"/>
          </w:tcPr>
          <w:p w:rsidR="009D6EAF" w:rsidRPr="009D6EAF" w:rsidRDefault="009D6EAF" w:rsidP="009D6EAF">
            <w:pPr>
              <w:spacing w:after="0" w:line="480" w:lineRule="auto"/>
              <w:ind w:left="-58" w:right="180"/>
              <w:jc w:val="center"/>
              <w:rPr>
                <w:rFonts w:asciiTheme="majorBidi" w:hAnsiTheme="majorBidi" w:cstheme="majorBidi"/>
                <w:b/>
                <w:bCs/>
                <w:sz w:val="24"/>
                <w:szCs w:val="24"/>
              </w:rPr>
            </w:pPr>
          </w:p>
        </w:tc>
      </w:tr>
    </w:tbl>
    <w:p w:rsidR="007B77A0" w:rsidRDefault="007B77A0" w:rsidP="00E25742">
      <w:pPr>
        <w:spacing w:line="480" w:lineRule="auto"/>
        <w:rPr>
          <w:rFonts w:asciiTheme="majorBidi" w:hAnsiTheme="majorBidi" w:cstheme="majorBidi"/>
          <w:sz w:val="24"/>
          <w:szCs w:val="24"/>
        </w:rPr>
      </w:pPr>
    </w:p>
    <w:p w:rsidR="0054144B" w:rsidRDefault="0054144B" w:rsidP="00E25742">
      <w:pPr>
        <w:spacing w:line="480" w:lineRule="auto"/>
        <w:rPr>
          <w:rFonts w:asciiTheme="majorBidi" w:hAnsiTheme="majorBidi" w:cstheme="majorBidi"/>
          <w:sz w:val="24"/>
          <w:szCs w:val="24"/>
        </w:rPr>
      </w:pPr>
      <w:r w:rsidRPr="0054144B">
        <w:rPr>
          <w:rFonts w:asciiTheme="majorBidi" w:hAnsiTheme="majorBidi" w:cstheme="majorBidi"/>
          <w:sz w:val="24"/>
          <w:szCs w:val="24"/>
        </w:rPr>
        <w:lastRenderedPageBreak/>
        <w:t>The master mix</w:t>
      </w:r>
      <w:r>
        <w:rPr>
          <w:rFonts w:asciiTheme="majorBidi" w:hAnsiTheme="majorBidi" w:cstheme="majorBidi"/>
          <w:sz w:val="24"/>
          <w:szCs w:val="24"/>
        </w:rPr>
        <w:t xml:space="preserve"> of the PCR</w:t>
      </w:r>
      <w:r w:rsidRPr="0054144B">
        <w:rPr>
          <w:rFonts w:asciiTheme="majorBidi" w:hAnsiTheme="majorBidi" w:cstheme="majorBidi"/>
          <w:sz w:val="24"/>
          <w:szCs w:val="24"/>
        </w:rPr>
        <w:t xml:space="preserve"> was </w:t>
      </w:r>
      <w:r>
        <w:rPr>
          <w:rFonts w:asciiTheme="majorBidi" w:hAnsiTheme="majorBidi" w:cstheme="majorBidi"/>
          <w:sz w:val="24"/>
          <w:szCs w:val="24"/>
        </w:rPr>
        <w:t>generated</w:t>
      </w:r>
      <w:r w:rsidRPr="0054144B">
        <w:rPr>
          <w:rFonts w:asciiTheme="majorBidi" w:hAnsiTheme="majorBidi" w:cstheme="majorBidi"/>
          <w:sz w:val="24"/>
          <w:szCs w:val="24"/>
        </w:rPr>
        <w:t xml:space="preserve"> by using (</w:t>
      </w:r>
      <w:proofErr w:type="spellStart"/>
      <w:r w:rsidRPr="0054144B">
        <w:rPr>
          <w:rFonts w:asciiTheme="majorBidi" w:hAnsiTheme="majorBidi" w:cstheme="majorBidi"/>
          <w:sz w:val="24"/>
          <w:szCs w:val="24"/>
        </w:rPr>
        <w:t>AccuPower</w:t>
      </w:r>
      <w:proofErr w:type="spellEnd"/>
      <w:r w:rsidRPr="0054144B">
        <w:rPr>
          <w:rFonts w:asciiTheme="majorBidi" w:hAnsiTheme="majorBidi" w:cstheme="majorBidi"/>
          <w:sz w:val="24"/>
          <w:szCs w:val="24"/>
        </w:rPr>
        <w:t xml:space="preserve">® PCR </w:t>
      </w:r>
      <w:proofErr w:type="spellStart"/>
      <w:r w:rsidRPr="0054144B">
        <w:rPr>
          <w:rFonts w:asciiTheme="majorBidi" w:hAnsiTheme="majorBidi" w:cstheme="majorBidi"/>
          <w:sz w:val="24"/>
          <w:szCs w:val="24"/>
        </w:rPr>
        <w:t>PreMix</w:t>
      </w:r>
      <w:proofErr w:type="spellEnd"/>
      <w:r w:rsidRPr="0054144B">
        <w:rPr>
          <w:rFonts w:asciiTheme="majorBidi" w:hAnsiTheme="majorBidi" w:cstheme="majorBidi"/>
          <w:sz w:val="24"/>
          <w:szCs w:val="24"/>
        </w:rPr>
        <w:t xml:space="preserve"> kit. </w:t>
      </w:r>
      <w:proofErr w:type="spellStart"/>
      <w:r w:rsidRPr="0054144B">
        <w:rPr>
          <w:rFonts w:asciiTheme="majorBidi" w:hAnsiTheme="majorBidi" w:cstheme="majorBidi"/>
          <w:sz w:val="24"/>
          <w:szCs w:val="24"/>
        </w:rPr>
        <w:t>Bioneer</w:t>
      </w:r>
      <w:proofErr w:type="spellEnd"/>
      <w:r w:rsidRPr="0054144B">
        <w:rPr>
          <w:rFonts w:asciiTheme="majorBidi" w:hAnsiTheme="majorBidi" w:cstheme="majorBidi"/>
          <w:sz w:val="24"/>
          <w:szCs w:val="24"/>
        </w:rPr>
        <w:t xml:space="preserve">. Korea) as </w:t>
      </w:r>
      <w:r>
        <w:rPr>
          <w:rFonts w:asciiTheme="majorBidi" w:hAnsiTheme="majorBidi" w:cstheme="majorBidi"/>
          <w:sz w:val="24"/>
          <w:szCs w:val="24"/>
        </w:rPr>
        <w:t xml:space="preserve">in the </w:t>
      </w:r>
      <w:r w:rsidRPr="0054144B">
        <w:rPr>
          <w:rFonts w:asciiTheme="majorBidi" w:hAnsiTheme="majorBidi" w:cstheme="majorBidi"/>
          <w:sz w:val="24"/>
          <w:szCs w:val="24"/>
        </w:rPr>
        <w:t>following table</w:t>
      </w:r>
      <w:r>
        <w:rPr>
          <w:rFonts w:asciiTheme="majorBidi" w:hAnsiTheme="majorBidi" w:cstheme="majorBidi"/>
          <w:sz w:val="24"/>
          <w:szCs w:val="24"/>
        </w:rPr>
        <w:t xml:space="preserve"> 2</w:t>
      </w:r>
      <w:r w:rsidRPr="0054144B">
        <w:rPr>
          <w:rFonts w:asciiTheme="majorBidi" w:hAnsiTheme="majorBidi" w:cstheme="majorBidi"/>
          <w:sz w:val="24"/>
          <w:szCs w:val="24"/>
        </w:rPr>
        <w:t>:</w:t>
      </w:r>
    </w:p>
    <w:p w:rsidR="0054144B" w:rsidRPr="00A935D0" w:rsidRDefault="0054144B" w:rsidP="006870B7">
      <w:pPr>
        <w:spacing w:line="480" w:lineRule="auto"/>
        <w:ind w:left="180" w:right="180"/>
        <w:jc w:val="center"/>
        <w:rPr>
          <w:rFonts w:asciiTheme="majorBidi" w:hAnsiTheme="majorBidi" w:cstheme="majorBidi"/>
          <w:b/>
          <w:bCs/>
          <w:sz w:val="24"/>
          <w:szCs w:val="24"/>
        </w:rPr>
      </w:pPr>
      <w:r w:rsidRPr="00A935D0">
        <w:rPr>
          <w:rFonts w:asciiTheme="majorBidi" w:hAnsiTheme="majorBidi" w:cstheme="majorBidi"/>
          <w:b/>
          <w:bCs/>
          <w:sz w:val="24"/>
          <w:szCs w:val="24"/>
        </w:rPr>
        <w:t xml:space="preserve">Table (2): </w:t>
      </w:r>
      <w:r w:rsidR="002C4C4E" w:rsidRPr="00A935D0">
        <w:rPr>
          <w:rFonts w:asciiTheme="majorBidi" w:hAnsiTheme="majorBidi" w:cstheme="majorBidi"/>
          <w:b/>
          <w:bCs/>
          <w:sz w:val="24"/>
          <w:szCs w:val="24"/>
        </w:rPr>
        <w:t>M</w:t>
      </w:r>
      <w:r w:rsidRPr="00A935D0">
        <w:rPr>
          <w:rFonts w:asciiTheme="majorBidi" w:hAnsiTheme="majorBidi" w:cstheme="majorBidi"/>
          <w:b/>
          <w:bCs/>
          <w:sz w:val="24"/>
          <w:szCs w:val="24"/>
        </w:rPr>
        <w:t>aster mix components</w:t>
      </w:r>
      <w:r w:rsidR="002C4C4E" w:rsidRPr="00A935D0">
        <w:rPr>
          <w:rFonts w:asciiTheme="majorBidi" w:hAnsiTheme="majorBidi" w:cstheme="majorBidi"/>
          <w:b/>
          <w:bCs/>
          <w:sz w:val="24"/>
          <w:szCs w:val="24"/>
        </w:rPr>
        <w:t xml:space="preserve"> of the PCR</w:t>
      </w:r>
      <w:r w:rsidRPr="00A935D0">
        <w:rPr>
          <w:rFonts w:asciiTheme="majorBidi" w:hAnsiTheme="majorBidi" w:cstheme="majorBidi"/>
          <w:b/>
          <w:bCs/>
          <w:sz w:val="24"/>
          <w:szCs w:val="24"/>
        </w:rPr>
        <w:t>.</w:t>
      </w:r>
    </w:p>
    <w:tbl>
      <w:tblPr>
        <w:tblStyle w:val="TableGrid"/>
        <w:tblW w:w="0" w:type="auto"/>
        <w:jc w:val="center"/>
        <w:tblLook w:val="04A0" w:firstRow="1" w:lastRow="0" w:firstColumn="1" w:lastColumn="0" w:noHBand="0" w:noVBand="1"/>
      </w:tblPr>
      <w:tblGrid>
        <w:gridCol w:w="1610"/>
        <w:gridCol w:w="1303"/>
        <w:gridCol w:w="1653"/>
      </w:tblGrid>
      <w:tr w:rsidR="0054144B" w:rsidRPr="0054144B" w:rsidTr="00A935D0">
        <w:trPr>
          <w:trHeight w:val="395"/>
          <w:jc w:val="center"/>
        </w:trPr>
        <w:tc>
          <w:tcPr>
            <w:tcW w:w="2913" w:type="dxa"/>
            <w:gridSpan w:val="2"/>
            <w:vAlign w:val="center"/>
          </w:tcPr>
          <w:p w:rsidR="0054144B" w:rsidRPr="0054144B" w:rsidRDefault="0054144B" w:rsidP="006870B7">
            <w:pPr>
              <w:spacing w:line="480" w:lineRule="auto"/>
              <w:ind w:right="180"/>
              <w:rPr>
                <w:rFonts w:asciiTheme="majorBidi" w:hAnsiTheme="majorBidi" w:cstheme="majorBidi"/>
                <w:b/>
                <w:bCs/>
                <w:sz w:val="24"/>
                <w:szCs w:val="24"/>
              </w:rPr>
            </w:pPr>
            <w:r w:rsidRPr="0054144B">
              <w:rPr>
                <w:rFonts w:asciiTheme="majorBidi" w:hAnsiTheme="majorBidi" w:cstheme="majorBidi"/>
                <w:b/>
                <w:bCs/>
                <w:sz w:val="24"/>
                <w:szCs w:val="24"/>
              </w:rPr>
              <w:t>PCR master mix</w:t>
            </w:r>
          </w:p>
        </w:tc>
        <w:tc>
          <w:tcPr>
            <w:tcW w:w="1653" w:type="dxa"/>
            <w:vAlign w:val="center"/>
          </w:tcPr>
          <w:p w:rsidR="0054144B" w:rsidRPr="0054144B" w:rsidRDefault="0054144B" w:rsidP="0054144B">
            <w:pPr>
              <w:spacing w:line="480" w:lineRule="auto"/>
              <w:ind w:right="180"/>
              <w:jc w:val="center"/>
              <w:rPr>
                <w:rFonts w:asciiTheme="majorBidi" w:hAnsiTheme="majorBidi" w:cstheme="majorBidi"/>
                <w:b/>
                <w:bCs/>
                <w:sz w:val="24"/>
                <w:szCs w:val="24"/>
              </w:rPr>
            </w:pPr>
            <w:r w:rsidRPr="0054144B">
              <w:rPr>
                <w:rFonts w:asciiTheme="majorBidi" w:hAnsiTheme="majorBidi" w:cstheme="majorBidi"/>
                <w:b/>
                <w:bCs/>
                <w:sz w:val="24"/>
                <w:szCs w:val="24"/>
              </w:rPr>
              <w:t>Volume</w:t>
            </w:r>
            <w:r>
              <w:rPr>
                <w:rFonts w:asciiTheme="majorBidi" w:hAnsiTheme="majorBidi" w:cstheme="majorBidi"/>
                <w:b/>
                <w:bCs/>
                <w:sz w:val="24"/>
                <w:szCs w:val="24"/>
              </w:rPr>
              <w:t xml:space="preserve"> (µl)</w:t>
            </w:r>
          </w:p>
        </w:tc>
      </w:tr>
      <w:tr w:rsidR="0054144B" w:rsidRPr="0054144B" w:rsidTr="00A935D0">
        <w:trPr>
          <w:trHeight w:val="395"/>
          <w:jc w:val="center"/>
        </w:trPr>
        <w:tc>
          <w:tcPr>
            <w:tcW w:w="2913" w:type="dxa"/>
            <w:gridSpan w:val="2"/>
            <w:vAlign w:val="center"/>
          </w:tcPr>
          <w:p w:rsidR="0054144B" w:rsidRPr="0054144B" w:rsidRDefault="0054144B" w:rsidP="0054144B">
            <w:pPr>
              <w:spacing w:line="480" w:lineRule="auto"/>
              <w:ind w:right="180"/>
              <w:rPr>
                <w:rFonts w:asciiTheme="majorBidi" w:hAnsiTheme="majorBidi" w:cstheme="majorBidi"/>
                <w:b/>
                <w:bCs/>
                <w:sz w:val="24"/>
                <w:szCs w:val="24"/>
              </w:rPr>
            </w:pPr>
            <w:r w:rsidRPr="0054144B">
              <w:rPr>
                <w:rFonts w:asciiTheme="majorBidi" w:hAnsiTheme="majorBidi" w:cstheme="majorBidi"/>
                <w:b/>
                <w:bCs/>
                <w:sz w:val="24"/>
                <w:szCs w:val="24"/>
              </w:rPr>
              <w:t xml:space="preserve">DNA </w:t>
            </w:r>
            <w:r>
              <w:rPr>
                <w:rFonts w:asciiTheme="majorBidi" w:hAnsiTheme="majorBidi" w:cstheme="majorBidi"/>
                <w:b/>
                <w:bCs/>
                <w:sz w:val="24"/>
                <w:szCs w:val="24"/>
              </w:rPr>
              <w:t>(</w:t>
            </w:r>
            <w:r w:rsidRPr="0054144B">
              <w:rPr>
                <w:rFonts w:asciiTheme="majorBidi" w:hAnsiTheme="majorBidi" w:cstheme="majorBidi"/>
                <w:b/>
                <w:bCs/>
                <w:sz w:val="24"/>
                <w:szCs w:val="24"/>
              </w:rPr>
              <w:t>5-50ng</w:t>
            </w:r>
            <w:r>
              <w:rPr>
                <w:rFonts w:asciiTheme="majorBidi" w:hAnsiTheme="majorBidi" w:cstheme="majorBidi"/>
                <w:b/>
                <w:bCs/>
                <w:sz w:val="24"/>
                <w:szCs w:val="24"/>
              </w:rPr>
              <w:t>)</w:t>
            </w:r>
          </w:p>
        </w:tc>
        <w:tc>
          <w:tcPr>
            <w:tcW w:w="1653" w:type="dxa"/>
            <w:vAlign w:val="center"/>
          </w:tcPr>
          <w:p w:rsidR="0054144B" w:rsidRPr="0054144B" w:rsidRDefault="0054144B" w:rsidP="0054144B">
            <w:pPr>
              <w:spacing w:line="480" w:lineRule="auto"/>
              <w:ind w:right="180"/>
              <w:jc w:val="center"/>
              <w:rPr>
                <w:rFonts w:asciiTheme="majorBidi" w:hAnsiTheme="majorBidi" w:cstheme="majorBidi"/>
                <w:sz w:val="24"/>
                <w:szCs w:val="24"/>
              </w:rPr>
            </w:pPr>
            <w:r w:rsidRPr="0054144B">
              <w:rPr>
                <w:rFonts w:asciiTheme="majorBidi" w:hAnsiTheme="majorBidi" w:cstheme="majorBidi"/>
                <w:sz w:val="24"/>
                <w:szCs w:val="24"/>
              </w:rPr>
              <w:t>5</w:t>
            </w:r>
          </w:p>
        </w:tc>
      </w:tr>
      <w:tr w:rsidR="0054144B" w:rsidRPr="0054144B" w:rsidTr="00A935D0">
        <w:trPr>
          <w:trHeight w:val="395"/>
          <w:jc w:val="center"/>
        </w:trPr>
        <w:tc>
          <w:tcPr>
            <w:tcW w:w="1610" w:type="dxa"/>
            <w:vMerge w:val="restart"/>
            <w:vAlign w:val="center"/>
          </w:tcPr>
          <w:p w:rsidR="0054144B" w:rsidRPr="0054144B" w:rsidRDefault="0054144B" w:rsidP="0054144B">
            <w:pPr>
              <w:spacing w:line="480" w:lineRule="auto"/>
              <w:ind w:right="180"/>
              <w:rPr>
                <w:rFonts w:asciiTheme="majorBidi" w:hAnsiTheme="majorBidi" w:cstheme="majorBidi"/>
                <w:b/>
                <w:bCs/>
                <w:sz w:val="24"/>
                <w:szCs w:val="24"/>
              </w:rPr>
            </w:pPr>
            <w:r>
              <w:rPr>
                <w:rFonts w:asciiTheme="majorBidi" w:hAnsiTheme="majorBidi" w:cstheme="majorBidi"/>
                <w:b/>
                <w:bCs/>
                <w:sz w:val="24"/>
                <w:szCs w:val="24"/>
              </w:rPr>
              <w:t>P</w:t>
            </w:r>
            <w:r w:rsidRPr="0054144B">
              <w:rPr>
                <w:rFonts w:asciiTheme="majorBidi" w:hAnsiTheme="majorBidi" w:cstheme="majorBidi"/>
                <w:b/>
                <w:bCs/>
                <w:sz w:val="24"/>
                <w:szCs w:val="24"/>
              </w:rPr>
              <w:t>rimer</w:t>
            </w:r>
            <w:r>
              <w:rPr>
                <w:rFonts w:asciiTheme="majorBidi" w:hAnsiTheme="majorBidi" w:cstheme="majorBidi"/>
                <w:b/>
                <w:bCs/>
                <w:sz w:val="24"/>
                <w:szCs w:val="24"/>
              </w:rPr>
              <w:t>s (</w:t>
            </w:r>
            <w:r w:rsidRPr="0054144B">
              <w:rPr>
                <w:rFonts w:asciiTheme="majorBidi" w:hAnsiTheme="majorBidi" w:cstheme="majorBidi"/>
                <w:b/>
                <w:bCs/>
                <w:sz w:val="24"/>
                <w:szCs w:val="24"/>
              </w:rPr>
              <w:t>10pmol</w:t>
            </w:r>
            <w:r>
              <w:rPr>
                <w:rFonts w:asciiTheme="majorBidi" w:hAnsiTheme="majorBidi" w:cstheme="majorBidi"/>
                <w:b/>
                <w:bCs/>
                <w:sz w:val="24"/>
                <w:szCs w:val="24"/>
              </w:rPr>
              <w:t>)</w:t>
            </w:r>
          </w:p>
          <w:p w:rsidR="0054144B" w:rsidRPr="0054144B" w:rsidRDefault="0054144B" w:rsidP="0054144B">
            <w:pPr>
              <w:spacing w:line="480" w:lineRule="auto"/>
              <w:ind w:right="180"/>
              <w:rPr>
                <w:rFonts w:asciiTheme="majorBidi" w:hAnsiTheme="majorBidi" w:cstheme="majorBidi"/>
                <w:b/>
                <w:bCs/>
                <w:sz w:val="24"/>
                <w:szCs w:val="24"/>
              </w:rPr>
            </w:pPr>
          </w:p>
        </w:tc>
        <w:tc>
          <w:tcPr>
            <w:tcW w:w="1303" w:type="dxa"/>
            <w:vAlign w:val="center"/>
          </w:tcPr>
          <w:p w:rsidR="0054144B" w:rsidRPr="0054144B" w:rsidRDefault="0054144B" w:rsidP="0054144B">
            <w:pPr>
              <w:spacing w:line="480" w:lineRule="auto"/>
              <w:ind w:right="180"/>
              <w:rPr>
                <w:rFonts w:asciiTheme="majorBidi" w:hAnsiTheme="majorBidi" w:cstheme="majorBidi"/>
                <w:b/>
                <w:bCs/>
                <w:sz w:val="24"/>
                <w:szCs w:val="24"/>
              </w:rPr>
            </w:pPr>
            <w:r w:rsidRPr="0054144B">
              <w:rPr>
                <w:rFonts w:asciiTheme="majorBidi" w:hAnsiTheme="majorBidi" w:cstheme="majorBidi"/>
                <w:b/>
                <w:bCs/>
                <w:sz w:val="24"/>
                <w:szCs w:val="24"/>
              </w:rPr>
              <w:t xml:space="preserve">Forward </w:t>
            </w:r>
          </w:p>
        </w:tc>
        <w:tc>
          <w:tcPr>
            <w:tcW w:w="1653" w:type="dxa"/>
            <w:vAlign w:val="center"/>
          </w:tcPr>
          <w:p w:rsidR="0054144B" w:rsidRPr="0054144B" w:rsidRDefault="0054144B" w:rsidP="0054144B">
            <w:pPr>
              <w:spacing w:line="480" w:lineRule="auto"/>
              <w:ind w:right="180"/>
              <w:jc w:val="center"/>
              <w:rPr>
                <w:rFonts w:asciiTheme="majorBidi" w:hAnsiTheme="majorBidi" w:cstheme="majorBidi"/>
                <w:sz w:val="24"/>
                <w:szCs w:val="24"/>
              </w:rPr>
            </w:pPr>
            <w:r w:rsidRPr="0054144B">
              <w:rPr>
                <w:rFonts w:asciiTheme="majorBidi" w:hAnsiTheme="majorBidi" w:cstheme="majorBidi"/>
                <w:sz w:val="24"/>
                <w:szCs w:val="24"/>
              </w:rPr>
              <w:t>1</w:t>
            </w:r>
          </w:p>
        </w:tc>
      </w:tr>
      <w:tr w:rsidR="0054144B" w:rsidRPr="0054144B" w:rsidTr="00A935D0">
        <w:trPr>
          <w:trHeight w:val="395"/>
          <w:jc w:val="center"/>
        </w:trPr>
        <w:tc>
          <w:tcPr>
            <w:tcW w:w="1610" w:type="dxa"/>
            <w:vMerge/>
            <w:vAlign w:val="center"/>
          </w:tcPr>
          <w:p w:rsidR="0054144B" w:rsidRPr="0054144B" w:rsidRDefault="0054144B" w:rsidP="0054144B">
            <w:pPr>
              <w:spacing w:line="480" w:lineRule="auto"/>
              <w:ind w:right="180"/>
              <w:rPr>
                <w:rFonts w:asciiTheme="majorBidi" w:hAnsiTheme="majorBidi" w:cstheme="majorBidi"/>
                <w:b/>
                <w:bCs/>
                <w:sz w:val="24"/>
                <w:szCs w:val="24"/>
              </w:rPr>
            </w:pPr>
          </w:p>
        </w:tc>
        <w:tc>
          <w:tcPr>
            <w:tcW w:w="1303" w:type="dxa"/>
            <w:vAlign w:val="center"/>
          </w:tcPr>
          <w:p w:rsidR="0054144B" w:rsidRPr="0054144B" w:rsidRDefault="0054144B" w:rsidP="0054144B">
            <w:pPr>
              <w:spacing w:line="480" w:lineRule="auto"/>
              <w:ind w:right="180"/>
              <w:rPr>
                <w:rFonts w:asciiTheme="majorBidi" w:hAnsiTheme="majorBidi" w:cstheme="majorBidi"/>
                <w:b/>
                <w:bCs/>
                <w:sz w:val="24"/>
                <w:szCs w:val="24"/>
              </w:rPr>
            </w:pPr>
            <w:r>
              <w:rPr>
                <w:rFonts w:asciiTheme="majorBidi" w:hAnsiTheme="majorBidi" w:cstheme="majorBidi"/>
                <w:b/>
                <w:bCs/>
                <w:sz w:val="24"/>
                <w:szCs w:val="24"/>
              </w:rPr>
              <w:t>Reverse</w:t>
            </w:r>
          </w:p>
        </w:tc>
        <w:tc>
          <w:tcPr>
            <w:tcW w:w="1653" w:type="dxa"/>
            <w:vAlign w:val="center"/>
          </w:tcPr>
          <w:p w:rsidR="0054144B" w:rsidRPr="0054144B" w:rsidRDefault="0054144B" w:rsidP="0054144B">
            <w:pPr>
              <w:spacing w:line="480" w:lineRule="auto"/>
              <w:ind w:right="180"/>
              <w:jc w:val="center"/>
              <w:rPr>
                <w:rFonts w:asciiTheme="majorBidi" w:hAnsiTheme="majorBidi" w:cstheme="majorBidi"/>
                <w:sz w:val="24"/>
                <w:szCs w:val="24"/>
              </w:rPr>
            </w:pPr>
            <w:r w:rsidRPr="0054144B">
              <w:rPr>
                <w:rFonts w:asciiTheme="majorBidi" w:hAnsiTheme="majorBidi" w:cstheme="majorBidi"/>
                <w:sz w:val="24"/>
                <w:szCs w:val="24"/>
              </w:rPr>
              <w:t>1</w:t>
            </w:r>
          </w:p>
        </w:tc>
      </w:tr>
      <w:tr w:rsidR="0054144B" w:rsidRPr="0054144B" w:rsidTr="00A935D0">
        <w:trPr>
          <w:trHeight w:val="395"/>
          <w:jc w:val="center"/>
        </w:trPr>
        <w:tc>
          <w:tcPr>
            <w:tcW w:w="2913" w:type="dxa"/>
            <w:gridSpan w:val="2"/>
            <w:vAlign w:val="center"/>
          </w:tcPr>
          <w:p w:rsidR="0054144B" w:rsidRPr="0054144B" w:rsidRDefault="0054144B" w:rsidP="0054144B">
            <w:pPr>
              <w:spacing w:line="480" w:lineRule="auto"/>
              <w:ind w:right="180"/>
              <w:rPr>
                <w:rFonts w:asciiTheme="majorBidi" w:hAnsiTheme="majorBidi" w:cstheme="majorBidi"/>
                <w:b/>
                <w:bCs/>
                <w:sz w:val="24"/>
                <w:szCs w:val="24"/>
              </w:rPr>
            </w:pPr>
            <w:r w:rsidRPr="0054144B">
              <w:rPr>
                <w:rFonts w:asciiTheme="majorBidi" w:hAnsiTheme="majorBidi" w:cstheme="majorBidi"/>
                <w:b/>
                <w:bCs/>
                <w:sz w:val="24"/>
                <w:szCs w:val="24"/>
              </w:rPr>
              <w:t>PCR water</w:t>
            </w:r>
          </w:p>
        </w:tc>
        <w:tc>
          <w:tcPr>
            <w:tcW w:w="1653" w:type="dxa"/>
            <w:vAlign w:val="center"/>
          </w:tcPr>
          <w:p w:rsidR="0054144B" w:rsidRPr="0054144B" w:rsidRDefault="0054144B" w:rsidP="0054144B">
            <w:pPr>
              <w:spacing w:line="480" w:lineRule="auto"/>
              <w:ind w:right="180"/>
              <w:jc w:val="center"/>
              <w:rPr>
                <w:rFonts w:asciiTheme="majorBidi" w:hAnsiTheme="majorBidi" w:cstheme="majorBidi"/>
                <w:sz w:val="24"/>
                <w:szCs w:val="24"/>
              </w:rPr>
            </w:pPr>
            <w:r w:rsidRPr="0054144B">
              <w:rPr>
                <w:rFonts w:asciiTheme="majorBidi" w:hAnsiTheme="majorBidi" w:cstheme="majorBidi"/>
                <w:sz w:val="24"/>
                <w:szCs w:val="24"/>
              </w:rPr>
              <w:t>13</w:t>
            </w:r>
          </w:p>
        </w:tc>
      </w:tr>
      <w:tr w:rsidR="0054144B" w:rsidRPr="0054144B" w:rsidTr="00A935D0">
        <w:trPr>
          <w:trHeight w:val="395"/>
          <w:jc w:val="center"/>
        </w:trPr>
        <w:tc>
          <w:tcPr>
            <w:tcW w:w="2913" w:type="dxa"/>
            <w:gridSpan w:val="2"/>
            <w:vAlign w:val="center"/>
          </w:tcPr>
          <w:p w:rsidR="0054144B" w:rsidRPr="0054144B" w:rsidRDefault="0054144B" w:rsidP="0054144B">
            <w:pPr>
              <w:spacing w:line="480" w:lineRule="auto"/>
              <w:ind w:right="180"/>
              <w:rPr>
                <w:rFonts w:asciiTheme="majorBidi" w:hAnsiTheme="majorBidi" w:cstheme="majorBidi"/>
                <w:b/>
                <w:bCs/>
                <w:sz w:val="24"/>
                <w:szCs w:val="24"/>
              </w:rPr>
            </w:pPr>
            <w:r w:rsidRPr="0054144B">
              <w:rPr>
                <w:rFonts w:asciiTheme="majorBidi" w:hAnsiTheme="majorBidi" w:cstheme="majorBidi"/>
                <w:b/>
                <w:bCs/>
                <w:sz w:val="24"/>
                <w:szCs w:val="24"/>
              </w:rPr>
              <w:t xml:space="preserve">Total </w:t>
            </w:r>
          </w:p>
        </w:tc>
        <w:tc>
          <w:tcPr>
            <w:tcW w:w="1653" w:type="dxa"/>
            <w:vAlign w:val="center"/>
          </w:tcPr>
          <w:p w:rsidR="0054144B" w:rsidRPr="0054144B" w:rsidRDefault="0054144B" w:rsidP="0054144B">
            <w:pPr>
              <w:spacing w:line="480" w:lineRule="auto"/>
              <w:ind w:right="180"/>
              <w:jc w:val="center"/>
              <w:rPr>
                <w:rFonts w:asciiTheme="majorBidi" w:hAnsiTheme="majorBidi" w:cstheme="majorBidi"/>
                <w:sz w:val="24"/>
                <w:szCs w:val="24"/>
              </w:rPr>
            </w:pPr>
            <w:r w:rsidRPr="0054144B">
              <w:rPr>
                <w:rFonts w:asciiTheme="majorBidi" w:hAnsiTheme="majorBidi" w:cstheme="majorBidi"/>
                <w:sz w:val="24"/>
                <w:szCs w:val="24"/>
              </w:rPr>
              <w:t>20</w:t>
            </w:r>
          </w:p>
        </w:tc>
      </w:tr>
    </w:tbl>
    <w:p w:rsidR="00DF25B7" w:rsidRDefault="00DF25B7" w:rsidP="00DF25B7">
      <w:pPr>
        <w:spacing w:line="480" w:lineRule="auto"/>
        <w:ind w:left="180" w:right="180"/>
        <w:jc w:val="both"/>
        <w:rPr>
          <w:rFonts w:asciiTheme="majorBidi" w:hAnsiTheme="majorBidi" w:cstheme="majorBidi"/>
          <w:sz w:val="24"/>
          <w:szCs w:val="24"/>
        </w:rPr>
      </w:pPr>
    </w:p>
    <w:p w:rsidR="0054144B" w:rsidRDefault="00DF25B7" w:rsidP="00DA1287">
      <w:pPr>
        <w:spacing w:line="480" w:lineRule="auto"/>
        <w:ind w:left="180" w:right="180"/>
        <w:jc w:val="both"/>
        <w:rPr>
          <w:rFonts w:asciiTheme="majorBidi" w:hAnsiTheme="majorBidi" w:cstheme="majorBidi"/>
          <w:sz w:val="24"/>
          <w:szCs w:val="24"/>
        </w:rPr>
      </w:pPr>
      <w:r w:rsidRPr="00DF25B7">
        <w:rPr>
          <w:rFonts w:asciiTheme="majorBidi" w:hAnsiTheme="majorBidi" w:cstheme="majorBidi"/>
          <w:sz w:val="24"/>
          <w:szCs w:val="24"/>
        </w:rPr>
        <w:t>The PCR premix tube</w:t>
      </w:r>
      <w:r>
        <w:rPr>
          <w:rFonts w:asciiTheme="majorBidi" w:hAnsiTheme="majorBidi" w:cstheme="majorBidi"/>
          <w:sz w:val="24"/>
          <w:szCs w:val="24"/>
        </w:rPr>
        <w:t>s that</w:t>
      </w:r>
      <w:r w:rsidRPr="00DF25B7">
        <w:rPr>
          <w:rFonts w:asciiTheme="majorBidi" w:hAnsiTheme="majorBidi" w:cstheme="majorBidi"/>
          <w:sz w:val="24"/>
          <w:szCs w:val="24"/>
        </w:rPr>
        <w:t xml:space="preserve"> contain</w:t>
      </w:r>
      <w:r>
        <w:rPr>
          <w:rFonts w:asciiTheme="majorBidi" w:hAnsiTheme="majorBidi" w:cstheme="majorBidi"/>
          <w:sz w:val="24"/>
          <w:szCs w:val="24"/>
        </w:rPr>
        <w:t>ed</w:t>
      </w:r>
      <w:r w:rsidR="002C4C4E" w:rsidRPr="00DF25B7">
        <w:rPr>
          <w:rFonts w:asciiTheme="majorBidi" w:hAnsiTheme="majorBidi" w:cstheme="majorBidi"/>
          <w:sz w:val="24"/>
          <w:szCs w:val="24"/>
        </w:rPr>
        <w:t>1U</w:t>
      </w:r>
      <w:r w:rsidRPr="00DF25B7">
        <w:rPr>
          <w:rFonts w:asciiTheme="majorBidi" w:hAnsiTheme="majorBidi" w:cstheme="majorBidi"/>
          <w:sz w:val="24"/>
          <w:szCs w:val="24"/>
        </w:rPr>
        <w:t xml:space="preserve">DNA polymerase, </w:t>
      </w:r>
      <w:r w:rsidR="002C4C4E" w:rsidRPr="00DF25B7">
        <w:rPr>
          <w:rFonts w:asciiTheme="majorBidi" w:hAnsiTheme="majorBidi" w:cstheme="majorBidi"/>
          <w:sz w:val="24"/>
          <w:szCs w:val="24"/>
        </w:rPr>
        <w:t>250µM</w:t>
      </w:r>
      <w:r w:rsidRPr="00DF25B7">
        <w:rPr>
          <w:rFonts w:asciiTheme="majorBidi" w:hAnsiTheme="majorBidi" w:cstheme="majorBidi"/>
          <w:sz w:val="24"/>
          <w:szCs w:val="24"/>
        </w:rPr>
        <w:t xml:space="preserve">dNTPs, </w:t>
      </w:r>
      <w:r w:rsidR="002C4C4E" w:rsidRPr="00DF25B7">
        <w:rPr>
          <w:rFonts w:asciiTheme="majorBidi" w:hAnsiTheme="majorBidi" w:cstheme="majorBidi"/>
          <w:sz w:val="24"/>
          <w:szCs w:val="24"/>
        </w:rPr>
        <w:t>10mM</w:t>
      </w:r>
      <w:r w:rsidRPr="00DF25B7">
        <w:rPr>
          <w:rFonts w:asciiTheme="majorBidi" w:hAnsiTheme="majorBidi" w:cstheme="majorBidi"/>
          <w:sz w:val="24"/>
          <w:szCs w:val="24"/>
        </w:rPr>
        <w:t xml:space="preserve">Tris-HCl (pH 9.0), </w:t>
      </w:r>
      <w:r w:rsidR="002C4C4E" w:rsidRPr="00DF25B7">
        <w:rPr>
          <w:rFonts w:asciiTheme="majorBidi" w:hAnsiTheme="majorBidi" w:cstheme="majorBidi"/>
          <w:sz w:val="24"/>
          <w:szCs w:val="24"/>
        </w:rPr>
        <w:t>30mM</w:t>
      </w:r>
      <w:r w:rsidRPr="00DF25B7">
        <w:rPr>
          <w:rFonts w:asciiTheme="majorBidi" w:hAnsiTheme="majorBidi" w:cstheme="majorBidi"/>
          <w:sz w:val="24"/>
          <w:szCs w:val="24"/>
        </w:rPr>
        <w:t xml:space="preserve">KCl, </w:t>
      </w:r>
      <w:r w:rsidR="002C4C4E" w:rsidRPr="00DF25B7">
        <w:rPr>
          <w:rFonts w:asciiTheme="majorBidi" w:hAnsiTheme="majorBidi" w:cstheme="majorBidi"/>
          <w:sz w:val="24"/>
          <w:szCs w:val="24"/>
        </w:rPr>
        <w:t>1.5mM</w:t>
      </w:r>
      <w:r w:rsidRPr="00DF25B7">
        <w:rPr>
          <w:rFonts w:asciiTheme="majorBidi" w:hAnsiTheme="majorBidi" w:cstheme="majorBidi"/>
          <w:sz w:val="24"/>
          <w:szCs w:val="24"/>
        </w:rPr>
        <w:t>MgC</w:t>
      </w:r>
      <w:r w:rsidR="002C4C4E">
        <w:rPr>
          <w:rFonts w:asciiTheme="majorBidi" w:hAnsiTheme="majorBidi" w:cstheme="majorBidi"/>
          <w:sz w:val="24"/>
          <w:szCs w:val="24"/>
        </w:rPr>
        <w:t>l</w:t>
      </w:r>
      <w:r w:rsidR="002C4C4E">
        <w:rPr>
          <w:rFonts w:asciiTheme="majorBidi" w:hAnsiTheme="majorBidi" w:cstheme="majorBidi"/>
          <w:sz w:val="24"/>
          <w:szCs w:val="24"/>
          <w:vertAlign w:val="subscript"/>
        </w:rPr>
        <w:t>2</w:t>
      </w:r>
      <w:r w:rsidRPr="00DF25B7">
        <w:rPr>
          <w:rFonts w:asciiTheme="majorBidi" w:hAnsiTheme="majorBidi" w:cstheme="majorBidi"/>
          <w:sz w:val="24"/>
          <w:szCs w:val="24"/>
        </w:rPr>
        <w:t xml:space="preserve">, and </w:t>
      </w:r>
      <w:r w:rsidR="002C4C4E">
        <w:rPr>
          <w:rFonts w:asciiTheme="majorBidi" w:hAnsiTheme="majorBidi" w:cstheme="majorBidi"/>
          <w:sz w:val="24"/>
          <w:szCs w:val="24"/>
        </w:rPr>
        <w:t xml:space="preserve">a </w:t>
      </w:r>
      <w:r w:rsidRPr="00DF25B7">
        <w:rPr>
          <w:rFonts w:asciiTheme="majorBidi" w:hAnsiTheme="majorBidi" w:cstheme="majorBidi"/>
          <w:sz w:val="24"/>
          <w:szCs w:val="24"/>
        </w:rPr>
        <w:t xml:space="preserve">dye </w:t>
      </w:r>
      <w:r>
        <w:rPr>
          <w:rFonts w:asciiTheme="majorBidi" w:hAnsiTheme="majorBidi" w:cstheme="majorBidi"/>
          <w:sz w:val="24"/>
          <w:szCs w:val="24"/>
        </w:rPr>
        <w:t xml:space="preserve">were used to place the master mix in </w:t>
      </w:r>
      <w:r w:rsidRPr="00DF25B7">
        <w:rPr>
          <w:rFonts w:asciiTheme="majorBidi" w:hAnsiTheme="majorBidi" w:cstheme="majorBidi"/>
          <w:sz w:val="24"/>
          <w:szCs w:val="24"/>
        </w:rPr>
        <w:t xml:space="preserve">and </w:t>
      </w:r>
      <w:r>
        <w:rPr>
          <w:rFonts w:asciiTheme="majorBidi" w:hAnsiTheme="majorBidi" w:cstheme="majorBidi"/>
          <w:sz w:val="24"/>
          <w:szCs w:val="24"/>
        </w:rPr>
        <w:t>vortex-</w:t>
      </w:r>
      <w:r w:rsidRPr="00DF25B7">
        <w:rPr>
          <w:rFonts w:asciiTheme="majorBidi" w:hAnsiTheme="majorBidi" w:cstheme="majorBidi"/>
          <w:sz w:val="24"/>
          <w:szCs w:val="24"/>
        </w:rPr>
        <w:t xml:space="preserve">mixed </w:t>
      </w:r>
      <w:r>
        <w:rPr>
          <w:rFonts w:asciiTheme="majorBidi" w:hAnsiTheme="majorBidi" w:cstheme="majorBidi"/>
          <w:sz w:val="24"/>
          <w:szCs w:val="24"/>
        </w:rPr>
        <w:t xml:space="preserve">briefly </w:t>
      </w:r>
      <w:r w:rsidRPr="00DF25B7">
        <w:rPr>
          <w:rFonts w:asciiTheme="majorBidi" w:hAnsiTheme="majorBidi" w:cstheme="majorBidi"/>
          <w:sz w:val="24"/>
          <w:szCs w:val="24"/>
        </w:rPr>
        <w:t>(</w:t>
      </w:r>
      <w:proofErr w:type="spellStart"/>
      <w:r w:rsidRPr="00DF25B7">
        <w:rPr>
          <w:rFonts w:asciiTheme="majorBidi" w:hAnsiTheme="majorBidi" w:cstheme="majorBidi"/>
          <w:sz w:val="24"/>
          <w:szCs w:val="24"/>
        </w:rPr>
        <w:t>Bioneer</w:t>
      </w:r>
      <w:proofErr w:type="spellEnd"/>
      <w:r>
        <w:rPr>
          <w:rFonts w:asciiTheme="majorBidi" w:hAnsiTheme="majorBidi" w:cstheme="majorBidi"/>
          <w:sz w:val="24"/>
          <w:szCs w:val="24"/>
        </w:rPr>
        <w:t>,</w:t>
      </w:r>
      <w:r w:rsidRPr="00DF25B7">
        <w:rPr>
          <w:rFonts w:asciiTheme="majorBidi" w:hAnsiTheme="majorBidi" w:cstheme="majorBidi"/>
          <w:sz w:val="24"/>
          <w:szCs w:val="24"/>
        </w:rPr>
        <w:t xml:space="preserve"> Korea). </w:t>
      </w:r>
      <w:r w:rsidR="00DA1287">
        <w:rPr>
          <w:rFonts w:asciiTheme="majorBidi" w:hAnsiTheme="majorBidi" w:cstheme="majorBidi"/>
          <w:sz w:val="24"/>
          <w:szCs w:val="24"/>
        </w:rPr>
        <w:t xml:space="preserve">A </w:t>
      </w:r>
      <w:r w:rsidRPr="00DF25B7">
        <w:rPr>
          <w:rFonts w:asciiTheme="majorBidi" w:hAnsiTheme="majorBidi" w:cstheme="majorBidi"/>
          <w:sz w:val="24"/>
          <w:szCs w:val="24"/>
        </w:rPr>
        <w:t>thermocycler (T100 Thermal cycler Bio-</w:t>
      </w:r>
      <w:proofErr w:type="spellStart"/>
      <w:proofErr w:type="gramStart"/>
      <w:r w:rsidRPr="00DF25B7">
        <w:rPr>
          <w:rFonts w:asciiTheme="majorBidi" w:hAnsiTheme="majorBidi" w:cstheme="majorBidi"/>
          <w:sz w:val="24"/>
          <w:szCs w:val="24"/>
        </w:rPr>
        <w:t>Rad</w:t>
      </w:r>
      <w:r w:rsidR="00DA1287">
        <w:rPr>
          <w:rFonts w:asciiTheme="majorBidi" w:hAnsiTheme="majorBidi" w:cstheme="majorBidi"/>
          <w:sz w:val="24"/>
          <w:szCs w:val="24"/>
        </w:rPr>
        <w:t>,</w:t>
      </w:r>
      <w:r w:rsidRPr="00DF25B7">
        <w:rPr>
          <w:rFonts w:asciiTheme="majorBidi" w:hAnsiTheme="majorBidi" w:cstheme="majorBidi"/>
          <w:sz w:val="24"/>
          <w:szCs w:val="24"/>
        </w:rPr>
        <w:t>USA</w:t>
      </w:r>
      <w:proofErr w:type="spellEnd"/>
      <w:proofErr w:type="gramEnd"/>
      <w:r w:rsidRPr="00DF25B7">
        <w:rPr>
          <w:rFonts w:asciiTheme="majorBidi" w:hAnsiTheme="majorBidi" w:cstheme="majorBidi"/>
          <w:sz w:val="24"/>
          <w:szCs w:val="24"/>
        </w:rPr>
        <w:t xml:space="preserve">) </w:t>
      </w:r>
      <w:r w:rsidR="00DA1287">
        <w:rPr>
          <w:rFonts w:asciiTheme="majorBidi" w:hAnsiTheme="majorBidi" w:cstheme="majorBidi"/>
          <w:sz w:val="24"/>
          <w:szCs w:val="24"/>
        </w:rPr>
        <w:t>was employed to generate the PCR reaction using the conditions provided in the</w:t>
      </w:r>
      <w:r w:rsidRPr="00DF25B7">
        <w:rPr>
          <w:rFonts w:asciiTheme="majorBidi" w:hAnsiTheme="majorBidi" w:cstheme="majorBidi"/>
          <w:sz w:val="24"/>
          <w:szCs w:val="24"/>
        </w:rPr>
        <w:t xml:space="preserve"> table</w:t>
      </w:r>
      <w:r w:rsidR="00DA1287">
        <w:rPr>
          <w:rFonts w:asciiTheme="majorBidi" w:hAnsiTheme="majorBidi" w:cstheme="majorBidi"/>
          <w:sz w:val="24"/>
          <w:szCs w:val="24"/>
        </w:rPr>
        <w:t xml:space="preserve"> 3</w:t>
      </w:r>
    </w:p>
    <w:p w:rsidR="00DA1287" w:rsidRPr="00A935D0" w:rsidRDefault="00DA1287" w:rsidP="006870B7">
      <w:pPr>
        <w:spacing w:line="480" w:lineRule="auto"/>
        <w:ind w:left="180" w:right="180"/>
        <w:jc w:val="center"/>
        <w:rPr>
          <w:rFonts w:asciiTheme="majorBidi" w:hAnsiTheme="majorBidi" w:cstheme="majorBidi"/>
          <w:b/>
          <w:bCs/>
          <w:sz w:val="24"/>
          <w:szCs w:val="24"/>
        </w:rPr>
      </w:pPr>
      <w:r w:rsidRPr="00A935D0">
        <w:rPr>
          <w:rFonts w:asciiTheme="majorBidi" w:hAnsiTheme="majorBidi" w:cstheme="majorBidi"/>
          <w:b/>
          <w:bCs/>
          <w:sz w:val="24"/>
          <w:szCs w:val="24"/>
        </w:rPr>
        <w:t>Table (3): The Thermocycler PCR conditions</w:t>
      </w:r>
    </w:p>
    <w:tbl>
      <w:tblPr>
        <w:tblStyle w:val="TableGrid"/>
        <w:tblW w:w="0" w:type="auto"/>
        <w:jc w:val="center"/>
        <w:tblLook w:val="04A0" w:firstRow="1" w:lastRow="0" w:firstColumn="1" w:lastColumn="0" w:noHBand="0" w:noVBand="1"/>
      </w:tblPr>
      <w:tblGrid>
        <w:gridCol w:w="2010"/>
        <w:gridCol w:w="1584"/>
        <w:gridCol w:w="1559"/>
        <w:gridCol w:w="2302"/>
      </w:tblGrid>
      <w:tr w:rsidR="007E78E0" w:rsidRPr="007E78E0" w:rsidTr="00674735">
        <w:trPr>
          <w:trHeight w:val="415"/>
          <w:jc w:val="center"/>
        </w:trPr>
        <w:tc>
          <w:tcPr>
            <w:tcW w:w="2010" w:type="dxa"/>
            <w:vAlign w:val="center"/>
          </w:tcPr>
          <w:p w:rsidR="007E78E0" w:rsidRPr="007E78E0" w:rsidRDefault="007E78E0" w:rsidP="007E78E0">
            <w:pPr>
              <w:spacing w:line="480" w:lineRule="auto"/>
              <w:ind w:right="180"/>
              <w:jc w:val="center"/>
              <w:rPr>
                <w:rFonts w:asciiTheme="majorBidi" w:hAnsiTheme="majorBidi" w:cstheme="majorBidi"/>
                <w:b/>
                <w:bCs/>
                <w:sz w:val="24"/>
                <w:szCs w:val="24"/>
              </w:rPr>
            </w:pPr>
            <w:r w:rsidRPr="007E78E0">
              <w:rPr>
                <w:rFonts w:asciiTheme="majorBidi" w:hAnsiTheme="majorBidi" w:cstheme="majorBidi"/>
                <w:b/>
                <w:bCs/>
                <w:sz w:val="24"/>
                <w:szCs w:val="24"/>
              </w:rPr>
              <w:t>PCR step</w:t>
            </w:r>
          </w:p>
        </w:tc>
        <w:tc>
          <w:tcPr>
            <w:tcW w:w="1584" w:type="dxa"/>
            <w:vAlign w:val="center"/>
          </w:tcPr>
          <w:p w:rsidR="007E78E0" w:rsidRPr="007E78E0" w:rsidRDefault="007E78E0" w:rsidP="007E78E0">
            <w:pPr>
              <w:spacing w:line="480" w:lineRule="auto"/>
              <w:ind w:right="180"/>
              <w:jc w:val="center"/>
              <w:rPr>
                <w:rFonts w:asciiTheme="majorBidi" w:hAnsiTheme="majorBidi" w:cstheme="majorBidi"/>
                <w:b/>
                <w:bCs/>
                <w:sz w:val="24"/>
                <w:szCs w:val="24"/>
              </w:rPr>
            </w:pPr>
            <w:r w:rsidRPr="007E78E0">
              <w:rPr>
                <w:rFonts w:asciiTheme="majorBidi" w:hAnsiTheme="majorBidi" w:cstheme="majorBidi"/>
                <w:b/>
                <w:bCs/>
                <w:sz w:val="24"/>
                <w:szCs w:val="24"/>
              </w:rPr>
              <w:t>Temp.</w:t>
            </w:r>
            <w:r>
              <w:rPr>
                <w:rFonts w:asciiTheme="majorBidi" w:hAnsiTheme="majorBidi" w:cstheme="majorBidi"/>
                <w:b/>
                <w:bCs/>
                <w:sz w:val="24"/>
                <w:szCs w:val="24"/>
              </w:rPr>
              <w:t xml:space="preserve"> (°C)</w:t>
            </w:r>
          </w:p>
        </w:tc>
        <w:tc>
          <w:tcPr>
            <w:tcW w:w="1559" w:type="dxa"/>
            <w:vAlign w:val="center"/>
          </w:tcPr>
          <w:p w:rsidR="007E78E0" w:rsidRPr="007E78E0" w:rsidRDefault="007E78E0" w:rsidP="007E78E0">
            <w:pPr>
              <w:spacing w:line="480" w:lineRule="auto"/>
              <w:ind w:right="180"/>
              <w:jc w:val="center"/>
              <w:rPr>
                <w:rFonts w:asciiTheme="majorBidi" w:hAnsiTheme="majorBidi" w:cstheme="majorBidi"/>
                <w:b/>
                <w:bCs/>
                <w:sz w:val="24"/>
                <w:szCs w:val="24"/>
              </w:rPr>
            </w:pPr>
            <w:r w:rsidRPr="007E78E0">
              <w:rPr>
                <w:rFonts w:asciiTheme="majorBidi" w:hAnsiTheme="majorBidi" w:cstheme="majorBidi"/>
                <w:b/>
                <w:bCs/>
                <w:sz w:val="24"/>
                <w:szCs w:val="24"/>
              </w:rPr>
              <w:t>Time</w:t>
            </w:r>
            <w:r>
              <w:rPr>
                <w:rFonts w:asciiTheme="majorBidi" w:hAnsiTheme="majorBidi" w:cstheme="majorBidi"/>
                <w:b/>
                <w:bCs/>
                <w:sz w:val="24"/>
                <w:szCs w:val="24"/>
              </w:rPr>
              <w:t xml:space="preserve"> (min)</w:t>
            </w:r>
          </w:p>
        </w:tc>
        <w:tc>
          <w:tcPr>
            <w:tcW w:w="2302" w:type="dxa"/>
            <w:vAlign w:val="center"/>
          </w:tcPr>
          <w:p w:rsidR="007E78E0" w:rsidRPr="007E78E0" w:rsidRDefault="007E78E0" w:rsidP="007E78E0">
            <w:pPr>
              <w:spacing w:line="480" w:lineRule="auto"/>
              <w:ind w:right="180"/>
              <w:jc w:val="center"/>
              <w:rPr>
                <w:rFonts w:asciiTheme="majorBidi" w:hAnsiTheme="majorBidi" w:cstheme="majorBidi"/>
                <w:b/>
                <w:bCs/>
                <w:sz w:val="24"/>
                <w:szCs w:val="24"/>
              </w:rPr>
            </w:pPr>
            <w:r w:rsidRPr="007E78E0">
              <w:rPr>
                <w:rFonts w:asciiTheme="majorBidi" w:hAnsiTheme="majorBidi" w:cstheme="majorBidi"/>
                <w:b/>
                <w:bCs/>
                <w:sz w:val="24"/>
                <w:szCs w:val="24"/>
              </w:rPr>
              <w:t>Repeat cycle</w:t>
            </w:r>
            <w:r>
              <w:rPr>
                <w:rFonts w:asciiTheme="majorBidi" w:hAnsiTheme="majorBidi" w:cstheme="majorBidi"/>
                <w:b/>
                <w:bCs/>
                <w:sz w:val="24"/>
                <w:szCs w:val="24"/>
              </w:rPr>
              <w:t xml:space="preserve"> (No.)</w:t>
            </w:r>
          </w:p>
        </w:tc>
      </w:tr>
      <w:tr w:rsidR="007E78E0" w:rsidRPr="007E78E0" w:rsidTr="00674735">
        <w:trPr>
          <w:trHeight w:val="415"/>
          <w:jc w:val="center"/>
        </w:trPr>
        <w:tc>
          <w:tcPr>
            <w:tcW w:w="2010" w:type="dxa"/>
            <w:vAlign w:val="center"/>
          </w:tcPr>
          <w:p w:rsidR="007E78E0" w:rsidRPr="00674735" w:rsidRDefault="007E78E0" w:rsidP="00674735">
            <w:pPr>
              <w:spacing w:line="480" w:lineRule="auto"/>
              <w:ind w:right="180"/>
              <w:rPr>
                <w:rFonts w:asciiTheme="majorBidi" w:hAnsiTheme="majorBidi" w:cstheme="majorBidi"/>
                <w:b/>
                <w:bCs/>
                <w:sz w:val="24"/>
                <w:szCs w:val="24"/>
              </w:rPr>
            </w:pPr>
            <w:r w:rsidRPr="00674735">
              <w:rPr>
                <w:rFonts w:asciiTheme="majorBidi" w:hAnsiTheme="majorBidi" w:cstheme="majorBidi"/>
                <w:b/>
                <w:bCs/>
                <w:sz w:val="24"/>
                <w:szCs w:val="24"/>
              </w:rPr>
              <w:t>Initial denaturation</w:t>
            </w:r>
          </w:p>
        </w:tc>
        <w:tc>
          <w:tcPr>
            <w:tcW w:w="1584"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95</w:t>
            </w:r>
          </w:p>
        </w:tc>
        <w:tc>
          <w:tcPr>
            <w:tcW w:w="1559"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5</w:t>
            </w:r>
          </w:p>
        </w:tc>
        <w:tc>
          <w:tcPr>
            <w:tcW w:w="2302"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1</w:t>
            </w:r>
          </w:p>
        </w:tc>
      </w:tr>
      <w:tr w:rsidR="007E78E0" w:rsidRPr="007E78E0" w:rsidTr="00674735">
        <w:trPr>
          <w:trHeight w:val="190"/>
          <w:jc w:val="center"/>
        </w:trPr>
        <w:tc>
          <w:tcPr>
            <w:tcW w:w="2010" w:type="dxa"/>
            <w:vAlign w:val="center"/>
          </w:tcPr>
          <w:p w:rsidR="007E78E0" w:rsidRPr="00674735" w:rsidRDefault="007E78E0" w:rsidP="00674735">
            <w:pPr>
              <w:spacing w:line="480" w:lineRule="auto"/>
              <w:ind w:right="180"/>
              <w:rPr>
                <w:rFonts w:asciiTheme="majorBidi" w:hAnsiTheme="majorBidi" w:cstheme="majorBidi"/>
                <w:b/>
                <w:bCs/>
                <w:sz w:val="24"/>
                <w:szCs w:val="24"/>
              </w:rPr>
            </w:pPr>
            <w:r w:rsidRPr="00674735">
              <w:rPr>
                <w:rFonts w:asciiTheme="majorBidi" w:hAnsiTheme="majorBidi" w:cstheme="majorBidi"/>
                <w:b/>
                <w:bCs/>
                <w:sz w:val="24"/>
                <w:szCs w:val="24"/>
              </w:rPr>
              <w:t>Denaturation</w:t>
            </w:r>
          </w:p>
        </w:tc>
        <w:tc>
          <w:tcPr>
            <w:tcW w:w="1584"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95</w:t>
            </w:r>
          </w:p>
        </w:tc>
        <w:tc>
          <w:tcPr>
            <w:tcW w:w="1559"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Pr>
                <w:rFonts w:asciiTheme="majorBidi" w:hAnsiTheme="majorBidi" w:cstheme="majorBidi"/>
                <w:sz w:val="24"/>
                <w:szCs w:val="24"/>
              </w:rPr>
              <w:t>0.5</w:t>
            </w:r>
          </w:p>
        </w:tc>
        <w:tc>
          <w:tcPr>
            <w:tcW w:w="2302" w:type="dxa"/>
            <w:vMerge w:val="restart"/>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35</w:t>
            </w:r>
          </w:p>
        </w:tc>
      </w:tr>
      <w:tr w:rsidR="007E78E0" w:rsidRPr="007E78E0" w:rsidTr="00674735">
        <w:trPr>
          <w:trHeight w:val="199"/>
          <w:jc w:val="center"/>
        </w:trPr>
        <w:tc>
          <w:tcPr>
            <w:tcW w:w="2010" w:type="dxa"/>
            <w:vAlign w:val="center"/>
          </w:tcPr>
          <w:p w:rsidR="007E78E0" w:rsidRPr="00674735" w:rsidRDefault="007E78E0" w:rsidP="00674735">
            <w:pPr>
              <w:spacing w:line="480" w:lineRule="auto"/>
              <w:ind w:right="180"/>
              <w:rPr>
                <w:rFonts w:asciiTheme="majorBidi" w:hAnsiTheme="majorBidi" w:cstheme="majorBidi"/>
                <w:b/>
                <w:bCs/>
                <w:sz w:val="24"/>
                <w:szCs w:val="24"/>
              </w:rPr>
            </w:pPr>
            <w:r w:rsidRPr="00674735">
              <w:rPr>
                <w:rFonts w:asciiTheme="majorBidi" w:hAnsiTheme="majorBidi" w:cstheme="majorBidi"/>
                <w:b/>
                <w:bCs/>
                <w:sz w:val="24"/>
                <w:szCs w:val="24"/>
              </w:rPr>
              <w:t>Annealing</w:t>
            </w:r>
          </w:p>
        </w:tc>
        <w:tc>
          <w:tcPr>
            <w:tcW w:w="1584"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56</w:t>
            </w:r>
          </w:p>
        </w:tc>
        <w:tc>
          <w:tcPr>
            <w:tcW w:w="1559"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Pr>
                <w:rFonts w:asciiTheme="majorBidi" w:hAnsiTheme="majorBidi" w:cstheme="majorBidi"/>
                <w:sz w:val="24"/>
                <w:szCs w:val="24"/>
              </w:rPr>
              <w:t>0.5</w:t>
            </w:r>
          </w:p>
        </w:tc>
        <w:tc>
          <w:tcPr>
            <w:tcW w:w="2302" w:type="dxa"/>
            <w:vMerge/>
            <w:vAlign w:val="center"/>
          </w:tcPr>
          <w:p w:rsidR="007E78E0" w:rsidRPr="007E78E0" w:rsidRDefault="007E78E0" w:rsidP="007E78E0">
            <w:pPr>
              <w:spacing w:line="480" w:lineRule="auto"/>
              <w:ind w:right="180"/>
              <w:jc w:val="center"/>
              <w:rPr>
                <w:rFonts w:asciiTheme="majorBidi" w:hAnsiTheme="majorBidi" w:cstheme="majorBidi"/>
                <w:sz w:val="24"/>
                <w:szCs w:val="24"/>
              </w:rPr>
            </w:pPr>
          </w:p>
        </w:tc>
      </w:tr>
      <w:tr w:rsidR="007E78E0" w:rsidRPr="007E78E0" w:rsidTr="00674735">
        <w:trPr>
          <w:trHeight w:val="394"/>
          <w:jc w:val="center"/>
        </w:trPr>
        <w:tc>
          <w:tcPr>
            <w:tcW w:w="2010" w:type="dxa"/>
            <w:vAlign w:val="center"/>
          </w:tcPr>
          <w:p w:rsidR="007E78E0" w:rsidRPr="00674735" w:rsidRDefault="007E78E0" w:rsidP="00674735">
            <w:pPr>
              <w:spacing w:line="480" w:lineRule="auto"/>
              <w:ind w:right="180"/>
              <w:rPr>
                <w:rFonts w:asciiTheme="majorBidi" w:hAnsiTheme="majorBidi" w:cstheme="majorBidi"/>
                <w:b/>
                <w:bCs/>
                <w:sz w:val="24"/>
                <w:szCs w:val="24"/>
              </w:rPr>
            </w:pPr>
            <w:r w:rsidRPr="00674735">
              <w:rPr>
                <w:rFonts w:asciiTheme="majorBidi" w:hAnsiTheme="majorBidi" w:cstheme="majorBidi"/>
                <w:b/>
                <w:bCs/>
                <w:sz w:val="24"/>
                <w:szCs w:val="24"/>
              </w:rPr>
              <w:lastRenderedPageBreak/>
              <w:t>Extension</w:t>
            </w:r>
          </w:p>
        </w:tc>
        <w:tc>
          <w:tcPr>
            <w:tcW w:w="1584"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72</w:t>
            </w:r>
          </w:p>
        </w:tc>
        <w:tc>
          <w:tcPr>
            <w:tcW w:w="1559"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1</w:t>
            </w:r>
          </w:p>
        </w:tc>
        <w:tc>
          <w:tcPr>
            <w:tcW w:w="2302" w:type="dxa"/>
            <w:vMerge/>
            <w:vAlign w:val="center"/>
          </w:tcPr>
          <w:p w:rsidR="007E78E0" w:rsidRPr="007E78E0" w:rsidRDefault="007E78E0" w:rsidP="007E78E0">
            <w:pPr>
              <w:spacing w:line="480" w:lineRule="auto"/>
              <w:ind w:right="180"/>
              <w:jc w:val="center"/>
              <w:rPr>
                <w:rFonts w:asciiTheme="majorBidi" w:hAnsiTheme="majorBidi" w:cstheme="majorBidi"/>
                <w:sz w:val="24"/>
                <w:szCs w:val="24"/>
              </w:rPr>
            </w:pPr>
          </w:p>
        </w:tc>
      </w:tr>
      <w:tr w:rsidR="007E78E0" w:rsidRPr="007E78E0" w:rsidTr="00674735">
        <w:trPr>
          <w:trHeight w:val="394"/>
          <w:jc w:val="center"/>
        </w:trPr>
        <w:tc>
          <w:tcPr>
            <w:tcW w:w="2010" w:type="dxa"/>
            <w:vAlign w:val="center"/>
          </w:tcPr>
          <w:p w:rsidR="007E78E0" w:rsidRPr="00674735" w:rsidRDefault="007E78E0" w:rsidP="00674735">
            <w:pPr>
              <w:spacing w:line="480" w:lineRule="auto"/>
              <w:ind w:right="180"/>
              <w:rPr>
                <w:rFonts w:asciiTheme="majorBidi" w:hAnsiTheme="majorBidi" w:cstheme="majorBidi"/>
                <w:b/>
                <w:bCs/>
                <w:sz w:val="24"/>
                <w:szCs w:val="24"/>
              </w:rPr>
            </w:pPr>
            <w:r w:rsidRPr="00674735">
              <w:rPr>
                <w:rFonts w:asciiTheme="majorBidi" w:hAnsiTheme="majorBidi" w:cstheme="majorBidi"/>
                <w:b/>
                <w:bCs/>
                <w:sz w:val="24"/>
                <w:szCs w:val="24"/>
              </w:rPr>
              <w:t>Final extension</w:t>
            </w:r>
          </w:p>
        </w:tc>
        <w:tc>
          <w:tcPr>
            <w:tcW w:w="1584"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72</w:t>
            </w:r>
          </w:p>
        </w:tc>
        <w:tc>
          <w:tcPr>
            <w:tcW w:w="1559"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5</w:t>
            </w:r>
          </w:p>
        </w:tc>
        <w:tc>
          <w:tcPr>
            <w:tcW w:w="2302"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1</w:t>
            </w:r>
          </w:p>
        </w:tc>
      </w:tr>
      <w:tr w:rsidR="007E78E0" w:rsidRPr="007E78E0" w:rsidTr="00674735">
        <w:trPr>
          <w:trHeight w:val="394"/>
          <w:jc w:val="center"/>
        </w:trPr>
        <w:tc>
          <w:tcPr>
            <w:tcW w:w="2010" w:type="dxa"/>
            <w:vAlign w:val="center"/>
          </w:tcPr>
          <w:p w:rsidR="007E78E0" w:rsidRPr="00674735" w:rsidRDefault="007E78E0" w:rsidP="00674735">
            <w:pPr>
              <w:spacing w:line="480" w:lineRule="auto"/>
              <w:ind w:right="180"/>
              <w:rPr>
                <w:rFonts w:asciiTheme="majorBidi" w:hAnsiTheme="majorBidi" w:cstheme="majorBidi"/>
                <w:b/>
                <w:bCs/>
                <w:sz w:val="24"/>
                <w:szCs w:val="24"/>
              </w:rPr>
            </w:pPr>
            <w:r w:rsidRPr="00674735">
              <w:rPr>
                <w:rFonts w:asciiTheme="majorBidi" w:hAnsiTheme="majorBidi" w:cstheme="majorBidi"/>
                <w:b/>
                <w:bCs/>
                <w:sz w:val="24"/>
                <w:szCs w:val="24"/>
              </w:rPr>
              <w:t>Hold</w:t>
            </w:r>
          </w:p>
        </w:tc>
        <w:tc>
          <w:tcPr>
            <w:tcW w:w="1584"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4</w:t>
            </w:r>
          </w:p>
        </w:tc>
        <w:tc>
          <w:tcPr>
            <w:tcW w:w="1559"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Forever</w:t>
            </w:r>
          </w:p>
        </w:tc>
        <w:tc>
          <w:tcPr>
            <w:tcW w:w="2302" w:type="dxa"/>
            <w:vAlign w:val="center"/>
          </w:tcPr>
          <w:p w:rsidR="007E78E0" w:rsidRPr="007E78E0" w:rsidRDefault="007E78E0" w:rsidP="007E78E0">
            <w:pPr>
              <w:spacing w:line="480" w:lineRule="auto"/>
              <w:ind w:right="180"/>
              <w:jc w:val="center"/>
              <w:rPr>
                <w:rFonts w:asciiTheme="majorBidi" w:hAnsiTheme="majorBidi" w:cstheme="majorBidi"/>
                <w:sz w:val="24"/>
                <w:szCs w:val="24"/>
              </w:rPr>
            </w:pPr>
            <w:r w:rsidRPr="007E78E0">
              <w:rPr>
                <w:rFonts w:asciiTheme="majorBidi" w:hAnsiTheme="majorBidi" w:cstheme="majorBidi"/>
                <w:sz w:val="24"/>
                <w:szCs w:val="24"/>
              </w:rPr>
              <w:t>-</w:t>
            </w:r>
          </w:p>
        </w:tc>
      </w:tr>
    </w:tbl>
    <w:p w:rsidR="00DA1287" w:rsidRDefault="00DA1287" w:rsidP="00DA1287">
      <w:pPr>
        <w:spacing w:line="480" w:lineRule="auto"/>
        <w:ind w:left="180" w:right="180"/>
        <w:jc w:val="both"/>
        <w:rPr>
          <w:rFonts w:asciiTheme="majorBidi" w:hAnsiTheme="majorBidi" w:cstheme="majorBidi"/>
          <w:sz w:val="24"/>
          <w:szCs w:val="24"/>
        </w:rPr>
      </w:pPr>
    </w:p>
    <w:p w:rsidR="001443B4" w:rsidRPr="001443B4" w:rsidRDefault="001443B4" w:rsidP="000A3664">
      <w:pPr>
        <w:spacing w:line="480" w:lineRule="auto"/>
        <w:ind w:left="180" w:right="180"/>
        <w:jc w:val="both"/>
        <w:rPr>
          <w:rFonts w:asciiTheme="majorBidi" w:hAnsiTheme="majorBidi" w:cstheme="majorBidi"/>
          <w:sz w:val="24"/>
          <w:szCs w:val="24"/>
        </w:rPr>
      </w:pPr>
      <w:r>
        <w:rPr>
          <w:rFonts w:asciiTheme="majorBidi" w:hAnsiTheme="majorBidi" w:cstheme="majorBidi"/>
          <w:sz w:val="24"/>
          <w:szCs w:val="24"/>
        </w:rPr>
        <w:t>E</w:t>
      </w:r>
      <w:r w:rsidRPr="001443B4">
        <w:rPr>
          <w:rFonts w:asciiTheme="majorBidi" w:hAnsiTheme="majorBidi" w:cstheme="majorBidi"/>
          <w:sz w:val="24"/>
          <w:szCs w:val="24"/>
        </w:rPr>
        <w:t xml:space="preserve">lectrophoresis </w:t>
      </w:r>
      <w:r>
        <w:rPr>
          <w:rFonts w:asciiTheme="majorBidi" w:hAnsiTheme="majorBidi" w:cstheme="majorBidi"/>
          <w:sz w:val="24"/>
          <w:szCs w:val="24"/>
        </w:rPr>
        <w:t>using an agarose gel at</w:t>
      </w:r>
      <w:r w:rsidRPr="001443B4">
        <w:rPr>
          <w:rFonts w:asciiTheme="majorBidi" w:hAnsiTheme="majorBidi" w:cstheme="majorBidi"/>
          <w:sz w:val="24"/>
          <w:szCs w:val="24"/>
        </w:rPr>
        <w:t xml:space="preserve"> 1.5%</w:t>
      </w:r>
      <w:r w:rsidR="002C4C4E">
        <w:rPr>
          <w:rFonts w:asciiTheme="majorBidi" w:hAnsiTheme="majorBidi" w:cstheme="majorBidi"/>
          <w:sz w:val="24"/>
          <w:szCs w:val="24"/>
        </w:rPr>
        <w:t>mixed</w:t>
      </w:r>
      <w:r w:rsidRPr="001443B4">
        <w:rPr>
          <w:rFonts w:asciiTheme="majorBidi" w:hAnsiTheme="majorBidi" w:cstheme="majorBidi"/>
          <w:sz w:val="24"/>
          <w:szCs w:val="24"/>
        </w:rPr>
        <w:t xml:space="preserve"> with ethidium bromide</w:t>
      </w:r>
      <w:r>
        <w:rPr>
          <w:rFonts w:asciiTheme="majorBidi" w:hAnsiTheme="majorBidi" w:cstheme="majorBidi"/>
          <w:sz w:val="24"/>
          <w:szCs w:val="24"/>
        </w:rPr>
        <w:t xml:space="preserve"> was </w:t>
      </w:r>
      <w:r w:rsidR="002C4C4E">
        <w:rPr>
          <w:rFonts w:asciiTheme="majorBidi" w:hAnsiTheme="majorBidi" w:cstheme="majorBidi"/>
          <w:sz w:val="24"/>
          <w:szCs w:val="24"/>
        </w:rPr>
        <w:t>introduced</w:t>
      </w:r>
      <w:r>
        <w:rPr>
          <w:rFonts w:asciiTheme="majorBidi" w:hAnsiTheme="majorBidi" w:cstheme="majorBidi"/>
          <w:sz w:val="24"/>
          <w:szCs w:val="24"/>
        </w:rPr>
        <w:t xml:space="preserve"> to examine the presence of the PCR products</w:t>
      </w:r>
      <w:r w:rsidR="000A3664" w:rsidRPr="000A3664">
        <w:rPr>
          <w:rFonts w:asciiTheme="majorBidi" w:hAnsiTheme="majorBidi" w:cstheme="majorBidi"/>
          <w:sz w:val="24"/>
          <w:szCs w:val="24"/>
        </w:rPr>
        <w:t>(431</w:t>
      </w:r>
      <w:proofErr w:type="gramStart"/>
      <w:r w:rsidR="000A3664" w:rsidRPr="000A3664">
        <w:rPr>
          <w:rFonts w:asciiTheme="majorBidi" w:hAnsiTheme="majorBidi" w:cstheme="majorBidi"/>
          <w:sz w:val="24"/>
          <w:szCs w:val="24"/>
        </w:rPr>
        <w:t>bp)</w:t>
      </w:r>
      <w:r w:rsidRPr="001443B4">
        <w:rPr>
          <w:rFonts w:asciiTheme="majorBidi" w:hAnsiTheme="majorBidi" w:cstheme="majorBidi"/>
          <w:sz w:val="24"/>
          <w:szCs w:val="24"/>
        </w:rPr>
        <w:t>visualized</w:t>
      </w:r>
      <w:proofErr w:type="gramEnd"/>
      <w:r w:rsidRPr="001443B4">
        <w:rPr>
          <w:rFonts w:asciiTheme="majorBidi" w:hAnsiTheme="majorBidi" w:cstheme="majorBidi"/>
          <w:sz w:val="24"/>
          <w:szCs w:val="24"/>
        </w:rPr>
        <w:t xml:space="preserve"> </w:t>
      </w:r>
      <w:r>
        <w:rPr>
          <w:rFonts w:asciiTheme="majorBidi" w:hAnsiTheme="majorBidi" w:cstheme="majorBidi"/>
          <w:sz w:val="24"/>
          <w:szCs w:val="24"/>
        </w:rPr>
        <w:t>utilizing a</w:t>
      </w:r>
      <w:r w:rsidRPr="001443B4">
        <w:rPr>
          <w:rFonts w:asciiTheme="majorBidi" w:hAnsiTheme="majorBidi" w:cstheme="majorBidi"/>
          <w:sz w:val="24"/>
          <w:szCs w:val="24"/>
        </w:rPr>
        <w:t xml:space="preserve"> UV transilluminator.</w:t>
      </w:r>
    </w:p>
    <w:p w:rsidR="00EC0FBF" w:rsidRDefault="000A3664" w:rsidP="001443B4">
      <w:pPr>
        <w:spacing w:line="480" w:lineRule="auto"/>
        <w:ind w:left="180" w:right="180"/>
        <w:jc w:val="both"/>
        <w:rPr>
          <w:rFonts w:asciiTheme="majorBidi" w:hAnsiTheme="majorBidi" w:cstheme="majorBidi"/>
          <w:sz w:val="24"/>
          <w:szCs w:val="24"/>
        </w:rPr>
      </w:pPr>
      <w:r>
        <w:rPr>
          <w:rFonts w:asciiTheme="majorBidi" w:hAnsiTheme="majorBidi" w:cstheme="majorBidi"/>
          <w:sz w:val="24"/>
          <w:szCs w:val="24"/>
        </w:rPr>
        <w:t>U</w:t>
      </w:r>
      <w:r w:rsidR="001443B4" w:rsidRPr="001443B4">
        <w:rPr>
          <w:rFonts w:asciiTheme="majorBidi" w:hAnsiTheme="majorBidi" w:cstheme="majorBidi"/>
          <w:sz w:val="24"/>
          <w:szCs w:val="24"/>
        </w:rPr>
        <w:t>sing</w:t>
      </w:r>
      <w:r w:rsidRPr="001443B4">
        <w:rPr>
          <w:rFonts w:asciiTheme="majorBidi" w:hAnsiTheme="majorBidi" w:cstheme="majorBidi"/>
          <w:sz w:val="24"/>
          <w:szCs w:val="24"/>
        </w:rPr>
        <w:t xml:space="preserve">Hsp92II </w:t>
      </w:r>
      <w:r w:rsidR="001443B4" w:rsidRPr="001443B4">
        <w:rPr>
          <w:rFonts w:asciiTheme="majorBidi" w:hAnsiTheme="majorBidi" w:cstheme="majorBidi"/>
          <w:sz w:val="24"/>
          <w:szCs w:val="24"/>
        </w:rPr>
        <w:t>restriction enzyme (Biolabs, UK)</w:t>
      </w:r>
      <w:r>
        <w:rPr>
          <w:rFonts w:asciiTheme="majorBidi" w:hAnsiTheme="majorBidi" w:cstheme="majorBidi"/>
          <w:sz w:val="24"/>
          <w:szCs w:val="24"/>
        </w:rPr>
        <w:t xml:space="preserve">, the </w:t>
      </w:r>
      <w:r w:rsidRPr="001443B4">
        <w:rPr>
          <w:rFonts w:asciiTheme="majorBidi" w:hAnsiTheme="majorBidi" w:cstheme="majorBidi"/>
          <w:sz w:val="24"/>
          <w:szCs w:val="24"/>
        </w:rPr>
        <w:t xml:space="preserve">RFLP step was </w:t>
      </w:r>
      <w:r>
        <w:rPr>
          <w:rFonts w:asciiTheme="majorBidi" w:hAnsiTheme="majorBidi" w:cstheme="majorBidi"/>
          <w:sz w:val="24"/>
          <w:szCs w:val="24"/>
        </w:rPr>
        <w:t xml:space="preserve">performed generating </w:t>
      </w:r>
      <w:r w:rsidR="001443B4" w:rsidRPr="001443B4">
        <w:rPr>
          <w:rFonts w:asciiTheme="majorBidi" w:hAnsiTheme="majorBidi" w:cstheme="majorBidi"/>
          <w:sz w:val="24"/>
          <w:szCs w:val="24"/>
        </w:rPr>
        <w:t xml:space="preserve">229 + 122 + 51 + 29bp and 229 + 173 + 29bp </w:t>
      </w:r>
      <w:r>
        <w:rPr>
          <w:rFonts w:asciiTheme="majorBidi" w:hAnsiTheme="majorBidi" w:cstheme="majorBidi"/>
          <w:sz w:val="24"/>
          <w:szCs w:val="24"/>
        </w:rPr>
        <w:t xml:space="preserve">fragments out of the PCR product digestion </w:t>
      </w:r>
      <w:r w:rsidRPr="001443B4">
        <w:rPr>
          <w:rFonts w:asciiTheme="majorBidi" w:hAnsiTheme="majorBidi" w:cstheme="majorBidi"/>
          <w:sz w:val="24"/>
          <w:szCs w:val="24"/>
        </w:rPr>
        <w:t xml:space="preserve">for </w:t>
      </w:r>
      <w:r>
        <w:rPr>
          <w:rFonts w:asciiTheme="majorBidi" w:hAnsiTheme="majorBidi" w:cstheme="majorBidi"/>
          <w:sz w:val="24"/>
          <w:szCs w:val="24"/>
        </w:rPr>
        <w:t xml:space="preserve">the </w:t>
      </w:r>
      <w:r w:rsidRPr="001443B4">
        <w:rPr>
          <w:rFonts w:asciiTheme="majorBidi" w:hAnsiTheme="majorBidi" w:cstheme="majorBidi"/>
          <w:sz w:val="24"/>
          <w:szCs w:val="24"/>
        </w:rPr>
        <w:t xml:space="preserve">C allele </w:t>
      </w:r>
      <w:r>
        <w:rPr>
          <w:rFonts w:asciiTheme="majorBidi" w:hAnsiTheme="majorBidi" w:cstheme="majorBidi"/>
          <w:sz w:val="24"/>
          <w:szCs w:val="24"/>
        </w:rPr>
        <w:t xml:space="preserve">and </w:t>
      </w:r>
      <w:r w:rsidR="001443B4" w:rsidRPr="001443B4">
        <w:rPr>
          <w:rFonts w:asciiTheme="majorBidi" w:hAnsiTheme="majorBidi" w:cstheme="majorBidi"/>
          <w:sz w:val="24"/>
          <w:szCs w:val="24"/>
        </w:rPr>
        <w:t xml:space="preserve">for </w:t>
      </w:r>
      <w:r>
        <w:rPr>
          <w:rFonts w:asciiTheme="majorBidi" w:hAnsiTheme="majorBidi" w:cstheme="majorBidi"/>
          <w:sz w:val="24"/>
          <w:szCs w:val="24"/>
        </w:rPr>
        <w:t xml:space="preserve">the </w:t>
      </w:r>
      <w:r w:rsidR="001443B4" w:rsidRPr="001443B4">
        <w:rPr>
          <w:rFonts w:asciiTheme="majorBidi" w:hAnsiTheme="majorBidi" w:cstheme="majorBidi"/>
          <w:sz w:val="24"/>
          <w:szCs w:val="24"/>
        </w:rPr>
        <w:t>G alleles</w:t>
      </w:r>
      <w:r>
        <w:rPr>
          <w:rFonts w:asciiTheme="majorBidi" w:hAnsiTheme="majorBidi" w:cstheme="majorBidi"/>
          <w:sz w:val="24"/>
          <w:szCs w:val="24"/>
        </w:rPr>
        <w:t>, respectively</w:t>
      </w:r>
      <w:r w:rsidR="001443B4" w:rsidRPr="001443B4">
        <w:rPr>
          <w:rFonts w:asciiTheme="majorBidi" w:hAnsiTheme="majorBidi" w:cstheme="majorBidi"/>
          <w:sz w:val="24"/>
          <w:szCs w:val="24"/>
        </w:rPr>
        <w:t xml:space="preserve">. </w:t>
      </w:r>
      <w:r>
        <w:rPr>
          <w:rFonts w:asciiTheme="majorBidi" w:hAnsiTheme="majorBidi" w:cstheme="majorBidi"/>
          <w:sz w:val="24"/>
          <w:szCs w:val="24"/>
        </w:rPr>
        <w:t>Employing an agarose gel at</w:t>
      </w:r>
      <w:r w:rsidR="001443B4" w:rsidRPr="001443B4">
        <w:rPr>
          <w:rFonts w:asciiTheme="majorBidi" w:hAnsiTheme="majorBidi" w:cstheme="majorBidi"/>
          <w:sz w:val="24"/>
          <w:szCs w:val="24"/>
        </w:rPr>
        <w:t xml:space="preserve"> 3% </w:t>
      </w:r>
      <w:r>
        <w:rPr>
          <w:rFonts w:asciiTheme="majorBidi" w:hAnsiTheme="majorBidi" w:cstheme="majorBidi"/>
          <w:sz w:val="24"/>
          <w:szCs w:val="24"/>
        </w:rPr>
        <w:t xml:space="preserve">concentration inoculated with ethidium </w:t>
      </w:r>
      <w:proofErr w:type="spellStart"/>
      <w:proofErr w:type="gramStart"/>
      <w:r>
        <w:rPr>
          <w:rFonts w:asciiTheme="majorBidi" w:hAnsiTheme="majorBidi" w:cstheme="majorBidi"/>
          <w:sz w:val="24"/>
          <w:szCs w:val="24"/>
        </w:rPr>
        <w:t>bromide,an</w:t>
      </w:r>
      <w:r w:rsidR="001443B4" w:rsidRPr="001443B4">
        <w:rPr>
          <w:rFonts w:asciiTheme="majorBidi" w:hAnsiTheme="majorBidi" w:cstheme="majorBidi"/>
          <w:sz w:val="24"/>
          <w:szCs w:val="24"/>
        </w:rPr>
        <w:t>electrophoresis</w:t>
      </w:r>
      <w:proofErr w:type="spellEnd"/>
      <w:proofErr w:type="gramEnd"/>
      <w:r w:rsidR="001443B4" w:rsidRPr="001443B4">
        <w:rPr>
          <w:rFonts w:asciiTheme="majorBidi" w:hAnsiTheme="majorBidi" w:cstheme="majorBidi"/>
          <w:sz w:val="24"/>
          <w:szCs w:val="24"/>
        </w:rPr>
        <w:t xml:space="preserve"> </w:t>
      </w:r>
      <w:r>
        <w:rPr>
          <w:rFonts w:asciiTheme="majorBidi" w:hAnsiTheme="majorBidi" w:cstheme="majorBidi"/>
          <w:sz w:val="24"/>
          <w:szCs w:val="24"/>
        </w:rPr>
        <w:t xml:space="preserve">process was produced. The fragments were </w:t>
      </w:r>
      <w:r w:rsidR="001443B4" w:rsidRPr="001443B4">
        <w:rPr>
          <w:rFonts w:asciiTheme="majorBidi" w:hAnsiTheme="majorBidi" w:cstheme="majorBidi"/>
          <w:sz w:val="24"/>
          <w:szCs w:val="24"/>
        </w:rPr>
        <w:t xml:space="preserve">visualized </w:t>
      </w:r>
      <w:r>
        <w:rPr>
          <w:rFonts w:asciiTheme="majorBidi" w:hAnsiTheme="majorBidi" w:cstheme="majorBidi"/>
          <w:sz w:val="24"/>
          <w:szCs w:val="24"/>
        </w:rPr>
        <w:t>using a</w:t>
      </w:r>
      <w:r w:rsidR="001443B4" w:rsidRPr="001443B4">
        <w:rPr>
          <w:rFonts w:asciiTheme="majorBidi" w:hAnsiTheme="majorBidi" w:cstheme="majorBidi"/>
          <w:sz w:val="24"/>
          <w:szCs w:val="24"/>
        </w:rPr>
        <w:t xml:space="preserve"> UV transilluminator.</w:t>
      </w:r>
    </w:p>
    <w:p w:rsidR="00525483" w:rsidRDefault="00525483" w:rsidP="00525483">
      <w:pPr>
        <w:spacing w:line="480" w:lineRule="auto"/>
        <w:ind w:left="180" w:right="180"/>
        <w:jc w:val="both"/>
        <w:rPr>
          <w:rFonts w:asciiTheme="majorBidi" w:hAnsiTheme="majorBidi" w:cstheme="majorBidi"/>
          <w:b/>
          <w:bCs/>
          <w:sz w:val="24"/>
          <w:szCs w:val="24"/>
        </w:rPr>
      </w:pPr>
      <w:r>
        <w:rPr>
          <w:rFonts w:asciiTheme="majorBidi" w:hAnsiTheme="majorBidi" w:cstheme="majorBidi"/>
          <w:b/>
          <w:bCs/>
          <w:sz w:val="24"/>
          <w:szCs w:val="24"/>
        </w:rPr>
        <w:t>Statistical analysis:</w:t>
      </w:r>
    </w:p>
    <w:p w:rsidR="00525483" w:rsidRPr="00685DC1" w:rsidRDefault="009A0868" w:rsidP="00685DC1">
      <w:pPr>
        <w:spacing w:line="480" w:lineRule="auto"/>
        <w:ind w:left="180" w:right="180"/>
        <w:jc w:val="both"/>
        <w:rPr>
          <w:rFonts w:asciiTheme="majorBidi" w:hAnsiTheme="majorBidi" w:cstheme="majorBidi"/>
          <w:sz w:val="24"/>
          <w:szCs w:val="24"/>
        </w:rPr>
      </w:pPr>
      <w:r w:rsidRPr="00685DC1">
        <w:rPr>
          <w:rFonts w:asciiTheme="majorBidi" w:hAnsiTheme="majorBidi" w:cstheme="majorBidi"/>
          <w:sz w:val="24"/>
          <w:szCs w:val="24"/>
        </w:rPr>
        <w:t>The statistical differences</w:t>
      </w:r>
      <w:r w:rsidR="00525483" w:rsidRPr="00685DC1">
        <w:rPr>
          <w:rFonts w:asciiTheme="majorBidi" w:hAnsiTheme="majorBidi" w:cstheme="majorBidi"/>
          <w:sz w:val="24"/>
          <w:szCs w:val="24"/>
        </w:rPr>
        <w:t xml:space="preserve"> in the genotype/allele frequencies between toxoplasmosis patients and control group were done by the Fishers exact test. </w:t>
      </w:r>
      <w:r w:rsidR="00574CBA" w:rsidRPr="00685DC1">
        <w:rPr>
          <w:rFonts w:asciiTheme="majorBidi" w:hAnsiTheme="majorBidi" w:cstheme="majorBidi"/>
          <w:sz w:val="24"/>
          <w:szCs w:val="24"/>
        </w:rPr>
        <w:t xml:space="preserve">Statistical significant was set at p value ≤ </w:t>
      </w:r>
      <w:proofErr w:type="gramStart"/>
      <w:r w:rsidR="00574CBA" w:rsidRPr="00685DC1">
        <w:rPr>
          <w:rFonts w:asciiTheme="majorBidi" w:hAnsiTheme="majorBidi" w:cstheme="majorBidi"/>
          <w:sz w:val="24"/>
          <w:szCs w:val="24"/>
        </w:rPr>
        <w:t xml:space="preserve">0.05 </w:t>
      </w:r>
      <w:r w:rsidR="00685DC1" w:rsidRPr="00685DC1">
        <w:rPr>
          <w:rFonts w:asciiTheme="majorBidi" w:hAnsiTheme="majorBidi" w:cstheme="majorBidi"/>
          <w:sz w:val="24"/>
          <w:szCs w:val="24"/>
        </w:rPr>
        <w:t>.</w:t>
      </w:r>
      <w:proofErr w:type="gramEnd"/>
      <w:r w:rsidR="00525483" w:rsidRPr="00685DC1">
        <w:rPr>
          <w:rFonts w:asciiTheme="majorBidi" w:hAnsiTheme="majorBidi" w:cstheme="majorBidi"/>
          <w:sz w:val="24"/>
          <w:szCs w:val="24"/>
        </w:rPr>
        <w:t xml:space="preserve"> Odd ratio</w:t>
      </w:r>
      <w:r w:rsidR="00685DC1" w:rsidRPr="00685DC1">
        <w:rPr>
          <w:rFonts w:asciiTheme="majorBidi" w:hAnsiTheme="majorBidi" w:cstheme="majorBidi"/>
          <w:sz w:val="24"/>
          <w:szCs w:val="24"/>
        </w:rPr>
        <w:t xml:space="preserve"> (OD</w:t>
      </w:r>
      <w:proofErr w:type="gramStart"/>
      <w:r w:rsidR="00685DC1" w:rsidRPr="00685DC1">
        <w:rPr>
          <w:rFonts w:asciiTheme="majorBidi" w:hAnsiTheme="majorBidi" w:cstheme="majorBidi"/>
          <w:sz w:val="24"/>
          <w:szCs w:val="24"/>
        </w:rPr>
        <w:t xml:space="preserve">) </w:t>
      </w:r>
      <w:r w:rsidR="00525483" w:rsidRPr="00685DC1">
        <w:rPr>
          <w:rFonts w:asciiTheme="majorBidi" w:hAnsiTheme="majorBidi" w:cstheme="majorBidi"/>
          <w:sz w:val="24"/>
          <w:szCs w:val="24"/>
        </w:rPr>
        <w:t>,</w:t>
      </w:r>
      <w:proofErr w:type="gramEnd"/>
      <w:r w:rsidR="00685DC1" w:rsidRPr="00685DC1">
        <w:rPr>
          <w:rFonts w:asciiTheme="majorBidi" w:hAnsiTheme="majorBidi" w:cstheme="majorBidi"/>
          <w:sz w:val="24"/>
          <w:szCs w:val="24"/>
        </w:rPr>
        <w:t xml:space="preserve"> relative risk (RR), etiologic fraction (EF), and preventive fraction (PF) were done following the </w:t>
      </w:r>
      <w:r w:rsidR="00525483" w:rsidRPr="00685DC1">
        <w:rPr>
          <w:rFonts w:asciiTheme="majorBidi" w:hAnsiTheme="majorBidi" w:cstheme="majorBidi"/>
          <w:sz w:val="24"/>
          <w:szCs w:val="24"/>
        </w:rPr>
        <w:t xml:space="preserve"> W</w:t>
      </w:r>
      <w:r w:rsidR="00685DC1" w:rsidRPr="00685DC1">
        <w:rPr>
          <w:rFonts w:asciiTheme="majorBidi" w:hAnsiTheme="majorBidi" w:cstheme="majorBidi"/>
          <w:sz w:val="24"/>
          <w:szCs w:val="24"/>
        </w:rPr>
        <w:t>oolf ҆s  method (</w:t>
      </w:r>
      <w:r w:rsidR="00766197">
        <w:rPr>
          <w:rFonts w:asciiTheme="majorBidi" w:hAnsiTheme="majorBidi" w:cstheme="majorBidi"/>
          <w:sz w:val="24"/>
          <w:szCs w:val="24"/>
        </w:rPr>
        <w:t>Al-</w:t>
      </w:r>
      <w:proofErr w:type="spellStart"/>
      <w:r w:rsidR="00766197">
        <w:rPr>
          <w:rFonts w:asciiTheme="majorBidi" w:hAnsiTheme="majorBidi" w:cstheme="majorBidi"/>
          <w:sz w:val="24"/>
          <w:szCs w:val="24"/>
        </w:rPr>
        <w:t>Okaily</w:t>
      </w:r>
      <w:r w:rsidR="00766197" w:rsidRPr="00766197">
        <w:rPr>
          <w:rFonts w:asciiTheme="majorBidi" w:hAnsiTheme="majorBidi" w:cstheme="majorBidi"/>
          <w:i/>
          <w:iCs/>
          <w:sz w:val="24"/>
          <w:szCs w:val="24"/>
        </w:rPr>
        <w:t>et</w:t>
      </w:r>
      <w:proofErr w:type="spellEnd"/>
      <w:r w:rsidR="00766197" w:rsidRPr="00766197">
        <w:rPr>
          <w:rFonts w:asciiTheme="majorBidi" w:hAnsiTheme="majorBidi" w:cstheme="majorBidi"/>
          <w:i/>
          <w:iCs/>
          <w:sz w:val="24"/>
          <w:szCs w:val="24"/>
        </w:rPr>
        <w:t xml:space="preserve"> al.,</w:t>
      </w:r>
      <w:r w:rsidR="00766197">
        <w:rPr>
          <w:rFonts w:asciiTheme="majorBidi" w:hAnsiTheme="majorBidi" w:cstheme="majorBidi"/>
          <w:sz w:val="24"/>
          <w:szCs w:val="24"/>
        </w:rPr>
        <w:t>2015)</w:t>
      </w:r>
    </w:p>
    <w:p w:rsidR="00525483" w:rsidRDefault="00525483" w:rsidP="001443B4">
      <w:pPr>
        <w:spacing w:line="480" w:lineRule="auto"/>
        <w:ind w:left="180" w:right="180"/>
        <w:jc w:val="both"/>
        <w:rPr>
          <w:rFonts w:asciiTheme="majorBidi" w:hAnsiTheme="majorBidi" w:cstheme="majorBidi"/>
          <w:sz w:val="24"/>
          <w:szCs w:val="24"/>
        </w:rPr>
      </w:pPr>
    </w:p>
    <w:p w:rsidR="000A3664" w:rsidRDefault="000F57C8" w:rsidP="001443B4">
      <w:pPr>
        <w:spacing w:line="480" w:lineRule="auto"/>
        <w:ind w:left="180" w:right="180"/>
        <w:jc w:val="both"/>
        <w:rPr>
          <w:rFonts w:asciiTheme="majorBidi" w:hAnsiTheme="majorBidi" w:cstheme="majorBidi"/>
          <w:sz w:val="24"/>
          <w:szCs w:val="24"/>
        </w:rPr>
      </w:pPr>
      <w:r>
        <w:rPr>
          <w:rFonts w:asciiTheme="majorBidi" w:hAnsiTheme="majorBidi" w:cstheme="majorBidi"/>
          <w:b/>
          <w:bCs/>
          <w:sz w:val="24"/>
          <w:szCs w:val="24"/>
        </w:rPr>
        <w:t>Results</w:t>
      </w:r>
    </w:p>
    <w:p w:rsidR="00DD4EC6" w:rsidRDefault="00DD4EC6" w:rsidP="00913953">
      <w:pPr>
        <w:spacing w:line="480" w:lineRule="auto"/>
        <w:ind w:left="180" w:right="180"/>
        <w:jc w:val="both"/>
        <w:rPr>
          <w:rFonts w:asciiTheme="majorBidi" w:hAnsiTheme="majorBidi" w:cstheme="majorBidi"/>
          <w:sz w:val="24"/>
          <w:szCs w:val="24"/>
        </w:rPr>
      </w:pPr>
      <w:r>
        <w:rPr>
          <w:rFonts w:asciiTheme="majorBidi" w:hAnsiTheme="majorBidi" w:cstheme="majorBidi"/>
          <w:sz w:val="24"/>
          <w:szCs w:val="24"/>
        </w:rPr>
        <w:t xml:space="preserve">The presence of the polymorphism was detected as </w:t>
      </w:r>
      <w:bookmarkStart w:id="0" w:name="OLE_LINK1"/>
      <w:r>
        <w:rPr>
          <w:rFonts w:asciiTheme="majorBidi" w:hAnsiTheme="majorBidi" w:cstheme="majorBidi"/>
          <w:sz w:val="24"/>
          <w:szCs w:val="24"/>
        </w:rPr>
        <w:t>GG (homozygous)</w:t>
      </w:r>
      <w:bookmarkEnd w:id="0"/>
      <w:r>
        <w:rPr>
          <w:rFonts w:asciiTheme="majorBidi" w:hAnsiTheme="majorBidi" w:cstheme="majorBidi"/>
          <w:sz w:val="24"/>
          <w:szCs w:val="24"/>
        </w:rPr>
        <w:t xml:space="preserve"> in </w:t>
      </w:r>
      <w:r w:rsidR="00913953">
        <w:rPr>
          <w:rFonts w:asciiTheme="majorBidi" w:hAnsiTheme="majorBidi" w:cstheme="majorBidi"/>
          <w:sz w:val="24"/>
          <w:szCs w:val="24"/>
        </w:rPr>
        <w:t>8</w:t>
      </w:r>
      <w:r>
        <w:rPr>
          <w:rFonts w:asciiTheme="majorBidi" w:hAnsiTheme="majorBidi" w:cstheme="majorBidi"/>
          <w:sz w:val="24"/>
          <w:szCs w:val="24"/>
        </w:rPr>
        <w:t xml:space="preserve"> (</w:t>
      </w:r>
      <w:r w:rsidR="00913953">
        <w:rPr>
          <w:rFonts w:asciiTheme="majorBidi" w:hAnsiTheme="majorBidi" w:cstheme="majorBidi"/>
          <w:sz w:val="24"/>
          <w:szCs w:val="24"/>
        </w:rPr>
        <w:t>16</w:t>
      </w:r>
      <w:r>
        <w:rPr>
          <w:rFonts w:asciiTheme="majorBidi" w:hAnsiTheme="majorBidi" w:cstheme="majorBidi"/>
          <w:sz w:val="24"/>
          <w:szCs w:val="24"/>
        </w:rPr>
        <w:t xml:space="preserve">%) and </w:t>
      </w:r>
      <w:r w:rsidR="00913953">
        <w:rPr>
          <w:rFonts w:asciiTheme="majorBidi" w:hAnsiTheme="majorBidi" w:cstheme="majorBidi"/>
          <w:sz w:val="24"/>
          <w:szCs w:val="24"/>
        </w:rPr>
        <w:t>14</w:t>
      </w:r>
      <w:r>
        <w:rPr>
          <w:rFonts w:asciiTheme="majorBidi" w:hAnsiTheme="majorBidi" w:cstheme="majorBidi"/>
          <w:sz w:val="24"/>
          <w:szCs w:val="24"/>
        </w:rPr>
        <w:t>(</w:t>
      </w:r>
      <w:r w:rsidR="00913953">
        <w:rPr>
          <w:rFonts w:asciiTheme="majorBidi" w:hAnsiTheme="majorBidi" w:cstheme="majorBidi"/>
          <w:sz w:val="24"/>
          <w:szCs w:val="24"/>
        </w:rPr>
        <w:t>28</w:t>
      </w:r>
      <w:r>
        <w:rPr>
          <w:rFonts w:asciiTheme="majorBidi" w:hAnsiTheme="majorBidi" w:cstheme="majorBidi"/>
          <w:sz w:val="24"/>
          <w:szCs w:val="24"/>
        </w:rPr>
        <w:t xml:space="preserve">%) of the samples from patients and healthy individuals, respectively. Moreover, the polymorphism was revealed as G/C (heterozygous) in </w:t>
      </w:r>
      <w:r w:rsidR="00913953">
        <w:rPr>
          <w:rFonts w:asciiTheme="majorBidi" w:hAnsiTheme="majorBidi" w:cstheme="majorBidi"/>
          <w:sz w:val="24"/>
          <w:szCs w:val="24"/>
        </w:rPr>
        <w:t>24</w:t>
      </w:r>
      <w:r>
        <w:rPr>
          <w:rFonts w:asciiTheme="majorBidi" w:hAnsiTheme="majorBidi" w:cstheme="majorBidi"/>
          <w:sz w:val="24"/>
          <w:szCs w:val="24"/>
        </w:rPr>
        <w:t xml:space="preserve"> (4</w:t>
      </w:r>
      <w:r w:rsidR="00913953">
        <w:rPr>
          <w:rFonts w:asciiTheme="majorBidi" w:hAnsiTheme="majorBidi" w:cstheme="majorBidi"/>
          <w:sz w:val="24"/>
          <w:szCs w:val="24"/>
        </w:rPr>
        <w:t>8</w:t>
      </w:r>
      <w:r>
        <w:rPr>
          <w:rFonts w:asciiTheme="majorBidi" w:hAnsiTheme="majorBidi" w:cstheme="majorBidi"/>
          <w:sz w:val="24"/>
          <w:szCs w:val="24"/>
        </w:rPr>
        <w:t xml:space="preserve">%) and </w:t>
      </w:r>
      <w:r w:rsidR="00913953">
        <w:rPr>
          <w:rFonts w:asciiTheme="majorBidi" w:hAnsiTheme="majorBidi" w:cstheme="majorBidi"/>
          <w:sz w:val="24"/>
          <w:szCs w:val="24"/>
        </w:rPr>
        <w:t>14</w:t>
      </w:r>
      <w:r>
        <w:rPr>
          <w:rFonts w:asciiTheme="majorBidi" w:hAnsiTheme="majorBidi" w:cstheme="majorBidi"/>
          <w:sz w:val="24"/>
          <w:szCs w:val="24"/>
        </w:rPr>
        <w:t xml:space="preserve"> (2</w:t>
      </w:r>
      <w:r w:rsidR="00913953">
        <w:rPr>
          <w:rFonts w:asciiTheme="majorBidi" w:hAnsiTheme="majorBidi" w:cstheme="majorBidi"/>
          <w:sz w:val="24"/>
          <w:szCs w:val="24"/>
        </w:rPr>
        <w:t>8</w:t>
      </w:r>
      <w:r>
        <w:rPr>
          <w:rFonts w:asciiTheme="majorBidi" w:hAnsiTheme="majorBidi" w:cstheme="majorBidi"/>
          <w:sz w:val="24"/>
          <w:szCs w:val="24"/>
        </w:rPr>
        <w:t xml:space="preserve">%) of the samples </w:t>
      </w:r>
      <w:r>
        <w:rPr>
          <w:rFonts w:asciiTheme="majorBidi" w:hAnsiTheme="majorBidi" w:cstheme="majorBidi"/>
          <w:sz w:val="24"/>
          <w:szCs w:val="24"/>
        </w:rPr>
        <w:lastRenderedPageBreak/>
        <w:t xml:space="preserve">from patients and healthy individuals, respectively. In addition, the occurrence of the polymorphism was identified as CC (homozygous) in </w:t>
      </w:r>
      <w:r w:rsidR="00913953">
        <w:rPr>
          <w:rFonts w:asciiTheme="majorBidi" w:hAnsiTheme="majorBidi" w:cstheme="majorBidi"/>
          <w:sz w:val="24"/>
          <w:szCs w:val="24"/>
        </w:rPr>
        <w:t>18</w:t>
      </w:r>
      <w:r>
        <w:rPr>
          <w:rFonts w:asciiTheme="majorBidi" w:hAnsiTheme="majorBidi" w:cstheme="majorBidi"/>
          <w:sz w:val="24"/>
          <w:szCs w:val="24"/>
        </w:rPr>
        <w:t xml:space="preserve"> (3</w:t>
      </w:r>
      <w:r w:rsidR="00913953">
        <w:rPr>
          <w:rFonts w:asciiTheme="majorBidi" w:hAnsiTheme="majorBidi" w:cstheme="majorBidi"/>
          <w:sz w:val="24"/>
          <w:szCs w:val="24"/>
        </w:rPr>
        <w:t>6</w:t>
      </w:r>
      <w:r>
        <w:rPr>
          <w:rFonts w:asciiTheme="majorBidi" w:hAnsiTheme="majorBidi" w:cstheme="majorBidi"/>
          <w:sz w:val="24"/>
          <w:szCs w:val="24"/>
        </w:rPr>
        <w:t>%) and 2</w:t>
      </w:r>
      <w:r w:rsidR="00913953">
        <w:rPr>
          <w:rFonts w:asciiTheme="majorBidi" w:hAnsiTheme="majorBidi" w:cstheme="majorBidi"/>
          <w:sz w:val="24"/>
          <w:szCs w:val="24"/>
        </w:rPr>
        <w:t>2</w:t>
      </w:r>
      <w:r>
        <w:rPr>
          <w:rFonts w:asciiTheme="majorBidi" w:hAnsiTheme="majorBidi" w:cstheme="majorBidi"/>
          <w:sz w:val="24"/>
          <w:szCs w:val="24"/>
        </w:rPr>
        <w:t xml:space="preserve"> (4</w:t>
      </w:r>
      <w:r w:rsidR="00913953">
        <w:rPr>
          <w:rFonts w:asciiTheme="majorBidi" w:hAnsiTheme="majorBidi" w:cstheme="majorBidi"/>
          <w:sz w:val="24"/>
          <w:szCs w:val="24"/>
        </w:rPr>
        <w:t>4</w:t>
      </w:r>
      <w:r>
        <w:rPr>
          <w:rFonts w:asciiTheme="majorBidi" w:hAnsiTheme="majorBidi" w:cstheme="majorBidi"/>
          <w:sz w:val="24"/>
          <w:szCs w:val="24"/>
        </w:rPr>
        <w:t>%) of the samples from patients and healthy individuals, respectively</w:t>
      </w:r>
      <w:r w:rsidR="006C18B5">
        <w:rPr>
          <w:rFonts w:asciiTheme="majorBidi" w:hAnsiTheme="majorBidi" w:cstheme="majorBidi"/>
          <w:sz w:val="24"/>
          <w:szCs w:val="24"/>
        </w:rPr>
        <w:t xml:space="preserve">, </w:t>
      </w:r>
      <w:r w:rsidR="00C05327">
        <w:rPr>
          <w:rFonts w:asciiTheme="majorBidi" w:hAnsiTheme="majorBidi" w:cstheme="majorBidi"/>
          <w:sz w:val="24"/>
          <w:szCs w:val="24"/>
        </w:rPr>
        <w:t xml:space="preserve">table </w:t>
      </w:r>
      <w:proofErr w:type="gramStart"/>
      <w:r w:rsidR="00C05327">
        <w:rPr>
          <w:rFonts w:asciiTheme="majorBidi" w:hAnsiTheme="majorBidi" w:cstheme="majorBidi"/>
          <w:sz w:val="24"/>
          <w:szCs w:val="24"/>
        </w:rPr>
        <w:t>1 ,</w:t>
      </w:r>
      <w:proofErr w:type="gramEnd"/>
      <w:r w:rsidR="00C05327">
        <w:rPr>
          <w:rFonts w:asciiTheme="majorBidi" w:hAnsiTheme="majorBidi" w:cstheme="majorBidi"/>
          <w:sz w:val="24"/>
          <w:szCs w:val="24"/>
        </w:rPr>
        <w:t xml:space="preserve"> </w:t>
      </w:r>
      <w:r w:rsidR="006C18B5">
        <w:rPr>
          <w:rFonts w:asciiTheme="majorBidi" w:hAnsiTheme="majorBidi" w:cstheme="majorBidi"/>
          <w:sz w:val="24"/>
          <w:szCs w:val="24"/>
        </w:rPr>
        <w:t>figure 1</w:t>
      </w:r>
      <w:r w:rsidR="00C05327">
        <w:rPr>
          <w:rFonts w:asciiTheme="majorBidi" w:hAnsiTheme="majorBidi" w:cstheme="majorBidi"/>
          <w:sz w:val="24"/>
          <w:szCs w:val="24"/>
        </w:rPr>
        <w:t>,2,3</w:t>
      </w:r>
      <w:r>
        <w:rPr>
          <w:rFonts w:asciiTheme="majorBidi" w:hAnsiTheme="majorBidi" w:cstheme="majorBidi"/>
          <w:sz w:val="24"/>
          <w:szCs w:val="24"/>
        </w:rPr>
        <w:t>.</w:t>
      </w:r>
    </w:p>
    <w:p w:rsidR="00A935D0" w:rsidRPr="006870B7" w:rsidRDefault="00A935D0" w:rsidP="006870B7">
      <w:pPr>
        <w:spacing w:line="480" w:lineRule="auto"/>
        <w:ind w:left="180" w:right="180"/>
        <w:jc w:val="center"/>
        <w:rPr>
          <w:rFonts w:asciiTheme="majorBidi" w:hAnsiTheme="majorBidi" w:cstheme="majorBidi"/>
          <w:b/>
          <w:bCs/>
          <w:sz w:val="24"/>
          <w:szCs w:val="24"/>
        </w:rPr>
      </w:pPr>
      <w:r w:rsidRPr="006870B7">
        <w:rPr>
          <w:rFonts w:asciiTheme="majorBidi" w:hAnsiTheme="majorBidi" w:cstheme="majorBidi"/>
          <w:b/>
          <w:bCs/>
          <w:sz w:val="24"/>
          <w:szCs w:val="24"/>
        </w:rPr>
        <w:t>Table (4) Genotype and allele frequencies of IL-6 variant in toxoplasmosis patients and matched control.</w:t>
      </w:r>
    </w:p>
    <w:tbl>
      <w:tblPr>
        <w:tblStyle w:val="TableGrid"/>
        <w:tblW w:w="9558" w:type="dxa"/>
        <w:tblInd w:w="180" w:type="dxa"/>
        <w:tblLook w:val="04A0" w:firstRow="1" w:lastRow="0" w:firstColumn="1" w:lastColumn="0" w:noHBand="0" w:noVBand="1"/>
      </w:tblPr>
      <w:tblGrid>
        <w:gridCol w:w="1330"/>
        <w:gridCol w:w="750"/>
        <w:gridCol w:w="636"/>
        <w:gridCol w:w="750"/>
        <w:gridCol w:w="636"/>
        <w:gridCol w:w="916"/>
        <w:gridCol w:w="816"/>
        <w:gridCol w:w="1056"/>
        <w:gridCol w:w="936"/>
        <w:gridCol w:w="816"/>
        <w:gridCol w:w="936"/>
      </w:tblGrid>
      <w:tr w:rsidR="00F25C6F" w:rsidTr="00344DC7">
        <w:tc>
          <w:tcPr>
            <w:tcW w:w="1301" w:type="dxa"/>
            <w:vMerge w:val="restart"/>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Genotype / allele</w:t>
            </w:r>
          </w:p>
        </w:tc>
        <w:tc>
          <w:tcPr>
            <w:tcW w:w="1362" w:type="dxa"/>
            <w:gridSpan w:val="2"/>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Patients</w:t>
            </w:r>
          </w:p>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N=50</w:t>
            </w:r>
          </w:p>
        </w:tc>
        <w:tc>
          <w:tcPr>
            <w:tcW w:w="1362" w:type="dxa"/>
            <w:gridSpan w:val="2"/>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Control</w:t>
            </w:r>
          </w:p>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N=50</w:t>
            </w:r>
          </w:p>
        </w:tc>
        <w:tc>
          <w:tcPr>
            <w:tcW w:w="898" w:type="dxa"/>
            <w:vMerge w:val="restart"/>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P value</w:t>
            </w:r>
          </w:p>
        </w:tc>
        <w:tc>
          <w:tcPr>
            <w:tcW w:w="801" w:type="dxa"/>
            <w:vMerge w:val="restart"/>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OR</w:t>
            </w:r>
          </w:p>
        </w:tc>
        <w:tc>
          <w:tcPr>
            <w:tcW w:w="1035" w:type="dxa"/>
            <w:vMerge w:val="restart"/>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95% CI</w:t>
            </w:r>
          </w:p>
        </w:tc>
        <w:tc>
          <w:tcPr>
            <w:tcW w:w="918" w:type="dxa"/>
            <w:vMerge w:val="restart"/>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RR</w:t>
            </w:r>
          </w:p>
        </w:tc>
        <w:tc>
          <w:tcPr>
            <w:tcW w:w="801" w:type="dxa"/>
            <w:vMerge w:val="restart"/>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EF</w:t>
            </w:r>
          </w:p>
        </w:tc>
        <w:tc>
          <w:tcPr>
            <w:tcW w:w="1080" w:type="dxa"/>
            <w:vMerge w:val="restart"/>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PF</w:t>
            </w:r>
          </w:p>
        </w:tc>
      </w:tr>
      <w:tr w:rsidR="00344DC7" w:rsidTr="00344DC7">
        <w:tc>
          <w:tcPr>
            <w:tcW w:w="1301" w:type="dxa"/>
            <w:vMerge/>
          </w:tcPr>
          <w:p w:rsidR="002B7002" w:rsidRDefault="002B7002" w:rsidP="00F05E2E">
            <w:pPr>
              <w:spacing w:line="360" w:lineRule="auto"/>
              <w:ind w:right="180"/>
              <w:jc w:val="center"/>
              <w:rPr>
                <w:rFonts w:asciiTheme="majorBidi" w:hAnsiTheme="majorBidi" w:cstheme="majorBidi"/>
                <w:sz w:val="24"/>
                <w:szCs w:val="24"/>
              </w:rPr>
            </w:pPr>
          </w:p>
        </w:tc>
        <w:tc>
          <w:tcPr>
            <w:tcW w:w="737" w:type="dxa"/>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No.</w:t>
            </w:r>
          </w:p>
        </w:tc>
        <w:tc>
          <w:tcPr>
            <w:tcW w:w="625" w:type="dxa"/>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w:t>
            </w:r>
          </w:p>
        </w:tc>
        <w:tc>
          <w:tcPr>
            <w:tcW w:w="737" w:type="dxa"/>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No.</w:t>
            </w:r>
          </w:p>
        </w:tc>
        <w:tc>
          <w:tcPr>
            <w:tcW w:w="625" w:type="dxa"/>
          </w:tcPr>
          <w:p w:rsidR="002B7002" w:rsidRDefault="002B7002"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w:t>
            </w:r>
          </w:p>
        </w:tc>
        <w:tc>
          <w:tcPr>
            <w:tcW w:w="898" w:type="dxa"/>
            <w:vMerge/>
          </w:tcPr>
          <w:p w:rsidR="002B7002" w:rsidRDefault="002B7002" w:rsidP="00F05E2E">
            <w:pPr>
              <w:spacing w:line="360" w:lineRule="auto"/>
              <w:ind w:right="180"/>
              <w:jc w:val="center"/>
              <w:rPr>
                <w:rFonts w:asciiTheme="majorBidi" w:hAnsiTheme="majorBidi" w:cstheme="majorBidi"/>
                <w:sz w:val="24"/>
                <w:szCs w:val="24"/>
              </w:rPr>
            </w:pPr>
          </w:p>
        </w:tc>
        <w:tc>
          <w:tcPr>
            <w:tcW w:w="801" w:type="dxa"/>
            <w:vMerge/>
          </w:tcPr>
          <w:p w:rsidR="002B7002" w:rsidRDefault="002B7002" w:rsidP="00F05E2E">
            <w:pPr>
              <w:spacing w:line="360" w:lineRule="auto"/>
              <w:ind w:right="180"/>
              <w:jc w:val="center"/>
              <w:rPr>
                <w:rFonts w:asciiTheme="majorBidi" w:hAnsiTheme="majorBidi" w:cstheme="majorBidi"/>
                <w:sz w:val="24"/>
                <w:szCs w:val="24"/>
              </w:rPr>
            </w:pPr>
          </w:p>
        </w:tc>
        <w:tc>
          <w:tcPr>
            <w:tcW w:w="1035" w:type="dxa"/>
            <w:vMerge/>
          </w:tcPr>
          <w:p w:rsidR="002B7002" w:rsidRDefault="002B7002" w:rsidP="00F05E2E">
            <w:pPr>
              <w:spacing w:line="360" w:lineRule="auto"/>
              <w:ind w:right="180"/>
              <w:jc w:val="center"/>
              <w:rPr>
                <w:rFonts w:asciiTheme="majorBidi" w:hAnsiTheme="majorBidi" w:cstheme="majorBidi"/>
                <w:sz w:val="24"/>
                <w:szCs w:val="24"/>
              </w:rPr>
            </w:pPr>
          </w:p>
        </w:tc>
        <w:tc>
          <w:tcPr>
            <w:tcW w:w="918" w:type="dxa"/>
            <w:vMerge/>
          </w:tcPr>
          <w:p w:rsidR="002B7002" w:rsidRDefault="002B7002" w:rsidP="00F05E2E">
            <w:pPr>
              <w:spacing w:line="360" w:lineRule="auto"/>
              <w:ind w:right="180"/>
              <w:jc w:val="center"/>
              <w:rPr>
                <w:rFonts w:asciiTheme="majorBidi" w:hAnsiTheme="majorBidi" w:cstheme="majorBidi"/>
                <w:sz w:val="24"/>
                <w:szCs w:val="24"/>
              </w:rPr>
            </w:pPr>
          </w:p>
        </w:tc>
        <w:tc>
          <w:tcPr>
            <w:tcW w:w="801" w:type="dxa"/>
            <w:vMerge/>
          </w:tcPr>
          <w:p w:rsidR="002B7002" w:rsidRDefault="002B7002" w:rsidP="00F05E2E">
            <w:pPr>
              <w:spacing w:line="360" w:lineRule="auto"/>
              <w:ind w:right="180"/>
              <w:jc w:val="center"/>
              <w:rPr>
                <w:rFonts w:asciiTheme="majorBidi" w:hAnsiTheme="majorBidi" w:cstheme="majorBidi"/>
                <w:sz w:val="24"/>
                <w:szCs w:val="24"/>
              </w:rPr>
            </w:pPr>
          </w:p>
        </w:tc>
        <w:tc>
          <w:tcPr>
            <w:tcW w:w="1080" w:type="dxa"/>
            <w:vMerge/>
          </w:tcPr>
          <w:p w:rsidR="002B7002" w:rsidRDefault="002B7002" w:rsidP="00F05E2E">
            <w:pPr>
              <w:spacing w:line="360" w:lineRule="auto"/>
              <w:ind w:right="180"/>
              <w:jc w:val="center"/>
              <w:rPr>
                <w:rFonts w:asciiTheme="majorBidi" w:hAnsiTheme="majorBidi" w:cstheme="majorBidi"/>
                <w:sz w:val="24"/>
                <w:szCs w:val="24"/>
              </w:rPr>
            </w:pPr>
          </w:p>
        </w:tc>
      </w:tr>
      <w:tr w:rsidR="00CE5666" w:rsidTr="00344DC7">
        <w:tc>
          <w:tcPr>
            <w:tcW w:w="9558" w:type="dxa"/>
            <w:gridSpan w:val="11"/>
          </w:tcPr>
          <w:p w:rsidR="00CE5666" w:rsidRPr="00F05E2E" w:rsidRDefault="00CE5666" w:rsidP="00BD6C12">
            <w:pPr>
              <w:spacing w:line="360" w:lineRule="auto"/>
              <w:ind w:right="180"/>
              <w:rPr>
                <w:rFonts w:asciiTheme="majorBidi" w:hAnsiTheme="majorBidi" w:cstheme="majorBidi"/>
                <w:b/>
                <w:bCs/>
                <w:sz w:val="24"/>
                <w:szCs w:val="24"/>
              </w:rPr>
            </w:pPr>
            <w:proofErr w:type="gramStart"/>
            <w:r w:rsidRPr="00F05E2E">
              <w:rPr>
                <w:rFonts w:asciiTheme="majorBidi" w:hAnsiTheme="majorBidi" w:cstheme="majorBidi"/>
                <w:b/>
                <w:bCs/>
                <w:sz w:val="24"/>
                <w:szCs w:val="24"/>
              </w:rPr>
              <w:t>Genotype</w:t>
            </w:r>
            <w:r>
              <w:rPr>
                <w:rFonts w:asciiTheme="majorBidi" w:hAnsiTheme="majorBidi" w:cstheme="majorBidi"/>
                <w:b/>
                <w:bCs/>
                <w:sz w:val="24"/>
                <w:szCs w:val="24"/>
              </w:rPr>
              <w:t xml:space="preserve"> :</w:t>
            </w:r>
            <w:proofErr w:type="gramEnd"/>
          </w:p>
        </w:tc>
      </w:tr>
      <w:tr w:rsidR="00F25C6F" w:rsidTr="00344DC7">
        <w:tc>
          <w:tcPr>
            <w:tcW w:w="1301"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GG</w:t>
            </w:r>
          </w:p>
        </w:tc>
        <w:tc>
          <w:tcPr>
            <w:tcW w:w="737"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8</w:t>
            </w:r>
          </w:p>
        </w:tc>
        <w:tc>
          <w:tcPr>
            <w:tcW w:w="625"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16</w:t>
            </w:r>
          </w:p>
        </w:tc>
        <w:tc>
          <w:tcPr>
            <w:tcW w:w="737"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14</w:t>
            </w:r>
          </w:p>
        </w:tc>
        <w:tc>
          <w:tcPr>
            <w:tcW w:w="625"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28</w:t>
            </w:r>
          </w:p>
        </w:tc>
        <w:tc>
          <w:tcPr>
            <w:tcW w:w="898" w:type="dxa"/>
          </w:tcPr>
          <w:p w:rsidR="00CE5666" w:rsidRDefault="00CE5666"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0.15</w:t>
            </w:r>
          </w:p>
        </w:tc>
        <w:tc>
          <w:tcPr>
            <w:tcW w:w="801" w:type="dxa"/>
          </w:tcPr>
          <w:p w:rsidR="00CE5666" w:rsidRDefault="00623288"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0.48</w:t>
            </w:r>
          </w:p>
        </w:tc>
        <w:tc>
          <w:tcPr>
            <w:tcW w:w="1035" w:type="dxa"/>
          </w:tcPr>
          <w:p w:rsidR="00CE5666" w:rsidRPr="00623288" w:rsidRDefault="00623288" w:rsidP="00530D4A">
            <w:pPr>
              <w:spacing w:line="360" w:lineRule="auto"/>
              <w:ind w:right="180"/>
              <w:jc w:val="center"/>
              <w:rPr>
                <w:rFonts w:asciiTheme="majorBidi" w:hAnsiTheme="majorBidi" w:cstheme="majorBidi"/>
                <w:sz w:val="20"/>
                <w:szCs w:val="20"/>
              </w:rPr>
            </w:pPr>
            <w:r w:rsidRPr="00623288">
              <w:rPr>
                <w:rFonts w:asciiTheme="majorBidi" w:hAnsiTheme="majorBidi" w:cstheme="majorBidi"/>
                <w:sz w:val="20"/>
                <w:szCs w:val="20"/>
              </w:rPr>
              <w:t>0.1845 to 1.3000</w:t>
            </w:r>
          </w:p>
        </w:tc>
        <w:tc>
          <w:tcPr>
            <w:tcW w:w="918" w:type="dxa"/>
          </w:tcPr>
          <w:p w:rsidR="00CE5666" w:rsidRDefault="00A33812"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0.489</w:t>
            </w:r>
          </w:p>
        </w:tc>
        <w:tc>
          <w:tcPr>
            <w:tcW w:w="801" w:type="dxa"/>
          </w:tcPr>
          <w:p w:rsidR="00CE5666" w:rsidRDefault="00F25C6F"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w:t>
            </w:r>
          </w:p>
        </w:tc>
        <w:tc>
          <w:tcPr>
            <w:tcW w:w="1080" w:type="dxa"/>
          </w:tcPr>
          <w:p w:rsidR="00CE5666" w:rsidRDefault="00344DC7"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0.273</w:t>
            </w:r>
          </w:p>
        </w:tc>
      </w:tr>
      <w:tr w:rsidR="00F25C6F" w:rsidTr="00344DC7">
        <w:tc>
          <w:tcPr>
            <w:tcW w:w="1301"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GC</w:t>
            </w:r>
          </w:p>
        </w:tc>
        <w:tc>
          <w:tcPr>
            <w:tcW w:w="737"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24</w:t>
            </w:r>
          </w:p>
        </w:tc>
        <w:tc>
          <w:tcPr>
            <w:tcW w:w="625"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48</w:t>
            </w:r>
          </w:p>
        </w:tc>
        <w:tc>
          <w:tcPr>
            <w:tcW w:w="737"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14</w:t>
            </w:r>
          </w:p>
        </w:tc>
        <w:tc>
          <w:tcPr>
            <w:tcW w:w="625"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28</w:t>
            </w:r>
          </w:p>
        </w:tc>
        <w:tc>
          <w:tcPr>
            <w:tcW w:w="898" w:type="dxa"/>
          </w:tcPr>
          <w:p w:rsidR="00CE5666" w:rsidRDefault="00CE5666"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0.04</w:t>
            </w:r>
          </w:p>
        </w:tc>
        <w:tc>
          <w:tcPr>
            <w:tcW w:w="801" w:type="dxa"/>
          </w:tcPr>
          <w:p w:rsidR="00CE5666" w:rsidRDefault="00623288"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2.37</w:t>
            </w:r>
          </w:p>
        </w:tc>
        <w:tc>
          <w:tcPr>
            <w:tcW w:w="1035" w:type="dxa"/>
          </w:tcPr>
          <w:p w:rsidR="00CE5666" w:rsidRPr="00623288" w:rsidRDefault="00623288" w:rsidP="00530D4A">
            <w:pPr>
              <w:spacing w:line="360" w:lineRule="auto"/>
              <w:ind w:right="180"/>
              <w:jc w:val="center"/>
              <w:rPr>
                <w:rFonts w:asciiTheme="majorBidi" w:hAnsiTheme="majorBidi" w:cstheme="majorBidi"/>
                <w:sz w:val="20"/>
                <w:szCs w:val="20"/>
              </w:rPr>
            </w:pPr>
            <w:r w:rsidRPr="00623288">
              <w:rPr>
                <w:rFonts w:asciiTheme="majorBidi" w:hAnsiTheme="majorBidi" w:cstheme="majorBidi"/>
                <w:sz w:val="20"/>
                <w:szCs w:val="20"/>
              </w:rPr>
              <w:t>1.035 to 5.4436</w:t>
            </w:r>
          </w:p>
        </w:tc>
        <w:tc>
          <w:tcPr>
            <w:tcW w:w="918" w:type="dxa"/>
          </w:tcPr>
          <w:p w:rsidR="00CE5666" w:rsidRDefault="00A33812"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2.373</w:t>
            </w:r>
          </w:p>
        </w:tc>
        <w:tc>
          <w:tcPr>
            <w:tcW w:w="801" w:type="dxa"/>
          </w:tcPr>
          <w:p w:rsidR="00CE5666" w:rsidRDefault="00F25C6F"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0.36</w:t>
            </w:r>
          </w:p>
        </w:tc>
        <w:tc>
          <w:tcPr>
            <w:tcW w:w="1080" w:type="dxa"/>
          </w:tcPr>
          <w:p w:rsidR="00CE5666" w:rsidRDefault="00F25C6F"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w:t>
            </w:r>
          </w:p>
        </w:tc>
      </w:tr>
      <w:tr w:rsidR="00F25C6F" w:rsidTr="00344DC7">
        <w:tc>
          <w:tcPr>
            <w:tcW w:w="1301"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CC</w:t>
            </w:r>
          </w:p>
        </w:tc>
        <w:tc>
          <w:tcPr>
            <w:tcW w:w="737"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18</w:t>
            </w:r>
          </w:p>
        </w:tc>
        <w:tc>
          <w:tcPr>
            <w:tcW w:w="625"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36</w:t>
            </w:r>
          </w:p>
        </w:tc>
        <w:tc>
          <w:tcPr>
            <w:tcW w:w="737"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22</w:t>
            </w:r>
          </w:p>
        </w:tc>
        <w:tc>
          <w:tcPr>
            <w:tcW w:w="625"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44</w:t>
            </w:r>
          </w:p>
        </w:tc>
        <w:tc>
          <w:tcPr>
            <w:tcW w:w="898" w:type="dxa"/>
          </w:tcPr>
          <w:p w:rsidR="00CE5666" w:rsidRDefault="00CE5666"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0.41</w:t>
            </w:r>
          </w:p>
        </w:tc>
        <w:tc>
          <w:tcPr>
            <w:tcW w:w="801" w:type="dxa"/>
          </w:tcPr>
          <w:p w:rsidR="00CE5666" w:rsidRDefault="00623288"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0.71</w:t>
            </w:r>
          </w:p>
        </w:tc>
        <w:tc>
          <w:tcPr>
            <w:tcW w:w="1035" w:type="dxa"/>
          </w:tcPr>
          <w:p w:rsidR="00CE5666" w:rsidRPr="00623288" w:rsidRDefault="00623288" w:rsidP="00530D4A">
            <w:pPr>
              <w:spacing w:line="360" w:lineRule="auto"/>
              <w:ind w:right="180"/>
              <w:jc w:val="center"/>
              <w:rPr>
                <w:rFonts w:asciiTheme="majorBidi" w:hAnsiTheme="majorBidi" w:cstheme="majorBidi"/>
                <w:sz w:val="20"/>
                <w:szCs w:val="20"/>
              </w:rPr>
            </w:pPr>
            <w:r w:rsidRPr="00623288">
              <w:rPr>
                <w:rFonts w:asciiTheme="majorBidi" w:hAnsiTheme="majorBidi" w:cstheme="majorBidi"/>
                <w:sz w:val="20"/>
                <w:szCs w:val="20"/>
              </w:rPr>
              <w:t>0.3206 to 1.5986</w:t>
            </w:r>
          </w:p>
        </w:tc>
        <w:tc>
          <w:tcPr>
            <w:tcW w:w="918" w:type="dxa"/>
          </w:tcPr>
          <w:p w:rsidR="00CE5666" w:rsidRDefault="00A33812"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0.715</w:t>
            </w:r>
          </w:p>
        </w:tc>
        <w:tc>
          <w:tcPr>
            <w:tcW w:w="801" w:type="dxa"/>
          </w:tcPr>
          <w:p w:rsidR="00CE5666" w:rsidRDefault="00F25C6F"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w:t>
            </w:r>
          </w:p>
        </w:tc>
        <w:tc>
          <w:tcPr>
            <w:tcW w:w="1080" w:type="dxa"/>
          </w:tcPr>
          <w:p w:rsidR="00CE5666" w:rsidRDefault="00344DC7"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0.152</w:t>
            </w:r>
          </w:p>
        </w:tc>
      </w:tr>
      <w:tr w:rsidR="00CE5666" w:rsidTr="00344DC7">
        <w:tc>
          <w:tcPr>
            <w:tcW w:w="9558" w:type="dxa"/>
            <w:gridSpan w:val="11"/>
          </w:tcPr>
          <w:p w:rsidR="00CE5666" w:rsidRPr="00F05E2E" w:rsidRDefault="00CE5666" w:rsidP="00BD6C12">
            <w:pPr>
              <w:spacing w:line="360" w:lineRule="auto"/>
              <w:ind w:right="180"/>
              <w:rPr>
                <w:rFonts w:asciiTheme="majorBidi" w:hAnsiTheme="majorBidi" w:cstheme="majorBidi"/>
                <w:b/>
                <w:bCs/>
                <w:sz w:val="24"/>
                <w:szCs w:val="24"/>
              </w:rPr>
            </w:pPr>
            <w:proofErr w:type="gramStart"/>
            <w:r w:rsidRPr="00F05E2E">
              <w:rPr>
                <w:rFonts w:asciiTheme="majorBidi" w:hAnsiTheme="majorBidi" w:cstheme="majorBidi"/>
                <w:b/>
                <w:bCs/>
                <w:sz w:val="24"/>
                <w:szCs w:val="24"/>
              </w:rPr>
              <w:t>Allele</w:t>
            </w:r>
            <w:r>
              <w:rPr>
                <w:rFonts w:asciiTheme="majorBidi" w:hAnsiTheme="majorBidi" w:cstheme="majorBidi"/>
                <w:b/>
                <w:bCs/>
                <w:sz w:val="24"/>
                <w:szCs w:val="24"/>
              </w:rPr>
              <w:t xml:space="preserve"> :</w:t>
            </w:r>
            <w:proofErr w:type="gramEnd"/>
            <w:r>
              <w:rPr>
                <w:rFonts w:asciiTheme="majorBidi" w:hAnsiTheme="majorBidi" w:cstheme="majorBidi"/>
                <w:b/>
                <w:bCs/>
                <w:sz w:val="24"/>
                <w:szCs w:val="24"/>
              </w:rPr>
              <w:t xml:space="preserve"> </w:t>
            </w:r>
          </w:p>
        </w:tc>
      </w:tr>
      <w:tr w:rsidR="00F25C6F" w:rsidTr="00344DC7">
        <w:tc>
          <w:tcPr>
            <w:tcW w:w="1301"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G</w:t>
            </w:r>
          </w:p>
        </w:tc>
        <w:tc>
          <w:tcPr>
            <w:tcW w:w="737"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40</w:t>
            </w:r>
          </w:p>
        </w:tc>
        <w:tc>
          <w:tcPr>
            <w:tcW w:w="625"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40</w:t>
            </w:r>
          </w:p>
        </w:tc>
        <w:tc>
          <w:tcPr>
            <w:tcW w:w="737"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42</w:t>
            </w:r>
          </w:p>
        </w:tc>
        <w:tc>
          <w:tcPr>
            <w:tcW w:w="625"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42</w:t>
            </w:r>
          </w:p>
        </w:tc>
        <w:tc>
          <w:tcPr>
            <w:tcW w:w="898" w:type="dxa"/>
          </w:tcPr>
          <w:p w:rsidR="00CE5666" w:rsidRDefault="00CE5666"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0.77</w:t>
            </w:r>
          </w:p>
        </w:tc>
        <w:tc>
          <w:tcPr>
            <w:tcW w:w="801" w:type="dxa"/>
          </w:tcPr>
          <w:p w:rsidR="00CE5666" w:rsidRDefault="00623288"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0.92</w:t>
            </w:r>
          </w:p>
        </w:tc>
        <w:tc>
          <w:tcPr>
            <w:tcW w:w="1035" w:type="dxa"/>
          </w:tcPr>
          <w:p w:rsidR="00CE5666" w:rsidRDefault="00623288"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0.5239 to 1.6177</w:t>
            </w:r>
          </w:p>
        </w:tc>
        <w:tc>
          <w:tcPr>
            <w:tcW w:w="918" w:type="dxa"/>
          </w:tcPr>
          <w:p w:rsidR="00CE5666" w:rsidRDefault="00A33812"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0.920</w:t>
            </w:r>
          </w:p>
        </w:tc>
        <w:tc>
          <w:tcPr>
            <w:tcW w:w="801" w:type="dxa"/>
          </w:tcPr>
          <w:p w:rsidR="00CE5666" w:rsidRDefault="00F25C6F"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w:t>
            </w:r>
          </w:p>
        </w:tc>
        <w:tc>
          <w:tcPr>
            <w:tcW w:w="1080" w:type="dxa"/>
          </w:tcPr>
          <w:p w:rsidR="00CE5666" w:rsidRDefault="00344DC7"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0.040</w:t>
            </w:r>
          </w:p>
        </w:tc>
      </w:tr>
      <w:tr w:rsidR="00F25C6F" w:rsidTr="00344DC7">
        <w:tc>
          <w:tcPr>
            <w:tcW w:w="1301"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C</w:t>
            </w:r>
          </w:p>
        </w:tc>
        <w:tc>
          <w:tcPr>
            <w:tcW w:w="737"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60</w:t>
            </w:r>
          </w:p>
        </w:tc>
        <w:tc>
          <w:tcPr>
            <w:tcW w:w="625"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60</w:t>
            </w:r>
          </w:p>
        </w:tc>
        <w:tc>
          <w:tcPr>
            <w:tcW w:w="737"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58</w:t>
            </w:r>
          </w:p>
        </w:tc>
        <w:tc>
          <w:tcPr>
            <w:tcW w:w="625" w:type="dxa"/>
          </w:tcPr>
          <w:p w:rsidR="00CE5666" w:rsidRDefault="00CE5666" w:rsidP="00F05E2E">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58</w:t>
            </w:r>
          </w:p>
        </w:tc>
        <w:tc>
          <w:tcPr>
            <w:tcW w:w="898" w:type="dxa"/>
          </w:tcPr>
          <w:p w:rsidR="00CE5666" w:rsidRDefault="00CE5666"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0.77</w:t>
            </w:r>
          </w:p>
        </w:tc>
        <w:tc>
          <w:tcPr>
            <w:tcW w:w="801" w:type="dxa"/>
          </w:tcPr>
          <w:p w:rsidR="00CE5666" w:rsidRDefault="00623288"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1.08</w:t>
            </w:r>
          </w:p>
        </w:tc>
        <w:tc>
          <w:tcPr>
            <w:tcW w:w="1035" w:type="dxa"/>
          </w:tcPr>
          <w:p w:rsidR="00CE5666" w:rsidRDefault="00623288"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0.6182 to 1.9087</w:t>
            </w:r>
          </w:p>
        </w:tc>
        <w:tc>
          <w:tcPr>
            <w:tcW w:w="918" w:type="dxa"/>
          </w:tcPr>
          <w:p w:rsidR="00CE5666" w:rsidRDefault="00A33812"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1.086</w:t>
            </w:r>
          </w:p>
        </w:tc>
        <w:tc>
          <w:tcPr>
            <w:tcW w:w="801" w:type="dxa"/>
          </w:tcPr>
          <w:p w:rsidR="00CE5666" w:rsidRDefault="00CE5666" w:rsidP="00530D4A">
            <w:pPr>
              <w:spacing w:line="360" w:lineRule="auto"/>
              <w:ind w:right="180"/>
              <w:jc w:val="center"/>
              <w:rPr>
                <w:rFonts w:asciiTheme="majorBidi" w:hAnsiTheme="majorBidi" w:cstheme="majorBidi"/>
                <w:sz w:val="24"/>
                <w:szCs w:val="24"/>
              </w:rPr>
            </w:pPr>
          </w:p>
        </w:tc>
        <w:tc>
          <w:tcPr>
            <w:tcW w:w="1080" w:type="dxa"/>
          </w:tcPr>
          <w:p w:rsidR="00CE5666" w:rsidRDefault="00F25C6F" w:rsidP="00530D4A">
            <w:pPr>
              <w:spacing w:line="360" w:lineRule="auto"/>
              <w:ind w:right="180"/>
              <w:jc w:val="center"/>
              <w:rPr>
                <w:rFonts w:asciiTheme="majorBidi" w:hAnsiTheme="majorBidi" w:cstheme="majorBidi"/>
                <w:sz w:val="24"/>
                <w:szCs w:val="24"/>
              </w:rPr>
            </w:pPr>
            <w:r>
              <w:rPr>
                <w:rFonts w:asciiTheme="majorBidi" w:hAnsiTheme="majorBidi" w:cstheme="majorBidi"/>
                <w:sz w:val="24"/>
                <w:szCs w:val="24"/>
              </w:rPr>
              <w:t>----</w:t>
            </w:r>
          </w:p>
        </w:tc>
      </w:tr>
    </w:tbl>
    <w:p w:rsidR="00A935D0" w:rsidRDefault="00C32A95" w:rsidP="00A935D0">
      <w:pPr>
        <w:spacing w:line="480" w:lineRule="auto"/>
        <w:ind w:left="180" w:right="180"/>
        <w:jc w:val="both"/>
        <w:rPr>
          <w:rFonts w:asciiTheme="majorBidi" w:hAnsiTheme="majorBidi" w:cstheme="majorBidi"/>
          <w:sz w:val="24"/>
          <w:szCs w:val="24"/>
        </w:rPr>
      </w:pPr>
      <w:proofErr w:type="gramStart"/>
      <w:r>
        <w:rPr>
          <w:rFonts w:asciiTheme="majorBidi" w:hAnsiTheme="majorBidi" w:cstheme="majorBidi"/>
          <w:sz w:val="24"/>
          <w:szCs w:val="24"/>
        </w:rPr>
        <w:t>RR :</w:t>
      </w:r>
      <w:proofErr w:type="gramEnd"/>
      <w:r>
        <w:rPr>
          <w:rFonts w:asciiTheme="majorBidi" w:hAnsiTheme="majorBidi" w:cstheme="majorBidi"/>
          <w:sz w:val="24"/>
          <w:szCs w:val="24"/>
        </w:rPr>
        <w:t xml:space="preserve"> Relative risk  EF : etiologic fraction   PF : Preventive fraction</w:t>
      </w:r>
    </w:p>
    <w:p w:rsidR="006870B7" w:rsidRDefault="006870B7" w:rsidP="001A00C1">
      <w:pPr>
        <w:spacing w:line="480" w:lineRule="auto"/>
        <w:ind w:left="180" w:right="180"/>
        <w:jc w:val="center"/>
        <w:rPr>
          <w:rFonts w:asciiTheme="majorBidi" w:hAnsiTheme="majorBidi" w:cstheme="majorBidi"/>
          <w:sz w:val="24"/>
          <w:szCs w:val="24"/>
        </w:rPr>
      </w:pPr>
    </w:p>
    <w:p w:rsidR="006870B7" w:rsidRDefault="006870B7" w:rsidP="001A00C1">
      <w:pPr>
        <w:spacing w:line="480" w:lineRule="auto"/>
        <w:ind w:left="180" w:right="180"/>
        <w:jc w:val="center"/>
        <w:rPr>
          <w:rFonts w:asciiTheme="majorBidi" w:hAnsiTheme="majorBidi" w:cstheme="majorBidi"/>
          <w:sz w:val="24"/>
          <w:szCs w:val="24"/>
        </w:rPr>
      </w:pPr>
    </w:p>
    <w:p w:rsidR="001A00C1" w:rsidRDefault="001A00C1" w:rsidP="001A00C1">
      <w:pPr>
        <w:spacing w:line="480" w:lineRule="auto"/>
        <w:ind w:left="180" w:right="180"/>
        <w:jc w:val="center"/>
        <w:rPr>
          <w:rFonts w:asciiTheme="majorBidi" w:hAnsiTheme="majorBidi" w:cstheme="majorBidi"/>
          <w:sz w:val="24"/>
          <w:szCs w:val="24"/>
        </w:rPr>
      </w:pPr>
      <w:r>
        <w:rPr>
          <w:noProof/>
        </w:rPr>
        <w:lastRenderedPageBreak/>
        <w:drawing>
          <wp:anchor distT="0" distB="0" distL="114300" distR="114300" simplePos="0" relativeHeight="251658240" behindDoc="0" locked="0" layoutInCell="1" allowOverlap="1">
            <wp:simplePos x="0" y="0"/>
            <wp:positionH relativeFrom="column">
              <wp:posOffset>681487</wp:posOffset>
            </wp:positionH>
            <wp:positionV relativeFrom="paragraph">
              <wp:posOffset>120770</wp:posOffset>
            </wp:positionV>
            <wp:extent cx="4416724" cy="2398143"/>
            <wp:effectExtent l="0" t="0" r="22225" b="21590"/>
            <wp:wrapNone/>
            <wp:docPr id="1" name="مخطط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1A00C1" w:rsidRDefault="001A00C1" w:rsidP="001A00C1">
      <w:pPr>
        <w:spacing w:line="480" w:lineRule="auto"/>
        <w:ind w:left="180" w:right="180"/>
        <w:jc w:val="center"/>
        <w:rPr>
          <w:rFonts w:asciiTheme="majorBidi" w:hAnsiTheme="majorBidi" w:cstheme="majorBidi"/>
          <w:sz w:val="24"/>
          <w:szCs w:val="24"/>
        </w:rPr>
      </w:pPr>
    </w:p>
    <w:p w:rsidR="001A00C1" w:rsidRDefault="001A00C1" w:rsidP="001A00C1">
      <w:pPr>
        <w:spacing w:line="480" w:lineRule="auto"/>
        <w:ind w:left="180" w:right="180"/>
        <w:jc w:val="center"/>
        <w:rPr>
          <w:rFonts w:asciiTheme="majorBidi" w:hAnsiTheme="majorBidi" w:cstheme="majorBidi"/>
          <w:sz w:val="24"/>
          <w:szCs w:val="24"/>
        </w:rPr>
      </w:pPr>
    </w:p>
    <w:p w:rsidR="001A00C1" w:rsidRDefault="001A00C1" w:rsidP="001A00C1">
      <w:pPr>
        <w:spacing w:line="480" w:lineRule="auto"/>
        <w:ind w:left="180" w:right="180"/>
        <w:jc w:val="center"/>
        <w:rPr>
          <w:rFonts w:asciiTheme="majorBidi" w:hAnsiTheme="majorBidi" w:cstheme="majorBidi"/>
          <w:sz w:val="24"/>
          <w:szCs w:val="24"/>
        </w:rPr>
      </w:pPr>
    </w:p>
    <w:p w:rsidR="001A00C1" w:rsidRDefault="001A00C1" w:rsidP="001A00C1">
      <w:pPr>
        <w:spacing w:line="480" w:lineRule="auto"/>
        <w:ind w:left="180" w:right="180"/>
        <w:jc w:val="center"/>
        <w:rPr>
          <w:rFonts w:asciiTheme="majorBidi" w:hAnsiTheme="majorBidi" w:cstheme="majorBidi"/>
          <w:sz w:val="24"/>
          <w:szCs w:val="24"/>
        </w:rPr>
      </w:pPr>
    </w:p>
    <w:p w:rsidR="001A00C1" w:rsidRDefault="001A00C1" w:rsidP="001A00C1">
      <w:pPr>
        <w:spacing w:line="480" w:lineRule="auto"/>
        <w:ind w:left="180" w:right="180"/>
        <w:jc w:val="center"/>
        <w:rPr>
          <w:rFonts w:asciiTheme="majorBidi" w:hAnsiTheme="majorBidi" w:cstheme="majorBidi"/>
          <w:sz w:val="24"/>
          <w:szCs w:val="24"/>
        </w:rPr>
      </w:pPr>
    </w:p>
    <w:p w:rsidR="003F0838" w:rsidRDefault="00722A9D" w:rsidP="006870B7">
      <w:pPr>
        <w:jc w:val="center"/>
        <w:rPr>
          <w:rFonts w:asciiTheme="majorBidi" w:hAnsiTheme="majorBidi" w:cstheme="majorBidi"/>
          <w:sz w:val="24"/>
          <w:szCs w:val="24"/>
        </w:rPr>
      </w:pPr>
      <w:r w:rsidRPr="006870B7">
        <w:rPr>
          <w:b/>
          <w:bCs/>
          <w:noProof/>
        </w:rPr>
        <w:drawing>
          <wp:anchor distT="0" distB="0" distL="114300" distR="114300" simplePos="0" relativeHeight="251659264" behindDoc="0" locked="0" layoutInCell="1" allowOverlap="1">
            <wp:simplePos x="0" y="0"/>
            <wp:positionH relativeFrom="column">
              <wp:posOffset>681487</wp:posOffset>
            </wp:positionH>
            <wp:positionV relativeFrom="paragraph">
              <wp:posOffset>732095</wp:posOffset>
            </wp:positionV>
            <wp:extent cx="4416724" cy="2268747"/>
            <wp:effectExtent l="0" t="0" r="22225" b="17780"/>
            <wp:wrapNone/>
            <wp:docPr id="3" name="مخطط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1F1EC8" w:rsidRPr="006870B7">
        <w:rPr>
          <w:rFonts w:asciiTheme="majorBidi" w:hAnsiTheme="majorBidi" w:cstheme="majorBidi"/>
          <w:b/>
          <w:bCs/>
          <w:sz w:val="24"/>
          <w:szCs w:val="24"/>
        </w:rPr>
        <w:t xml:space="preserve">Figure </w:t>
      </w:r>
      <w:r w:rsidR="00C05327" w:rsidRPr="006870B7">
        <w:rPr>
          <w:rFonts w:asciiTheme="majorBidi" w:hAnsiTheme="majorBidi" w:cstheme="majorBidi"/>
          <w:b/>
          <w:bCs/>
          <w:sz w:val="24"/>
          <w:szCs w:val="24"/>
        </w:rPr>
        <w:t>(1)</w:t>
      </w:r>
      <w:r w:rsidR="001F1EC8" w:rsidRPr="006870B7">
        <w:rPr>
          <w:rFonts w:asciiTheme="majorBidi" w:hAnsiTheme="majorBidi" w:cstheme="majorBidi"/>
          <w:b/>
          <w:bCs/>
          <w:sz w:val="24"/>
          <w:szCs w:val="24"/>
        </w:rPr>
        <w:t xml:space="preserve"> IL-6G</w:t>
      </w:r>
      <w:r w:rsidR="001A00C1" w:rsidRPr="006870B7">
        <w:rPr>
          <w:rFonts w:asciiTheme="majorBidi" w:hAnsiTheme="majorBidi" w:cstheme="majorBidi"/>
          <w:b/>
          <w:bCs/>
          <w:sz w:val="24"/>
          <w:szCs w:val="24"/>
        </w:rPr>
        <w:t>enotype</w:t>
      </w:r>
      <w:r w:rsidR="00253D14" w:rsidRPr="006870B7">
        <w:rPr>
          <w:rFonts w:asciiTheme="majorBidi" w:hAnsiTheme="majorBidi" w:cstheme="majorBidi"/>
          <w:b/>
          <w:bCs/>
          <w:sz w:val="24"/>
          <w:szCs w:val="24"/>
        </w:rPr>
        <w:t xml:space="preserve"> polymorphism in seropositive toxoplasmosis patients and healthy individuals</w:t>
      </w:r>
      <w:r w:rsidR="00253D14" w:rsidRPr="003F0838">
        <w:rPr>
          <w:rFonts w:asciiTheme="majorBidi" w:hAnsiTheme="majorBidi" w:cstheme="majorBidi"/>
          <w:sz w:val="24"/>
          <w:szCs w:val="24"/>
        </w:rPr>
        <w:t>.</w:t>
      </w:r>
    </w:p>
    <w:p w:rsidR="001A00C1" w:rsidRDefault="001A00C1" w:rsidP="001A00C1">
      <w:pPr>
        <w:spacing w:line="480" w:lineRule="auto"/>
        <w:jc w:val="both"/>
        <w:rPr>
          <w:rFonts w:asciiTheme="majorBidi" w:hAnsiTheme="majorBidi" w:cstheme="majorBidi"/>
          <w:sz w:val="24"/>
          <w:szCs w:val="24"/>
        </w:rPr>
      </w:pPr>
    </w:p>
    <w:p w:rsidR="001A00C1" w:rsidRDefault="001A00C1" w:rsidP="00253D14">
      <w:pPr>
        <w:spacing w:line="480" w:lineRule="auto"/>
        <w:jc w:val="both"/>
        <w:rPr>
          <w:rFonts w:asciiTheme="majorBidi" w:hAnsiTheme="majorBidi" w:cstheme="majorBidi"/>
          <w:sz w:val="24"/>
          <w:szCs w:val="24"/>
        </w:rPr>
      </w:pPr>
    </w:p>
    <w:p w:rsidR="001A00C1" w:rsidRDefault="001A00C1" w:rsidP="00253D14">
      <w:pPr>
        <w:spacing w:line="480" w:lineRule="auto"/>
        <w:jc w:val="both"/>
        <w:rPr>
          <w:rFonts w:asciiTheme="majorBidi" w:hAnsiTheme="majorBidi" w:cstheme="majorBidi"/>
          <w:sz w:val="24"/>
          <w:szCs w:val="24"/>
        </w:rPr>
      </w:pPr>
    </w:p>
    <w:p w:rsidR="00722A9D" w:rsidRDefault="00722A9D" w:rsidP="00253D14">
      <w:pPr>
        <w:spacing w:line="480" w:lineRule="auto"/>
        <w:jc w:val="both"/>
        <w:rPr>
          <w:rFonts w:asciiTheme="majorBidi" w:hAnsiTheme="majorBidi" w:cstheme="majorBidi"/>
          <w:sz w:val="24"/>
          <w:szCs w:val="24"/>
        </w:rPr>
      </w:pPr>
    </w:p>
    <w:p w:rsidR="00722A9D" w:rsidRDefault="00722A9D" w:rsidP="00253D14">
      <w:pPr>
        <w:spacing w:line="480" w:lineRule="auto"/>
        <w:jc w:val="both"/>
        <w:rPr>
          <w:rFonts w:asciiTheme="majorBidi" w:hAnsiTheme="majorBidi" w:cstheme="majorBidi"/>
          <w:sz w:val="24"/>
          <w:szCs w:val="24"/>
        </w:rPr>
      </w:pPr>
    </w:p>
    <w:p w:rsidR="00722A9D" w:rsidRDefault="00722A9D" w:rsidP="00253D14">
      <w:pPr>
        <w:spacing w:line="480" w:lineRule="auto"/>
        <w:jc w:val="both"/>
        <w:rPr>
          <w:rFonts w:asciiTheme="majorBidi" w:hAnsiTheme="majorBidi" w:cstheme="majorBidi"/>
          <w:sz w:val="24"/>
          <w:szCs w:val="24"/>
        </w:rPr>
      </w:pPr>
    </w:p>
    <w:p w:rsidR="007D240C" w:rsidRPr="006870B7" w:rsidRDefault="007D240C" w:rsidP="006870B7">
      <w:pPr>
        <w:jc w:val="center"/>
        <w:rPr>
          <w:rFonts w:asciiTheme="majorBidi" w:hAnsiTheme="majorBidi" w:cstheme="majorBidi"/>
          <w:b/>
          <w:bCs/>
          <w:sz w:val="24"/>
          <w:szCs w:val="24"/>
        </w:rPr>
      </w:pPr>
      <w:r w:rsidRPr="006870B7">
        <w:rPr>
          <w:rFonts w:asciiTheme="majorBidi" w:hAnsiTheme="majorBidi" w:cstheme="majorBidi"/>
          <w:b/>
          <w:bCs/>
          <w:sz w:val="24"/>
          <w:szCs w:val="24"/>
        </w:rPr>
        <w:t xml:space="preserve">Figure </w:t>
      </w:r>
      <w:r w:rsidR="00C05327" w:rsidRPr="006870B7">
        <w:rPr>
          <w:rFonts w:asciiTheme="majorBidi" w:hAnsiTheme="majorBidi" w:cstheme="majorBidi"/>
          <w:b/>
          <w:bCs/>
          <w:sz w:val="24"/>
          <w:szCs w:val="24"/>
        </w:rPr>
        <w:t>(2)</w:t>
      </w:r>
      <w:r w:rsidRPr="006870B7">
        <w:rPr>
          <w:rFonts w:asciiTheme="majorBidi" w:hAnsiTheme="majorBidi" w:cstheme="majorBidi"/>
          <w:b/>
          <w:bCs/>
          <w:sz w:val="24"/>
          <w:szCs w:val="24"/>
        </w:rPr>
        <w:t xml:space="preserve"> IL-6 allele polymorphism in seropositive toxoplasmosis patients and healthy individuals</w:t>
      </w:r>
    </w:p>
    <w:p w:rsidR="00722A9D" w:rsidRDefault="00722A9D" w:rsidP="00253D14">
      <w:pPr>
        <w:spacing w:line="480" w:lineRule="auto"/>
        <w:jc w:val="both"/>
        <w:rPr>
          <w:rFonts w:asciiTheme="majorBidi" w:hAnsiTheme="majorBidi" w:cstheme="majorBidi"/>
          <w:sz w:val="24"/>
          <w:szCs w:val="24"/>
        </w:rPr>
      </w:pPr>
    </w:p>
    <w:p w:rsidR="00C05327" w:rsidRDefault="00C05327" w:rsidP="00253D14">
      <w:pPr>
        <w:spacing w:line="480" w:lineRule="auto"/>
        <w:jc w:val="both"/>
        <w:rPr>
          <w:rFonts w:asciiTheme="majorBidi" w:hAnsiTheme="majorBidi" w:cstheme="majorBidi"/>
          <w:sz w:val="24"/>
          <w:szCs w:val="24"/>
        </w:rPr>
      </w:pPr>
    </w:p>
    <w:p w:rsidR="00C05327" w:rsidRDefault="00C05327" w:rsidP="00253D14">
      <w:pPr>
        <w:spacing w:line="480" w:lineRule="auto"/>
        <w:jc w:val="both"/>
        <w:rPr>
          <w:rFonts w:asciiTheme="majorBidi" w:hAnsiTheme="majorBidi" w:cstheme="majorBidi"/>
          <w:sz w:val="24"/>
          <w:szCs w:val="24"/>
        </w:rPr>
      </w:pPr>
    </w:p>
    <w:p w:rsidR="00C05327" w:rsidRPr="00253D14" w:rsidRDefault="00C05327" w:rsidP="00C05327">
      <w:pPr>
        <w:spacing w:line="480" w:lineRule="auto"/>
        <w:jc w:val="center"/>
        <w:rPr>
          <w:rFonts w:asciiTheme="majorBidi" w:hAnsiTheme="majorBidi" w:cstheme="majorBidi"/>
          <w:sz w:val="24"/>
          <w:szCs w:val="24"/>
        </w:rPr>
      </w:pPr>
      <w:r w:rsidRPr="00C05327">
        <w:rPr>
          <w:rFonts w:ascii="Calibri" w:eastAsia="Calibri" w:hAnsi="Calibri" w:cs="Arial"/>
          <w:noProof/>
        </w:rPr>
        <w:lastRenderedPageBreak/>
        <w:drawing>
          <wp:inline distT="0" distB="0" distL="0" distR="0">
            <wp:extent cx="3752850" cy="331470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2850" cy="3314700"/>
                    </a:xfrm>
                    <a:prstGeom prst="rect">
                      <a:avLst/>
                    </a:prstGeom>
                  </pic:spPr>
                </pic:pic>
              </a:graphicData>
            </a:graphic>
          </wp:inline>
        </w:drawing>
      </w:r>
    </w:p>
    <w:p w:rsidR="00C05327" w:rsidRPr="006870B7" w:rsidRDefault="00C05327" w:rsidP="006870B7">
      <w:pPr>
        <w:spacing w:line="360" w:lineRule="auto"/>
        <w:jc w:val="both"/>
        <w:rPr>
          <w:rFonts w:ascii="Times New Roman" w:eastAsia="Calibri" w:hAnsi="Times New Roman" w:cs="Times New Roman"/>
          <w:b/>
          <w:i/>
          <w:iCs/>
          <w:sz w:val="20"/>
          <w:szCs w:val="20"/>
          <w:lang w:bidi="ar-IQ"/>
        </w:rPr>
      </w:pPr>
      <w:r w:rsidRPr="006870B7">
        <w:rPr>
          <w:rFonts w:ascii="Times New Roman" w:eastAsia="Calibri" w:hAnsi="Times New Roman" w:cs="Times New Roman"/>
          <w:b/>
          <w:sz w:val="24"/>
          <w:szCs w:val="24"/>
        </w:rPr>
        <w:t>Figure (3)</w:t>
      </w:r>
      <w:r w:rsidR="006870B7">
        <w:rPr>
          <w:rFonts w:ascii="Times New Roman" w:eastAsia="Calibri" w:hAnsi="Times New Roman" w:cs="Times New Roman"/>
          <w:b/>
          <w:sz w:val="24"/>
          <w:szCs w:val="24"/>
        </w:rPr>
        <w:t>.</w:t>
      </w:r>
      <w:r w:rsidRPr="006870B7">
        <w:rPr>
          <w:rFonts w:ascii="Times New Roman" w:eastAsia="Calibri" w:hAnsi="Times New Roman" w:cs="Times New Roman"/>
          <w:b/>
          <w:sz w:val="24"/>
          <w:szCs w:val="24"/>
        </w:rPr>
        <w:t xml:space="preserve"> Agarose gel electrophoresis image that show the RFLP-PCR RFLP product analysis for IL-6 gene polymorphism using </w:t>
      </w:r>
      <w:r w:rsidRPr="006870B7">
        <w:rPr>
          <w:rFonts w:ascii="Times New Roman" w:eastAsia="Calibri" w:hAnsi="Times New Roman" w:cs="Times New Roman"/>
          <w:b/>
          <w:i/>
          <w:iCs/>
          <w:sz w:val="24"/>
          <w:szCs w:val="24"/>
        </w:rPr>
        <w:t>Hsp92II</w:t>
      </w:r>
      <w:r w:rsidRPr="006870B7">
        <w:rPr>
          <w:rFonts w:ascii="Times New Roman" w:eastAsia="Calibri" w:hAnsi="Times New Roman" w:cs="Times New Roman"/>
          <w:b/>
          <w:sz w:val="24"/>
          <w:szCs w:val="24"/>
        </w:rPr>
        <w:t xml:space="preserve"> restriction enzyme. Where M: marker (2000-50bp). The lane (GG) mutant type homozygote that show digested by restriction enzyme into 229bp and 173bp band. The lane (CC) wild type homozygote, the product was digested by restriction enzyme digested into 229 bp, 122 bp, 51 bp, and invisible 29 bp band, and lane (C/G) heterozygote, the product digested by restriction enzyme into 229 bp, 173bp, 122 bp, 51bp, and</w:t>
      </w:r>
      <w:bookmarkStart w:id="1" w:name="_GoBack"/>
      <w:bookmarkEnd w:id="1"/>
      <w:r w:rsidRPr="006870B7">
        <w:rPr>
          <w:rFonts w:ascii="Times New Roman" w:eastAsia="Calibri" w:hAnsi="Times New Roman" w:cs="Times New Roman"/>
          <w:b/>
          <w:sz w:val="24"/>
          <w:szCs w:val="24"/>
        </w:rPr>
        <w:t xml:space="preserve"> invisible 29 bp band.</w:t>
      </w:r>
    </w:p>
    <w:p w:rsidR="00C05327" w:rsidRPr="00C05327" w:rsidRDefault="00C05327" w:rsidP="00C05327">
      <w:pPr>
        <w:rPr>
          <w:rFonts w:ascii="Calibri" w:eastAsia="Calibri" w:hAnsi="Calibri" w:cs="Arial"/>
          <w:sz w:val="20"/>
          <w:szCs w:val="20"/>
          <w:lang w:bidi="ar-IQ"/>
        </w:rPr>
      </w:pPr>
    </w:p>
    <w:p w:rsidR="00C05327" w:rsidRDefault="00C05327" w:rsidP="001443B4">
      <w:pPr>
        <w:spacing w:line="480" w:lineRule="auto"/>
        <w:ind w:left="180" w:right="180"/>
        <w:jc w:val="both"/>
        <w:rPr>
          <w:rFonts w:asciiTheme="majorBidi" w:hAnsiTheme="majorBidi" w:cstheme="majorBidi"/>
          <w:b/>
          <w:bCs/>
          <w:sz w:val="24"/>
          <w:szCs w:val="24"/>
        </w:rPr>
      </w:pPr>
    </w:p>
    <w:p w:rsidR="00EB1E82" w:rsidRDefault="00EB1E82" w:rsidP="001443B4">
      <w:pPr>
        <w:spacing w:line="480" w:lineRule="auto"/>
        <w:ind w:left="180" w:right="180"/>
        <w:jc w:val="both"/>
        <w:rPr>
          <w:rFonts w:asciiTheme="majorBidi" w:hAnsiTheme="majorBidi" w:cstheme="majorBidi"/>
          <w:sz w:val="24"/>
          <w:szCs w:val="24"/>
        </w:rPr>
      </w:pPr>
      <w:r>
        <w:rPr>
          <w:rFonts w:asciiTheme="majorBidi" w:hAnsiTheme="majorBidi" w:cstheme="majorBidi"/>
          <w:b/>
          <w:bCs/>
          <w:sz w:val="24"/>
          <w:szCs w:val="24"/>
        </w:rPr>
        <w:t>Discussion</w:t>
      </w:r>
    </w:p>
    <w:p w:rsidR="00521545" w:rsidRDefault="005C0869" w:rsidP="00521545">
      <w:pPr>
        <w:spacing w:line="480" w:lineRule="auto"/>
        <w:ind w:left="180" w:right="180"/>
        <w:jc w:val="both"/>
        <w:rPr>
          <w:rFonts w:asciiTheme="majorBidi" w:hAnsiTheme="majorBidi" w:cstheme="majorBidi"/>
          <w:sz w:val="24"/>
          <w:szCs w:val="24"/>
        </w:rPr>
      </w:pPr>
      <w:proofErr w:type="spellStart"/>
      <w:proofErr w:type="gramStart"/>
      <w:r>
        <w:rPr>
          <w:rFonts w:asciiTheme="majorBidi" w:hAnsiTheme="majorBidi" w:cstheme="majorBidi"/>
          <w:i/>
          <w:iCs/>
          <w:sz w:val="24"/>
          <w:szCs w:val="24"/>
        </w:rPr>
        <w:t>T</w:t>
      </w:r>
      <w:r>
        <w:rPr>
          <w:rFonts w:asciiTheme="majorBidi" w:hAnsiTheme="majorBidi" w:cstheme="majorBidi"/>
          <w:sz w:val="24"/>
          <w:szCs w:val="24"/>
        </w:rPr>
        <w:t>.</w:t>
      </w:r>
      <w:r w:rsidRPr="005C0869">
        <w:rPr>
          <w:rFonts w:asciiTheme="majorBidi" w:hAnsiTheme="majorBidi" w:cstheme="majorBidi"/>
          <w:i/>
          <w:iCs/>
          <w:sz w:val="24"/>
          <w:szCs w:val="24"/>
        </w:rPr>
        <w:t>gondii</w:t>
      </w:r>
      <w:proofErr w:type="spellEnd"/>
      <w:proofErr w:type="gramEnd"/>
      <w:r w:rsidRPr="005C0869">
        <w:rPr>
          <w:rFonts w:asciiTheme="majorBidi" w:hAnsiTheme="majorBidi" w:cstheme="majorBidi"/>
          <w:sz w:val="24"/>
          <w:szCs w:val="24"/>
        </w:rPr>
        <w:t xml:space="preserve"> is </w:t>
      </w:r>
      <w:proofErr w:type="spellStart"/>
      <w:r w:rsidR="002C4C4E">
        <w:rPr>
          <w:rFonts w:asciiTheme="majorBidi" w:hAnsiTheme="majorBidi" w:cstheme="majorBidi"/>
          <w:sz w:val="24"/>
          <w:szCs w:val="24"/>
        </w:rPr>
        <w:t>aglobally</w:t>
      </w:r>
      <w:proofErr w:type="spellEnd"/>
      <w:r w:rsidR="002C4C4E">
        <w:rPr>
          <w:rFonts w:asciiTheme="majorBidi" w:hAnsiTheme="majorBidi" w:cstheme="majorBidi"/>
          <w:sz w:val="24"/>
          <w:szCs w:val="24"/>
        </w:rPr>
        <w:t xml:space="preserve"> common</w:t>
      </w:r>
      <w:r w:rsidRPr="005C0869">
        <w:rPr>
          <w:rFonts w:asciiTheme="majorBidi" w:hAnsiTheme="majorBidi" w:cstheme="majorBidi"/>
          <w:sz w:val="24"/>
          <w:szCs w:val="24"/>
        </w:rPr>
        <w:t xml:space="preserve"> parasites, partly since it is able to target and continue to be found in most </w:t>
      </w:r>
      <w:r w:rsidR="002C4C4E">
        <w:rPr>
          <w:rFonts w:asciiTheme="majorBidi" w:hAnsiTheme="majorBidi" w:cstheme="majorBidi"/>
          <w:sz w:val="24"/>
          <w:szCs w:val="24"/>
        </w:rPr>
        <w:t xml:space="preserve">animals of </w:t>
      </w:r>
      <w:r w:rsidRPr="005C0869">
        <w:rPr>
          <w:rFonts w:asciiTheme="majorBidi" w:hAnsiTheme="majorBidi" w:cstheme="majorBidi"/>
          <w:sz w:val="24"/>
          <w:szCs w:val="24"/>
        </w:rPr>
        <w:t xml:space="preserve">warm-blooded </w:t>
      </w:r>
      <w:r w:rsidR="002C4C4E">
        <w:rPr>
          <w:rFonts w:asciiTheme="majorBidi" w:hAnsiTheme="majorBidi" w:cstheme="majorBidi"/>
          <w:sz w:val="24"/>
          <w:szCs w:val="24"/>
        </w:rPr>
        <w:t>species</w:t>
      </w:r>
      <w:r w:rsidRPr="005C0869">
        <w:rPr>
          <w:rFonts w:asciiTheme="majorBidi" w:hAnsiTheme="majorBidi" w:cstheme="majorBidi"/>
          <w:sz w:val="24"/>
          <w:szCs w:val="24"/>
        </w:rPr>
        <w:t xml:space="preserve">. A distinctive feature of </w:t>
      </w:r>
      <w:r>
        <w:rPr>
          <w:rFonts w:asciiTheme="majorBidi" w:hAnsiTheme="majorBidi" w:cstheme="majorBidi"/>
          <w:sz w:val="24"/>
          <w:szCs w:val="24"/>
        </w:rPr>
        <w:t xml:space="preserve">this parasite </w:t>
      </w:r>
      <w:proofErr w:type="spellStart"/>
      <w:r>
        <w:rPr>
          <w:rFonts w:asciiTheme="majorBidi" w:hAnsiTheme="majorBidi" w:cstheme="majorBidi"/>
          <w:sz w:val="24"/>
          <w:szCs w:val="24"/>
        </w:rPr>
        <w:t>isits</w:t>
      </w:r>
      <w:proofErr w:type="spellEnd"/>
      <w:r w:rsidRPr="005C0869">
        <w:rPr>
          <w:rFonts w:asciiTheme="majorBidi" w:hAnsiTheme="majorBidi" w:cstheme="majorBidi"/>
          <w:sz w:val="24"/>
          <w:szCs w:val="24"/>
        </w:rPr>
        <w:t xml:space="preserve"> ability to remain latent, in a number of hosts, such as humans and rodents, in the central nervous system (CNS)</w:t>
      </w:r>
      <w:r w:rsidR="00814981">
        <w:rPr>
          <w:rFonts w:asciiTheme="majorBidi" w:hAnsiTheme="majorBidi" w:cstheme="majorBidi"/>
          <w:sz w:val="24"/>
          <w:szCs w:val="24"/>
        </w:rPr>
        <w:fldChar w:fldCharType="begin" w:fldLock="1"/>
      </w:r>
      <w:r w:rsidR="008A6AA7">
        <w:rPr>
          <w:rFonts w:asciiTheme="majorBidi" w:hAnsiTheme="majorBidi" w:cstheme="majorBidi"/>
          <w:sz w:val="24"/>
          <w:szCs w:val="24"/>
        </w:rPr>
        <w:instrText>ADDIN CSL_CITATION {"citationItems":[{"id":"ITEM-1","itemData":{"DOI":"10.1371/journal.ppat.1005447","ISSN":"1553-7374","PMID":"26895155","abstract":"Toxoplasma gondii, a common brain-tropic parasite, is capable of infecting most nucleated cells, including astrocytes and neurons, in vitro. Yet, in vivo, Toxoplasma is primarily found in neurons. In vitro data showing that interferon-γ-stimulated astrocytes, but not neurons, clear intracellular parasites suggest that neurons alone are persistently infected in vivo because they lack the ability to clear intracellular parasites. Here we test this theory by using a novel Toxoplasma-mouse model capable of marking and tracking host cells that directly interact with parasites, even if the interaction is transient. Remarkably, we find that Toxoplasma shows a strong predilection for interacting with neurons throughout CNS infection. This predilection remains in the setting of IFN-γ depletion; infection with parasites resistant to the major mechanism by which murine astrocytes clear parasites; or when directly injecting parasites into the brain. These findings, in combination with prior work, strongly suggest that neurons are not incidentally infected, but rather they are Toxoplasma's primary in vivo target.","author":[{"dropping-particle":"","family":"Cabral","given":"Carla M.","non-dropping-particle":"","parse-names":false,"suffix":""},{"dropping-particle":"","family":"Tuladhar","given":"Shraddha","non-dropping-particle":"","parse-names":false,"suffix":""},{"dropping-particle":"","family":"Dietrich","given":"Hans K.","non-dropping-particle":"","parse-names":false,"suffix":""},{"dropping-particle":"","family":"Nguyen","given":"Elizabeth","non-dropping-particle":"","parse-names":false,"suffix":""},{"dropping-particle":"","family":"MacDonald","given":"Wes R.","non-dropping-particle":"","parse-names":false,"suffix":""},{"dropping-particle":"","family":"Trivedi","given":"Tapasya","non-dropping-particle":"","parse-names":false,"suffix":""},{"dropping-particle":"","family":"Devineni","given":"Asha","non-dropping-particle":"","parse-names":false,"suffix":""},{"dropping-particle":"","family":"Koshy","given":"Anita A.","non-dropping-particle":"","parse-names":false,"suffix":""}],"container-title":"PLOS Pathogens","editor":[{"dropping-particle":"","family":"Denkers","given":"Eric Y","non-dropping-particle":"","parse-names":false,"suffix":""}],"id":"ITEM-1","issue":"2","issued":{"date-parts":[["2016","2","19"]]},"page":"e1005447","title":"Neurons are the Primary Target Cell for the Brain-Tropic Intracellular Parasite Toxoplasma gondii","type":"article-journal","volume":"12"},"uris":["http://www.mendeley.com/documents/?uuid=f180b68e-0f53-3073-befd-7bd076c9690d"]},{"id":"ITEM-2","itemData":{"DOI":"10.1371/journal.ppat.1002825","ISSN":"1553-7374","PMID":"22910631","abstract":"Like many intracellular microbes, the protozoan parasite Toxoplasma gondii injects effector proteins into cells it invades. One group of these effector proteins is injected from specialized organelles called the rhoptries, which have previously been described to discharge their contents only during successful invasion of a host cell. In this report, using several reporter systems, we show that in vitro the parasite injects rhoptry proteins into cells it does not productively invade and that the rhoptry effector proteins can manipulate the uninfected cell in a similar manner to infected cells. In addition, as one of the reporter systems uses a rhoptry:Cre recombinase fusion protein, we show that in Cre-reporter mice infected with an encysting Toxoplasma-Cre strain, uninfected-injected cells, which could be derived from aborted invasion or cell-intrinsic killing after invasion, are actually more common than infected-injected cells, especially in the mouse brain, where Toxoplasma encysts and persists. This phenomenon has important implications for how Toxoplasma globally affects its host and opens a new avenue for how other intracellular microbes may similarly manipulate the host environment at large.","author":[{"dropping-particle":"","family":"Koshy","given":"Anita A.","non-dropping-particle":"","parse-names":false,"suffix":""},{"dropping-particle":"","family":"Dietrich","given":"Hans K.","non-dropping-particle":"","parse-names":false,"suffix":""},{"dropping-particle":"","family":"Christian","given":"David A.","non-dropping-particle":"","parse-names":false,"suffix":""},{"dropping-particle":"","family":"Melehani","given":"Jason H.","non-dropping-particle":"","parse-names":false,"suffix":""},{"dropping-particle":"","family":"Shastri","given":"Anjali J.","non-dropping-particle":"","parse-names":false,"suffix":""},{"dropping-particle":"","family":"Hunter","given":"Christopher A.","non-dropping-particle":"","parse-names":false,"suffix":""},{"dropping-particle":"","family":"Boothroyd","given":"John C.","non-dropping-particle":"","parse-names":false,"suffix":""}],"container-title":"PLoS Pathogens","editor":[{"dropping-particle":"","family":"Yap","given":"George S.","non-dropping-particle":"","parse-names":false,"suffix":""}],"id":"ITEM-2","issue":"7","issued":{"date-parts":[["2012","7","26"]]},"page":"e1002825","title":"Toxoplasma Co-opts Host Cells It Does Not Invade","type":"article-journal","volume":"8"},"uris":["http://www.mendeley.com/documents/?uuid=d6c3edae-3dee-364b-bcba-586be8b29bcb"]},{"id":"ITEM-3","itemData":{"DOI":"10.1556/1886.2015.00014","ISSN":"2062-509X","author":[{"dropping-particle":"","family":"Alvarado-Esquivel","given":"Cosme","non-dropping-particle":"","parse-names":false,"suffix":""},{"dropping-particle":"","family":"Sánchez-Anguiano","given":"Luis Francisco","non-dropping-particle":"","parse-names":false,"suffix":""},{"dropping-particle":"","family":"Mendoza-Larios","given":"Alejandra","non-dropping-particle":"","parse-names":false,"suffix":""},{"dropping-particle":"","family":"Hernández-Tinoco","given":"Jesús","non-dropping-particle":"","parse-names":false,"suffix":""},{"dropping-particle":"","family":"Pérez-Ochoa","given":"José Francisco","non-dropping-particle":"","parse-names":false,"suffix":""},{"dropping-particle":"","family":"Antuna-Salcido","given":"Elizabeth Irasema","non-dropping-particle":"","parse-names":false,"suffix":""},{"dropping-particle":"","family":"Rábago-Sánchez","given":"Elizabeth","non-dropping-particle":"","parse-names":false,"suffix":""},{"dropping-particle":"","family":"Liesenfeld","given":"Oliver","non-dropping-particle":"","parse-names":false,"suffix":""}],"container-title":"European Journal of Microbiology and Immunology","id":"ITEM-3","issue":"2","issued":{"date-parts":[["2015","6"]]},"page":"143-149","title":"Prevalence of &lt;i&gt;Toxoplasma gondii&lt;/i&gt; infection in brain and heart by immunohistochemistry in a hospital-based autopsy series in Durango, Mexico","type":"article-journal","volume":"5"},"uris":["http://www.mendeley.com/documents/?uuid=1690e177-1080-3df2-8db3-61b938774343"]}],"mendeley":{"formattedCitation":"(Koshy &lt;i&gt;et al.&lt;/i&gt;, 2012; Alvarado-Esquivel &lt;i&gt;et al.&lt;/i&gt;, 2015; Cabral &lt;i&gt;et al.&lt;/i&gt;, 2016)","plainTextFormattedCitation":"(Koshy et al., 2012; Alvarado-Esquivel et al., 2015; Cabral et al., 2016)","previouslyFormattedCitation":"(Koshy &lt;i&gt;et al.&lt;/i&gt;, 2012; Alvarado-Esquivel &lt;i&gt;et al.&lt;/i&gt;, 2015; Cabral &lt;i&gt;et al.&lt;/i&gt;, 2016)"},"properties":{"noteIndex":0},"schema":"https://github.com/citation-style-language/schema/raw/master/csl-citation.json"}</w:instrText>
      </w:r>
      <w:r w:rsidR="00814981">
        <w:rPr>
          <w:rFonts w:asciiTheme="majorBidi" w:hAnsiTheme="majorBidi" w:cstheme="majorBidi"/>
          <w:sz w:val="24"/>
          <w:szCs w:val="24"/>
        </w:rPr>
        <w:fldChar w:fldCharType="separate"/>
      </w:r>
      <w:r w:rsidR="00B3537D" w:rsidRPr="00B3537D">
        <w:rPr>
          <w:rFonts w:asciiTheme="majorBidi" w:hAnsiTheme="majorBidi" w:cstheme="majorBidi"/>
          <w:noProof/>
          <w:sz w:val="24"/>
          <w:szCs w:val="24"/>
        </w:rPr>
        <w:t xml:space="preserve">(Koshy </w:t>
      </w:r>
      <w:r w:rsidR="00B3537D" w:rsidRPr="00B3537D">
        <w:rPr>
          <w:rFonts w:asciiTheme="majorBidi" w:hAnsiTheme="majorBidi" w:cstheme="majorBidi"/>
          <w:i/>
          <w:noProof/>
          <w:sz w:val="24"/>
          <w:szCs w:val="24"/>
        </w:rPr>
        <w:t>et al.</w:t>
      </w:r>
      <w:r w:rsidR="00B3537D" w:rsidRPr="00B3537D">
        <w:rPr>
          <w:rFonts w:asciiTheme="majorBidi" w:hAnsiTheme="majorBidi" w:cstheme="majorBidi"/>
          <w:noProof/>
          <w:sz w:val="24"/>
          <w:szCs w:val="24"/>
        </w:rPr>
        <w:t xml:space="preserve">, 2012; Alvarado-Esquivel </w:t>
      </w:r>
      <w:r w:rsidR="00B3537D" w:rsidRPr="00B3537D">
        <w:rPr>
          <w:rFonts w:asciiTheme="majorBidi" w:hAnsiTheme="majorBidi" w:cstheme="majorBidi"/>
          <w:i/>
          <w:noProof/>
          <w:sz w:val="24"/>
          <w:szCs w:val="24"/>
        </w:rPr>
        <w:t>et al.</w:t>
      </w:r>
      <w:r w:rsidR="00B3537D" w:rsidRPr="00B3537D">
        <w:rPr>
          <w:rFonts w:asciiTheme="majorBidi" w:hAnsiTheme="majorBidi" w:cstheme="majorBidi"/>
          <w:noProof/>
          <w:sz w:val="24"/>
          <w:szCs w:val="24"/>
        </w:rPr>
        <w:t xml:space="preserve">, 2015; Cabral </w:t>
      </w:r>
      <w:r w:rsidR="00B3537D" w:rsidRPr="00B3537D">
        <w:rPr>
          <w:rFonts w:asciiTheme="majorBidi" w:hAnsiTheme="majorBidi" w:cstheme="majorBidi"/>
          <w:i/>
          <w:noProof/>
          <w:sz w:val="24"/>
          <w:szCs w:val="24"/>
        </w:rPr>
        <w:t>et al.</w:t>
      </w:r>
      <w:r w:rsidR="00B3537D" w:rsidRPr="00B3537D">
        <w:rPr>
          <w:rFonts w:asciiTheme="majorBidi" w:hAnsiTheme="majorBidi" w:cstheme="majorBidi"/>
          <w:noProof/>
          <w:sz w:val="24"/>
          <w:szCs w:val="24"/>
        </w:rPr>
        <w:t>, 2016)</w:t>
      </w:r>
      <w:r w:rsidR="00814981">
        <w:rPr>
          <w:rFonts w:asciiTheme="majorBidi" w:hAnsiTheme="majorBidi" w:cstheme="majorBidi"/>
          <w:sz w:val="24"/>
          <w:szCs w:val="24"/>
        </w:rPr>
        <w:fldChar w:fldCharType="end"/>
      </w:r>
      <w:r w:rsidRPr="005C0869">
        <w:rPr>
          <w:rFonts w:asciiTheme="majorBidi" w:hAnsiTheme="majorBidi" w:cstheme="majorBidi"/>
          <w:sz w:val="24"/>
          <w:szCs w:val="24"/>
        </w:rPr>
        <w:t>.</w:t>
      </w:r>
      <w:r w:rsidR="00521545">
        <w:rPr>
          <w:rFonts w:asciiTheme="majorBidi" w:hAnsiTheme="majorBidi" w:cstheme="majorBidi"/>
          <w:sz w:val="24"/>
          <w:szCs w:val="24"/>
        </w:rPr>
        <w:t xml:space="preserve"> Disturbances </w:t>
      </w:r>
      <w:r w:rsidR="00521545">
        <w:rPr>
          <w:rFonts w:asciiTheme="majorBidi" w:hAnsiTheme="majorBidi" w:cstheme="majorBidi"/>
          <w:sz w:val="24"/>
          <w:szCs w:val="24"/>
        </w:rPr>
        <w:lastRenderedPageBreak/>
        <w:t xml:space="preserve">of </w:t>
      </w:r>
      <w:proofErr w:type="spellStart"/>
      <w:r w:rsidR="00521545">
        <w:rPr>
          <w:rFonts w:asciiTheme="majorBidi" w:hAnsiTheme="majorBidi" w:cstheme="majorBidi"/>
          <w:sz w:val="24"/>
          <w:szCs w:val="24"/>
        </w:rPr>
        <w:t>thesignaling</w:t>
      </w:r>
      <w:proofErr w:type="spellEnd"/>
      <w:r w:rsidR="00521545">
        <w:rPr>
          <w:rFonts w:asciiTheme="majorBidi" w:hAnsiTheme="majorBidi" w:cstheme="majorBidi"/>
          <w:sz w:val="24"/>
          <w:szCs w:val="24"/>
        </w:rPr>
        <w:t xml:space="preserve"> of the </w:t>
      </w:r>
      <w:r w:rsidR="00521545" w:rsidRPr="00ED76F5">
        <w:rPr>
          <w:rFonts w:asciiTheme="majorBidi" w:hAnsiTheme="majorBidi" w:cstheme="majorBidi"/>
          <w:sz w:val="24"/>
          <w:szCs w:val="24"/>
        </w:rPr>
        <w:t xml:space="preserve">IL-6 </w:t>
      </w:r>
      <w:r w:rsidR="00521545">
        <w:rPr>
          <w:rFonts w:asciiTheme="majorBidi" w:hAnsiTheme="majorBidi" w:cstheme="majorBidi"/>
          <w:sz w:val="24"/>
          <w:szCs w:val="24"/>
        </w:rPr>
        <w:t>via</w:t>
      </w:r>
      <w:r w:rsidR="00521545" w:rsidRPr="00ED76F5">
        <w:rPr>
          <w:rFonts w:asciiTheme="majorBidi" w:hAnsiTheme="majorBidi" w:cstheme="majorBidi"/>
          <w:sz w:val="24"/>
          <w:szCs w:val="24"/>
        </w:rPr>
        <w:t xml:space="preserve"> the receptor subunit</w:t>
      </w:r>
      <w:r w:rsidR="00521545">
        <w:rPr>
          <w:rFonts w:asciiTheme="majorBidi" w:hAnsiTheme="majorBidi" w:cstheme="majorBidi"/>
          <w:sz w:val="24"/>
          <w:szCs w:val="24"/>
        </w:rPr>
        <w:t xml:space="preserve">, </w:t>
      </w:r>
      <w:r w:rsidR="00521545" w:rsidRPr="00ED76F5">
        <w:rPr>
          <w:rFonts w:asciiTheme="majorBidi" w:hAnsiTheme="majorBidi" w:cstheme="majorBidi"/>
          <w:sz w:val="24"/>
          <w:szCs w:val="24"/>
        </w:rPr>
        <w:t>gp130</w:t>
      </w:r>
      <w:r w:rsidR="00521545">
        <w:rPr>
          <w:rFonts w:asciiTheme="majorBidi" w:hAnsiTheme="majorBidi" w:cstheme="majorBidi"/>
          <w:sz w:val="24"/>
          <w:szCs w:val="24"/>
        </w:rPr>
        <w:t>,</w:t>
      </w:r>
      <w:r w:rsidR="00521545" w:rsidRPr="00ED76F5">
        <w:rPr>
          <w:rFonts w:asciiTheme="majorBidi" w:hAnsiTheme="majorBidi" w:cstheme="majorBidi"/>
          <w:sz w:val="24"/>
          <w:szCs w:val="24"/>
        </w:rPr>
        <w:t xml:space="preserve"> could </w:t>
      </w:r>
      <w:r w:rsidR="00521545">
        <w:rPr>
          <w:rFonts w:asciiTheme="majorBidi" w:hAnsiTheme="majorBidi" w:cstheme="majorBidi"/>
          <w:sz w:val="24"/>
          <w:szCs w:val="24"/>
        </w:rPr>
        <w:t>introduce</w:t>
      </w:r>
      <w:r w:rsidR="00521545" w:rsidRPr="00ED76F5">
        <w:rPr>
          <w:rFonts w:asciiTheme="majorBidi" w:hAnsiTheme="majorBidi" w:cstheme="majorBidi"/>
          <w:sz w:val="24"/>
          <w:szCs w:val="24"/>
        </w:rPr>
        <w:t xml:space="preserve"> IL-6 a</w:t>
      </w:r>
      <w:r w:rsidR="00521545">
        <w:rPr>
          <w:rFonts w:asciiTheme="majorBidi" w:hAnsiTheme="majorBidi" w:cstheme="majorBidi"/>
          <w:sz w:val="24"/>
          <w:szCs w:val="24"/>
        </w:rPr>
        <w:t xml:space="preserve">s </w:t>
      </w:r>
      <w:proofErr w:type="spellStart"/>
      <w:r w:rsidR="00521545">
        <w:rPr>
          <w:rFonts w:asciiTheme="majorBidi" w:hAnsiTheme="majorBidi" w:cstheme="majorBidi"/>
          <w:sz w:val="24"/>
          <w:szCs w:val="24"/>
        </w:rPr>
        <w:t>a</w:t>
      </w:r>
      <w:r w:rsidR="002C4C4E">
        <w:rPr>
          <w:rFonts w:asciiTheme="majorBidi" w:hAnsiTheme="majorBidi" w:cstheme="majorBidi"/>
          <w:sz w:val="24"/>
          <w:szCs w:val="24"/>
        </w:rPr>
        <w:t>disease</w:t>
      </w:r>
      <w:r w:rsidR="00521545">
        <w:rPr>
          <w:rFonts w:asciiTheme="majorBidi" w:hAnsiTheme="majorBidi" w:cstheme="majorBidi"/>
          <w:sz w:val="24"/>
          <w:szCs w:val="24"/>
        </w:rPr>
        <w:t>risk</w:t>
      </w:r>
      <w:proofErr w:type="spellEnd"/>
      <w:r w:rsidR="00521545">
        <w:rPr>
          <w:rFonts w:asciiTheme="majorBidi" w:hAnsiTheme="majorBidi" w:cstheme="majorBidi"/>
          <w:sz w:val="24"/>
          <w:szCs w:val="24"/>
        </w:rPr>
        <w:t xml:space="preserve"> </w:t>
      </w:r>
      <w:r w:rsidR="002C4C4E">
        <w:rPr>
          <w:rFonts w:asciiTheme="majorBidi" w:hAnsiTheme="majorBidi" w:cstheme="majorBidi"/>
          <w:sz w:val="24"/>
          <w:szCs w:val="24"/>
        </w:rPr>
        <w:t>precursor</w:t>
      </w:r>
      <w:r w:rsidR="00521545">
        <w:rPr>
          <w:rFonts w:asciiTheme="majorBidi" w:hAnsiTheme="majorBidi" w:cstheme="majorBidi"/>
          <w:sz w:val="24"/>
          <w:szCs w:val="24"/>
        </w:rPr>
        <w:t xml:space="preserve"> instead of its protective role </w:t>
      </w:r>
      <w:r w:rsidR="00814981">
        <w:rPr>
          <w:rFonts w:asciiTheme="majorBidi" w:hAnsiTheme="majorBidi" w:cstheme="majorBidi"/>
          <w:sz w:val="24"/>
          <w:szCs w:val="24"/>
        </w:rPr>
        <w:fldChar w:fldCharType="begin" w:fldLock="1"/>
      </w:r>
      <w:r w:rsidR="00521545">
        <w:rPr>
          <w:rFonts w:asciiTheme="majorBidi" w:hAnsiTheme="majorBidi" w:cstheme="majorBidi"/>
          <w:sz w:val="24"/>
          <w:szCs w:val="24"/>
        </w:rPr>
        <w:instrText>ADDIN CSL_CITATION {"citationItems":[{"id":"ITEM-1","itemData":{"DOI":"10.1016/j.ajpath.2012.03.029","ISSN":"00029440","PMID":"22640806","abstract":"The obligate intracellular parasite Toxoplasma gondii infects and persists within neurons of approximately one-third of the human population. Intracerebral control of T. gondii largely depends on interferon (IFN)-γ-producing T cells, which induce antiparasitic effector mechanisms in infected cells, as well as immunosuppressive cytokines, which prevent immunopathology. To gain further insight into the role of neurons in Toxoplasma encephalitis (TE), we generated C57BL/6 synapsin-I (Syn)-Cre gp130(fl/fl) mice, which lack gp130, the signal-transducing receptor for the IL-6 family of cytokines, in their neurons. On infection with T. gondii, Syn-Cre gp130(fl/fl) mice failed to control T. gondii infection and died of necrotizing TE before day 77. In contrast, gp130(fl/fl) control mice efficiently restricted parasite replication and survived the infection. TE in Syn-Cre gp130(fl/fl) mice was characterized by a hyperinflammatory immune response with increased numbers of IL-17- and IFN-γ-producing CD4 and CD8 T cells but reduced intracerebral production of immunosuppressive transforming growth factor (TGF)-β and IL-27. Additional in vitro experiments found that IL-6 stimulation of neurons induced gp130-dependent TGF-β1, TGF-β2, and IL-27 production. Importantly, gp130 expression and stimulation with IL-6 cytokine family members also reduced death and apoptosis of infected cultured neurons. Correspondingly, TE in Syn-Cre gp130(fl/fl) but not gp130(fl/fl) mice was characterized by progressive neuronal loss. Collectively, these findings indicate a crucial protective function of gp130-expressing neurons in a model of chronic encephalitis.","author":[{"dropping-particle":"","family":"Händel","given":"Ulrike","non-dropping-particle":"","parse-names":false,"suffix":""},{"dropping-particle":"","family":"Brunn","given":"Anna","non-dropping-particle":"","parse-names":false,"suffix":""},{"dropping-particle":"","family":"Drögemüller","given":"Katrin","non-dropping-particle":"","parse-names":false,"suffix":""},{"dropping-particle":"","family":"Müller","given":"Werner","non-dropping-particle":"","parse-names":false,"suffix":""},{"dropping-particle":"","family":"Deckert","given":"Martina","non-dropping-particle":"","parse-names":false,"suffix":""},{"dropping-particle":"","family":"Schlüter","given":"Dirk","non-dropping-particle":"","parse-names":false,"suffix":""}],"container-title":"The American Journal of Pathology","id":"ITEM-1","issue":"1","issued":{"date-parts":[["2012","7"]]},"page":"163-173","title":"Neuronal gp130 Expression Is Crucial to Prevent Neuronal Loss, Hyperinflammation, and Lethal Course of Murine Toxoplasma Encephalitis","type":"article-journal","volume":"181"},"uris":["http://www.mendeley.com/documents/?uuid=ece300b4-828c-3f86-89b7-2d26058df607"]}],"mendeley":{"formattedCitation":"(Händel &lt;i&gt;et al.&lt;/i&gt;, 2012)","plainTextFormattedCitation":"(Händel et al., 2012)","previouslyFormattedCitation":"(Händel &lt;i&gt;et al.&lt;/i&gt;, 2012)"},"properties":{"noteIndex":0},"schema":"https://github.com/citation-style-language/schema/raw/master/csl-citation.json"}</w:instrText>
      </w:r>
      <w:r w:rsidR="00814981">
        <w:rPr>
          <w:rFonts w:asciiTheme="majorBidi" w:hAnsiTheme="majorBidi" w:cstheme="majorBidi"/>
          <w:sz w:val="24"/>
          <w:szCs w:val="24"/>
        </w:rPr>
        <w:fldChar w:fldCharType="separate"/>
      </w:r>
      <w:r w:rsidR="00521545" w:rsidRPr="00DF4760">
        <w:rPr>
          <w:rFonts w:asciiTheme="majorBidi" w:hAnsiTheme="majorBidi" w:cstheme="majorBidi"/>
          <w:noProof/>
          <w:sz w:val="24"/>
          <w:szCs w:val="24"/>
        </w:rPr>
        <w:t xml:space="preserve">(Händel </w:t>
      </w:r>
      <w:r w:rsidR="00521545" w:rsidRPr="00DF4760">
        <w:rPr>
          <w:rFonts w:asciiTheme="majorBidi" w:hAnsiTheme="majorBidi" w:cstheme="majorBidi"/>
          <w:i/>
          <w:noProof/>
          <w:sz w:val="24"/>
          <w:szCs w:val="24"/>
        </w:rPr>
        <w:t>et al.</w:t>
      </w:r>
      <w:r w:rsidR="00521545" w:rsidRPr="00DF4760">
        <w:rPr>
          <w:rFonts w:asciiTheme="majorBidi" w:hAnsiTheme="majorBidi" w:cstheme="majorBidi"/>
          <w:noProof/>
          <w:sz w:val="24"/>
          <w:szCs w:val="24"/>
        </w:rPr>
        <w:t>, 2012)</w:t>
      </w:r>
      <w:r w:rsidR="00814981">
        <w:rPr>
          <w:rFonts w:asciiTheme="majorBidi" w:hAnsiTheme="majorBidi" w:cstheme="majorBidi"/>
          <w:sz w:val="24"/>
          <w:szCs w:val="24"/>
        </w:rPr>
        <w:fldChar w:fldCharType="end"/>
      </w:r>
      <w:r w:rsidR="00521545">
        <w:rPr>
          <w:rFonts w:asciiTheme="majorBidi" w:hAnsiTheme="majorBidi" w:cstheme="majorBidi"/>
          <w:sz w:val="24"/>
          <w:szCs w:val="24"/>
        </w:rPr>
        <w:t>.</w:t>
      </w:r>
    </w:p>
    <w:p w:rsidR="00EC6FA4" w:rsidRDefault="00BB26BC" w:rsidP="00EC6FA4">
      <w:pPr>
        <w:spacing w:line="480" w:lineRule="auto"/>
        <w:ind w:left="180" w:right="180"/>
        <w:jc w:val="both"/>
        <w:rPr>
          <w:rFonts w:asciiTheme="majorBidi" w:hAnsiTheme="majorBidi" w:cstheme="majorBidi"/>
          <w:sz w:val="24"/>
          <w:szCs w:val="24"/>
        </w:rPr>
      </w:pPr>
      <w:r>
        <w:rPr>
          <w:rFonts w:asciiTheme="majorBidi" w:hAnsiTheme="majorBidi" w:cstheme="majorBidi"/>
          <w:sz w:val="24"/>
          <w:szCs w:val="24"/>
        </w:rPr>
        <w:t xml:space="preserve">The results of the present investigation showed increases of the IL-6 G/C SNPs in seropositive patients. This </w:t>
      </w:r>
      <w:r w:rsidR="00EC6FA4">
        <w:rPr>
          <w:rFonts w:asciiTheme="majorBidi" w:hAnsiTheme="majorBidi" w:cstheme="majorBidi"/>
          <w:sz w:val="24"/>
          <w:szCs w:val="24"/>
        </w:rPr>
        <w:t xml:space="preserve">is with </w:t>
      </w:r>
      <w:r>
        <w:rPr>
          <w:rFonts w:asciiTheme="majorBidi" w:hAnsiTheme="majorBidi" w:cstheme="majorBidi"/>
          <w:sz w:val="24"/>
          <w:szCs w:val="24"/>
        </w:rPr>
        <w:t xml:space="preserve">high correlation with the presence of the toxoplasmosis infection especially when compared with those from the healthy individuals. </w:t>
      </w:r>
      <w:r w:rsidR="00685A4E">
        <w:rPr>
          <w:rFonts w:asciiTheme="majorBidi" w:hAnsiTheme="majorBidi" w:cstheme="majorBidi"/>
          <w:sz w:val="24"/>
          <w:szCs w:val="24"/>
        </w:rPr>
        <w:t xml:space="preserve">It has been revealed that there </w:t>
      </w:r>
      <w:proofErr w:type="spellStart"/>
      <w:r w:rsidR="00685A4E">
        <w:rPr>
          <w:rFonts w:asciiTheme="majorBidi" w:hAnsiTheme="majorBidi" w:cstheme="majorBidi"/>
          <w:sz w:val="24"/>
          <w:szCs w:val="24"/>
        </w:rPr>
        <w:t>arebig</w:t>
      </w:r>
      <w:proofErr w:type="spellEnd"/>
      <w:r w:rsidR="00685A4E">
        <w:rPr>
          <w:rFonts w:asciiTheme="majorBidi" w:hAnsiTheme="majorBidi" w:cstheme="majorBidi"/>
          <w:sz w:val="24"/>
          <w:szCs w:val="24"/>
        </w:rPr>
        <w:t xml:space="preserve"> roles of </w:t>
      </w:r>
      <w:proofErr w:type="spellStart"/>
      <w:r w:rsidR="00685A4E">
        <w:rPr>
          <w:rFonts w:asciiTheme="majorBidi" w:hAnsiTheme="majorBidi" w:cstheme="majorBidi"/>
          <w:sz w:val="24"/>
          <w:szCs w:val="24"/>
        </w:rPr>
        <w:t>thechanges</w:t>
      </w:r>
      <w:proofErr w:type="spellEnd"/>
      <w:r w:rsidR="00685A4E">
        <w:rPr>
          <w:rFonts w:asciiTheme="majorBidi" w:hAnsiTheme="majorBidi" w:cstheme="majorBidi"/>
          <w:sz w:val="24"/>
          <w:szCs w:val="24"/>
        </w:rPr>
        <w:t xml:space="preserve"> occurred in the genetic materials of the </w:t>
      </w:r>
      <w:r w:rsidR="00685A4E" w:rsidRPr="00685A4E">
        <w:rPr>
          <w:rFonts w:asciiTheme="majorBidi" w:hAnsiTheme="majorBidi" w:cstheme="majorBidi"/>
          <w:sz w:val="24"/>
          <w:szCs w:val="24"/>
        </w:rPr>
        <w:t>IL6 gene,</w:t>
      </w:r>
      <w:r w:rsidR="00685A4E">
        <w:rPr>
          <w:rFonts w:asciiTheme="majorBidi" w:hAnsiTheme="majorBidi" w:cstheme="majorBidi"/>
          <w:sz w:val="24"/>
          <w:szCs w:val="24"/>
        </w:rPr>
        <w:t xml:space="preserve"> -</w:t>
      </w:r>
      <w:r w:rsidR="00685A4E" w:rsidRPr="00685A4E">
        <w:rPr>
          <w:rFonts w:asciiTheme="majorBidi" w:hAnsiTheme="majorBidi" w:cstheme="majorBidi"/>
          <w:sz w:val="24"/>
          <w:szCs w:val="24"/>
        </w:rPr>
        <w:t>174 G&gt;C SNP</w:t>
      </w:r>
      <w:r w:rsidR="00685A4E">
        <w:rPr>
          <w:rFonts w:asciiTheme="majorBidi" w:hAnsiTheme="majorBidi" w:cstheme="majorBidi"/>
          <w:sz w:val="24"/>
          <w:szCs w:val="24"/>
        </w:rPr>
        <w:t>, and that is associated</w:t>
      </w:r>
      <w:r w:rsidR="00685A4E" w:rsidRPr="00685A4E">
        <w:rPr>
          <w:rFonts w:asciiTheme="majorBidi" w:hAnsiTheme="majorBidi" w:cstheme="majorBidi"/>
          <w:sz w:val="24"/>
          <w:szCs w:val="24"/>
        </w:rPr>
        <w:t xml:space="preserve"> with </w:t>
      </w:r>
      <w:proofErr w:type="spellStart"/>
      <w:r w:rsidR="00685A4E" w:rsidRPr="00685A4E">
        <w:rPr>
          <w:rFonts w:asciiTheme="majorBidi" w:hAnsiTheme="majorBidi" w:cstheme="majorBidi"/>
          <w:sz w:val="24"/>
          <w:szCs w:val="24"/>
        </w:rPr>
        <w:t>toxoplasmicretino</w:t>
      </w:r>
      <w:proofErr w:type="spellEnd"/>
      <w:r w:rsidR="00913953">
        <w:rPr>
          <w:rFonts w:asciiTheme="majorBidi" w:hAnsiTheme="majorBidi" w:cstheme="majorBidi"/>
          <w:sz w:val="24"/>
          <w:szCs w:val="24"/>
        </w:rPr>
        <w:t>-</w:t>
      </w:r>
      <w:r w:rsidR="00685A4E" w:rsidRPr="00685A4E">
        <w:rPr>
          <w:rFonts w:asciiTheme="majorBidi" w:hAnsiTheme="majorBidi" w:cstheme="majorBidi"/>
          <w:sz w:val="24"/>
          <w:szCs w:val="24"/>
        </w:rPr>
        <w:t xml:space="preserve">choroiditis </w:t>
      </w:r>
      <w:r w:rsidR="00685A4E">
        <w:rPr>
          <w:rFonts w:asciiTheme="majorBidi" w:hAnsiTheme="majorBidi" w:cstheme="majorBidi"/>
          <w:sz w:val="24"/>
          <w:szCs w:val="24"/>
        </w:rPr>
        <w:t xml:space="preserve">infection </w:t>
      </w:r>
      <w:r w:rsidR="00814981">
        <w:rPr>
          <w:rFonts w:asciiTheme="majorBidi" w:hAnsiTheme="majorBidi" w:cstheme="majorBidi"/>
          <w:sz w:val="24"/>
          <w:szCs w:val="24"/>
        </w:rPr>
        <w:fldChar w:fldCharType="begin" w:fldLock="1"/>
      </w:r>
      <w:r w:rsidR="00F14479">
        <w:rPr>
          <w:rFonts w:asciiTheme="majorBidi" w:hAnsiTheme="majorBidi" w:cstheme="majorBidi"/>
          <w:sz w:val="24"/>
          <w:szCs w:val="24"/>
        </w:rPr>
        <w:instrText>ADDIN CSL_CITATION {"citationItems":[{"id":"ITEM-1","itemData":{"DOI":"10.1111/aos.12046","ISSN":"1755375X","PMID":"23336844","abstract":"PURPOSE Experimental data have demonstrated a relevant role for IL-6 in the modulation of acute ocular toxoplasmosis. Therefore, we aim to investigate the possible association between the IL-6 gene polymorphism at position -174 and toxoplasmic retinochoroiditis (TR) in humans. METHODS Ninety-seven patients with diagnosed TR were recruited from the Uveitis Section, Federal University of Minas Gerais. For comparison, 83 healthy blood donors with positive serology for toxoplasmosis and without retinal signs of previous TR were included in the study. Genomic DNA was obtained from oral swabs of individuals and amplified using polymerase chain reaction (PCR) with specific primers flanking the locus -174 of IL-6 (-174G/C). PCR products were submitted to restriction endonuclease digestion and analysed by polyacrylamide gel electrophoresis to distinguish allele G and C of the IL-6 gene, allowing the detection of the polymorphism and determination of genotypes. RESULTS There was a significant difference in the genotype (χ(2) = 12.9, p = 0.001) and allele (χ(2) = 6.62, p = 0.01) distribution between TR patients and control subjects. In a subgroup analysis, there was no significant difference in genotypes and allele frequencies regarding TR recurrence. CONCLUSIONS This study suggests that the genotypes related with a lower production of IL-6 may be associated with the occurrence of TR.","author":[{"dropping-particle":"","family":"Cordeiro","given":"Cynthia A.","non-dropping-particle":"","parse-names":false,"suffix":""},{"dropping-particle":"","family":"Moreira","given":"Paula R.","non-dropping-particle":"","parse-names":false,"suffix":""},{"dropping-particle":"","family":"Bessa","given":"Thais F.","non-dropping-particle":"","parse-names":false,"suffix":""},{"dropping-particle":"","family":"Costa","given":"Germano C.","non-dropping-particle":"","parse-names":false,"suffix":""},{"dropping-particle":"","family":"Dutra","given":"Walderez O.","non-dropping-particle":"","parse-names":false,"suffix":""},{"dropping-particle":"","family":"Campos","given":"Wesley R.","non-dropping-particle":"","parse-names":false,"suffix":""},{"dropping-particle":"","family":"Oréfice","given":"Fernando","non-dropping-particle":"","parse-names":false,"suffix":""},{"dropping-particle":"","family":"Young","given":"Lucy H.","non-dropping-particle":"","parse-names":false,"suffix":""},{"dropping-particle":"","family":"Teixeira","given":"Antônio L.","non-dropping-particle":"","parse-names":false,"suffix":""}],"container-title":"Acta Ophthalmologica","id":"ITEM-1","issue":"4","issued":{"date-parts":[["2013","6"]]},"page":"e311-e314","title":"Interleukin-6 gene polymorphism (−174 G/C) is associated with toxoplasmic retinochoroiditis","type":"article-journal","volume":"91"},"uris":["http://www.mendeley.com/documents/?uuid=523d0d94-b814-3f7a-96ca-f5e1e2a8054b"]}],"mendeley":{"formattedCitation":"(Cordeiro &lt;i&gt;et al.&lt;/i&gt;, 2013)","plainTextFormattedCitation":"(Cordeiro et al., 2013)","previouslyFormattedCitation":"(Cordeiro &lt;i&gt;et al.&lt;/i&gt;, 2013)"},"properties":{"noteIndex":0},"schema":"https://github.com/citation-style-language/schema/raw/master/csl-citation.json"}</w:instrText>
      </w:r>
      <w:r w:rsidR="00814981">
        <w:rPr>
          <w:rFonts w:asciiTheme="majorBidi" w:hAnsiTheme="majorBidi" w:cstheme="majorBidi"/>
          <w:sz w:val="24"/>
          <w:szCs w:val="24"/>
        </w:rPr>
        <w:fldChar w:fldCharType="separate"/>
      </w:r>
      <w:r w:rsidR="008A6AA7" w:rsidRPr="008A6AA7">
        <w:rPr>
          <w:rFonts w:asciiTheme="majorBidi" w:hAnsiTheme="majorBidi" w:cstheme="majorBidi"/>
          <w:noProof/>
          <w:sz w:val="24"/>
          <w:szCs w:val="24"/>
        </w:rPr>
        <w:t xml:space="preserve">(Cordeiro </w:t>
      </w:r>
      <w:r w:rsidR="008A6AA7" w:rsidRPr="008A6AA7">
        <w:rPr>
          <w:rFonts w:asciiTheme="majorBidi" w:hAnsiTheme="majorBidi" w:cstheme="majorBidi"/>
          <w:i/>
          <w:noProof/>
          <w:sz w:val="24"/>
          <w:szCs w:val="24"/>
        </w:rPr>
        <w:t>et al.</w:t>
      </w:r>
      <w:r w:rsidR="008A6AA7" w:rsidRPr="008A6AA7">
        <w:rPr>
          <w:rFonts w:asciiTheme="majorBidi" w:hAnsiTheme="majorBidi" w:cstheme="majorBidi"/>
          <w:noProof/>
          <w:sz w:val="24"/>
          <w:szCs w:val="24"/>
        </w:rPr>
        <w:t>, 2013)</w:t>
      </w:r>
      <w:r w:rsidR="00814981">
        <w:rPr>
          <w:rFonts w:asciiTheme="majorBidi" w:hAnsiTheme="majorBidi" w:cstheme="majorBidi"/>
          <w:sz w:val="24"/>
          <w:szCs w:val="24"/>
        </w:rPr>
        <w:fldChar w:fldCharType="end"/>
      </w:r>
      <w:r w:rsidR="00685A4E">
        <w:rPr>
          <w:rFonts w:asciiTheme="majorBidi" w:hAnsiTheme="majorBidi" w:cstheme="majorBidi"/>
          <w:sz w:val="24"/>
          <w:szCs w:val="24"/>
        </w:rPr>
        <w:t>.</w:t>
      </w:r>
      <w:r w:rsidR="006852DC">
        <w:rPr>
          <w:rFonts w:asciiTheme="majorBidi" w:hAnsiTheme="majorBidi" w:cstheme="majorBidi"/>
          <w:sz w:val="24"/>
          <w:szCs w:val="24"/>
        </w:rPr>
        <w:t xml:space="preserve">The strength of the immune system responses against infections are highly regulated by the important activities of </w:t>
      </w:r>
      <w:r w:rsidR="00177539" w:rsidRPr="00177539">
        <w:rPr>
          <w:rFonts w:asciiTheme="majorBidi" w:hAnsiTheme="majorBidi" w:cstheme="majorBidi"/>
          <w:sz w:val="24"/>
          <w:szCs w:val="24"/>
        </w:rPr>
        <w:t>chemokines,</w:t>
      </w:r>
      <w:r w:rsidR="006852DC">
        <w:rPr>
          <w:rFonts w:asciiTheme="majorBidi" w:hAnsiTheme="majorBidi" w:cstheme="majorBidi"/>
          <w:sz w:val="24"/>
          <w:szCs w:val="24"/>
        </w:rPr>
        <w:t xml:space="preserve"> c</w:t>
      </w:r>
      <w:r w:rsidR="006852DC" w:rsidRPr="00177539">
        <w:rPr>
          <w:rFonts w:asciiTheme="majorBidi" w:hAnsiTheme="majorBidi" w:cstheme="majorBidi"/>
          <w:sz w:val="24"/>
          <w:szCs w:val="24"/>
        </w:rPr>
        <w:t>ytokines</w:t>
      </w:r>
      <w:r w:rsidR="006852DC">
        <w:rPr>
          <w:rFonts w:asciiTheme="majorBidi" w:hAnsiTheme="majorBidi" w:cstheme="majorBidi"/>
          <w:sz w:val="24"/>
          <w:szCs w:val="24"/>
        </w:rPr>
        <w:t>,</w:t>
      </w:r>
      <w:r w:rsidR="00177539" w:rsidRPr="00177539">
        <w:rPr>
          <w:rFonts w:asciiTheme="majorBidi" w:hAnsiTheme="majorBidi" w:cstheme="majorBidi"/>
          <w:sz w:val="24"/>
          <w:szCs w:val="24"/>
        </w:rPr>
        <w:t xml:space="preserve"> and their </w:t>
      </w:r>
      <w:proofErr w:type="spellStart"/>
      <w:r w:rsidR="00177539" w:rsidRPr="00177539">
        <w:rPr>
          <w:rFonts w:asciiTheme="majorBidi" w:hAnsiTheme="majorBidi" w:cstheme="majorBidi"/>
          <w:sz w:val="24"/>
          <w:szCs w:val="24"/>
        </w:rPr>
        <w:t>receptors.</w:t>
      </w:r>
      <w:r w:rsidR="004F1AF1" w:rsidRPr="004F1AF1">
        <w:rPr>
          <w:rFonts w:asciiTheme="majorBidi" w:hAnsiTheme="majorBidi" w:cstheme="majorBidi"/>
          <w:sz w:val="24"/>
          <w:szCs w:val="24"/>
        </w:rPr>
        <w:t>Human</w:t>
      </w:r>
      <w:proofErr w:type="spellEnd"/>
      <w:r w:rsidR="004F1AF1" w:rsidRPr="004F1AF1">
        <w:rPr>
          <w:rFonts w:asciiTheme="majorBidi" w:hAnsiTheme="majorBidi" w:cstheme="majorBidi"/>
          <w:sz w:val="24"/>
          <w:szCs w:val="24"/>
        </w:rPr>
        <w:t xml:space="preserve"> </w:t>
      </w:r>
      <w:proofErr w:type="spellStart"/>
      <w:r w:rsidR="004F1AF1" w:rsidRPr="004F1AF1">
        <w:rPr>
          <w:rFonts w:asciiTheme="majorBidi" w:hAnsiTheme="majorBidi" w:cstheme="majorBidi"/>
          <w:sz w:val="24"/>
          <w:szCs w:val="24"/>
        </w:rPr>
        <w:t>toxoplasmic</w:t>
      </w:r>
      <w:proofErr w:type="spellEnd"/>
      <w:r w:rsidR="004F1AF1" w:rsidRPr="004F1AF1">
        <w:rPr>
          <w:rFonts w:asciiTheme="majorBidi" w:hAnsiTheme="majorBidi" w:cstheme="majorBidi"/>
          <w:sz w:val="24"/>
          <w:szCs w:val="24"/>
        </w:rPr>
        <w:t xml:space="preserve"> disease is distinguished by an elevated cytokine levels like IL-12 and TNF-α which are correlated with tissue infections. In addition to the participation of lymphocytes CD8+T and natural killer (NK) cells, a powerful Th1 reaction induced through the manufacturing of CD4 + T cell and is overtaken by the development of pro</w:t>
      </w:r>
      <w:r w:rsidR="00913953">
        <w:rPr>
          <w:rFonts w:asciiTheme="majorBidi" w:hAnsiTheme="majorBidi" w:cstheme="majorBidi"/>
          <w:sz w:val="24"/>
          <w:szCs w:val="24"/>
        </w:rPr>
        <w:t>-</w:t>
      </w:r>
      <w:r w:rsidR="004F1AF1" w:rsidRPr="004F1AF1">
        <w:rPr>
          <w:rFonts w:asciiTheme="majorBidi" w:hAnsiTheme="majorBidi" w:cstheme="majorBidi"/>
          <w:sz w:val="24"/>
          <w:szCs w:val="24"/>
        </w:rPr>
        <w:t>inflammatory mediator production. While Th1 discourages the reproduction of parasites, a strong Th1 activity can also trigger organ damages caused by the responses of the immune systems</w:t>
      </w:r>
      <w:r w:rsidR="00814981">
        <w:rPr>
          <w:rFonts w:asciiTheme="majorBidi" w:hAnsiTheme="majorBidi" w:cstheme="majorBidi"/>
          <w:sz w:val="24"/>
          <w:szCs w:val="24"/>
        </w:rPr>
        <w:fldChar w:fldCharType="begin" w:fldLock="1"/>
      </w:r>
      <w:r w:rsidR="00943ABC">
        <w:rPr>
          <w:rFonts w:asciiTheme="majorBidi" w:hAnsiTheme="majorBidi" w:cstheme="majorBidi"/>
          <w:sz w:val="24"/>
          <w:szCs w:val="24"/>
        </w:rPr>
        <w:instrText>ADDIN CSL_CITATION {"citationItems":[{"id":"ITEM-1","itemData":{"DOI":"10.1128/IAI.00597-17","ISSN":"1098-5522","PMID":"29426041","abstract":"Toxoplasmosis is caused by infection with the protozoan parasite Toxoplasma gondii, which has the capacity to infect all warm-blooded animals worldwide. Toxoplasmosis is a major cause of visual defects in the Colombian population; however, the association between genetic polymorphisms in cytokine genes and susceptibility to ocular toxoplasmosis has not been studied in this population. This work evaluates the associations between polymorphisms in genes coding for the cytokines tumor necrosis factor alpha (TNF-α) (rs1799964, rs1800629, rs1799724, rs1800630, and rs361525), interleukin 1β (IL-1β) (rs16944, rs1143634, and rs1143627), IL-1α (rs1800587), gamma interferon (IFN-γ) (rs2430561), and IL-10 (rs1800896 and rs1800871) and the presence of ocular toxoplasmosis (OT) in a sample of a Colombian population (61 patients with OT and 116 healthy controls). Genotyping was performed with the \"dideoxynucleotide (ddNTP) primer extension\" technique. Functional-effect predictions of single nucleotide polymorphisms (SNPs) were done by using FuncPred. A polymorphism in the IL-10 gene promoter (-1082G/A) was significantly more prevalent in OT patients than in controls (P = 1.93e-08; odds ratio [OR] = 5.27e+03; 95% confidence interval [CI] = 3.18 to 8.739; Bonferroni correction [BONF] = 3.48e-07). In contrast, haplotype \"AG\" of the IL-10 gene promoter polymorphisms (rs1800896 and rs1800871) was present at a lower frequency in OT patients (P = 7e-04; OR = 0.10; 95% CI = 0.03 to 0.35). The +874A/T polymorphism of IFN-γ was associated with OT (P = 3.37e-05; OR = 4.2; 95% CI = 2.478 to 7.12; BONF = 6.07e-04). Haplotype \"GAG\" of the IL-1β gene promoter polymorphisms (rs1143634, rs1143627, and rs16944) appeared to be significantly associated with OT (P = 0.0494). The IL-10, IFN-γ, and IL-1β polymorphisms influence the development of OT in the Colombian population.","author":[{"dropping-particle":"","family":"Naranjo-Galvis","given":"C A","non-dropping-particle":"","parse-names":false,"suffix":""},{"dropping-particle":"","family":"de-la-Torre","given":"A","non-dropping-particle":"","parse-names":false,"suffix":""},{"dropping-particle":"","family":"Mantilla-Muriel","given":"L E","non-dropping-particle":"","parse-names":false,"suffix":""},{"dropping-particle":"","family":"Beltrán-Angarita","given":"L","non-dropping-particle":"","parse-names":false,"suffix":""},{"dropping-particle":"","family":"Elcoroaristizabal-Martín","given":"X","non-dropping-particle":"","parse-names":false,"suffix":""},{"dropping-particle":"","family":"McLeod","given":"R","non-dropping-particle":"","parse-names":false,"suffix":""},{"dropping-particle":"","family":"Alliey-Rodriguez","given":"N","non-dropping-particle":"","parse-names":false,"suffix":""},{"dropping-particle":"","family":"Begeman","given":"I J","non-dropping-particle":"","parse-names":false,"suffix":""},{"dropping-particle":"","family":"López de Mesa","given":"C","non-dropping-particle":"","parse-names":false,"suffix":""},{"dropping-particle":"","family":"Gómez-Marín","given":"J E","non-dropping-particle":"","parse-names":false,"suffix":""},{"dropping-particle":"","family":"Sepúlveda-Arias","given":"J C","non-dropping-particle":"","parse-names":false,"suffix":""}],"container-title":"Infection and immunity","id":"ITEM-1","issue":"4","issued":{"date-parts":[["2018"]]},"publisher":"American Society for Microbiology (ASM)","title":"Genetic Polymorphisms in Cytokine Genes in Colombian Patients with Ocular Toxoplasmosis.","type":"article-journal","volume":"86"},"uris":["http://www.mendeley.com/documents/?uuid=05f881aa-7110-379f-92f7-654790627363"]},{"id":"ITEM-2","itemData":{"DOI":"10.1590/s0074-02762009000200014","ISSN":"1678-8060","PMID":"19430646","abstract":"Although parasite-mediated host cell lysis is deemed to be an important cause of tissue destruction in ocular toxoplasmosis (OT), the severity of the disease is probably correlated with hypersensitivity and inflammation. Notwithstanding, the mechanisms that regulate the inflammatory process in recurrent OT are poorly understood. Recent evidence has identified interleukin (IL) 17 as a marker for disease severity. The ocular and cerebral presence of this cytokine is generally associated with the induction of autoimmune responses in the brain and the eye. Indeed, there are indications that autoimmunity may contribute to clinical variability in the activity of OT. IL-23, which induces the proliferation of IL-17-producing cells and IL-27, which is a counterplayer to IL-17, may regulate T(H)-1-cell-mediated responses in OT. The importance of these cytokines in experimental models of uveitis and encephalitis has been recently reported. CD25(+) regulatory T-cells may control the local inflammatory response and protect the host against collateral inflammatory tissue damage. The responses of these cells to OT may be suitably tailored to cope with either an acquired or a congenital aetiology. Knowledge relating to immunoreactivity in OT has grown impressively during the past few years. Its characteristic and variable features have been identified and the potential relevance of autoimmunity has been assessed. In light of this knowledge, potential future treatment options have been considered.","author":[{"dropping-particle":"","family":"Garweg","given":"Justus G","non-dropping-particle":"","parse-names":false,"suffix":""},{"dropping-particle":"","family":"Candolfi","given":"Ermanno","non-dropping-particle":"","parse-names":false,"suffix":""}],"container-title":"Memorias do Instituto Oswaldo Cruz","id":"ITEM-2","issue":"2","issued":{"date-parts":[["2009","3"]]},"page":"211-20","title":"Immunopathology in ocular toxoplasmosis: facts and clues.","type":"article-journal","volume":"104"},"uris":["http://www.mendeley.com/documents/?uuid=9a11c6ec-f74d-3edb-811c-3fe1eaf0ae84"]},{"id":"ITEM-3","itemData":{"DOI":"10.1136/bjo.2008.140590","ISSN":"0007-1161","PMID":"18577652","abstract":"AIM To investigate the possible association between TNF-alpha (-308G/A) polymorphism and toxoplasmic retinochoroiditis (TR) in humans. METHODS A cross-sectional study was performed which included 100 Brazilian patients with diagnosis of TR and 100 matched control subjects with positive serology to toxoplasmosis and no sign of uveitis. Genomic DNA was obtained from oral swabs of all subjects and amplified using the polymerase chain reaction (PCR) with specific primers flanking the locus -308 of TNF-alpha. PCR products were submitted to restriction endonuclease digestion and analysed by polyacrylamide gel electrophoresis to distinguish alleles, allowing the determination of the genotypes. RESULTS There was no significant difference in the genotype (chi(2) = 0.79, p = 0.67), allele (chi(2) = 0.095, p = 0.75) and allele carriage (chi(2) = 0.70, p = 0.40) frequencies in TR patients compared with control subjects. Frequencies of the genotype (chi(2) = 2.05, p = 0.35) and allele (chi(2) = 0.13, p = 0.71) did not differ significantly between TR patients with and without recurrent episodes. CONCLUSION This is the first study to investigate the association between TNF-alpha polymorphism and the occurrence of TR in humans. TNF-alpha gene polymorphism (-308G/A) does not seem to be associated with the occurrence or recurrence of TR.","author":[{"dropping-particle":"","family":"Cordeiro","given":"C A","non-dropping-particle":"","parse-names":false,"suffix":""},{"dropping-particle":"","family":"Moreira","given":"P R","non-dropping-particle":"","parse-names":false,"suffix":""},{"dropping-particle":"","family":"Costa","given":"G C","non-dropping-particle":"","parse-names":false,"suffix":""},{"dropping-particle":"","family":"Dutra","given":"W O","non-dropping-particle":"","parse-names":false,"suffix":""},{"dropping-particle":"","family":"Campos","given":"W R","non-dropping-particle":"","parse-names":false,"suffix":""},{"dropping-particle":"","family":"Orefice","given":"F","non-dropping-particle":"","parse-names":false,"suffix":""},{"dropping-particle":"","family":"Teixeira","given":"A L","non-dropping-particle":"","parse-names":false,"suffix":""}],"container-title":"British Journal of Ophthalmology","id":"ITEM-3","issue":"7","issued":{"date-parts":[["2008","7","1"]]},"page":"986-988","title":"TNF-  gene polymorphism (-308G/A) and toxoplasmic retinochoroiditis","type":"article-journal","volume":"92"},"uris":["http://www.mendeley.com/documents/?uuid=78ee3c36-8438-383b-b7a7-50483b21e14b"]},{"id":"ITEM-4","itemData":{"DOI":"10.1093/infdis/jis640","ISSN":"0022-1899","PMID":"23100559","abstract":"Retinochoroiditis manifests in patients infected with Toxoplasma gondii. Here, we assessed 30 sibships and 89 parent/case trios of presumed ocular toxoplasmosis (POT) to evaluate associations with polymorphisms in the NOD2 gene. Three haplotype-tagging single-nucleotide polymorphisms (tag-SNPs) within the NOD2 gene were genotyped. The family-based association test showed that the tag-SNP rs3135499 is associated with retinochoroiditis (P = .039). We then characterized the cellular immune response of 59 cases of POT and 4 cases of active ocular toxoplasmosis (AOT). We found no differences in levels of interferon γ (IFN-γ) and interleukin 2 produced by T-helper 1 cells when comparing patients with AOT or POT to asymptomatic individuals. Unexpectedly, we found an increased interleukin 17A (IL-17A) production in patients with POT or OAT. In patients with POT or AOT, the main cellular source of IL-17A was CD4(+)CD45RO(+)T-bet(-)IFN-γ(-) T-helper 17 cells. Altogether, our results suggest that NOD2 influences the production of IL-17A by CD4(+) T lymphocytes and might contribute to the development of ocular toxoplasmosis.","author":[{"dropping-particle":"","family":"Dutra","given":"M. S.","non-dropping-particle":"","parse-names":false,"suffix":""},{"dropping-particle":"","family":"Bela","given":"S. R.","non-dropping-particle":"","parse-names":false,"suffix":""},{"dropping-particle":"","family":"Peixoto-Rangel","given":"A. L.","non-dropping-particle":"","parse-names":false,"suffix":""},{"dropping-particle":"","family":"Fakiola","given":"M.","non-dropping-particle":"","parse-names":false,"suffix":""},{"dropping-particle":"","family":"Cruz","given":"A. G.","non-dropping-particle":"","parse-names":false,"suffix":""},{"dropping-particle":"","family":"Gazzinelli","given":"A.","non-dropping-particle":"","parse-names":false,"suffix":""},{"dropping-particle":"","family":"Quites","given":"H. F.","non-dropping-particle":"","parse-names":false,"suffix":""},{"dropping-particle":"","family":"Bahia-Oliveira","given":"L. M. G.","non-dropping-particle":"","parse-names":false,"suffix":""},{"dropping-particle":"","family":"Peixe","given":"R. G.","non-dropping-particle":"","parse-names":false,"suffix":""},{"dropping-particle":"","family":"Campos","given":"W. R.","non-dropping-particle":"","parse-names":false,"suffix":""},{"dropping-particle":"","family":"Higino-Rocha","given":"A. C.","non-dropping-particle":"","parse-names":false,"suffix":""},{"dropping-particle":"","family":"Miller","given":"N. E.","non-dropping-particle":"","parse-names":false,"suffix":""},{"dropping-particle":"","family":"Blackwell","given":"J. M.","non-dropping-particle":"","parse-names":false,"suffix":""},{"dropping-particle":"","family":"Antonelli","given":"L. R.","non-dropping-particle":"","parse-names":false,"suffix":""},{"dropping-particle":"","family":"Gazzinelli","given":"R. T.","non-dropping-particle":"","parse-names":false,"suffix":""}],"container-title":"Journal of Infectious Diseases","id":"ITEM-4","issue":"1","issued":{"date-parts":[["2013","1","1"]]},"page":"152-163","title":"Association of a NOD2 Gene Polymorphism and T-Helper 17 Cells With Presumed Ocular Toxoplasmosis","type":"article-journal","volume":"207"},"uris":["http://www.mendeley.com/documents/?uuid=fba075f5-ecb3-3bb7-8494-98c94ab82d83"]},{"id":"ITEM-5","itemData":{"DOI":"10.1093/infdis/jis486","ISSN":"0022-1899","PMID":"22927448","abstract":"BACKGROUND Toxoplasmosis is the most common cause of posterior uveitis in immunocompetent subjects. The requirement of limiting both parasite multiplication and tissue destruction suggests that the balance between T-helper (Th) 17 and T-regulatory cells is an important factor in toxoplasmosis-induced retinal damage. METHODS In a prospective clinical study of acute ocular toxoplasmosis, we assessed the cytokine pattern in aqueous humors of 10 affected patients. To determine the immunological mechanisms, we evaluated intraocular inflammation, parasite load, and immunological responses using messenger RNA and protein levels in a mouse model. Anti-interleukin 17A (IL-17A) monoclonal antibodies (mAbs) were administered with the parasite to evaluate the role of IL-17A. RESULTS Severe ocular inflammation and cytokine patterns comparable to human cases were observed, including IL-17A production. Neutralizing IL-17A decreased intraocular inflammation and parasite load in mice. Detailed studies revealed up-regulation of T-regulatory and Th1 pathways. When interferon γ (IFN-γ) was neutralized concomitantly, the parasite multiplication rate was partially restored. CONCLUSIONS Local IL-17A production by resident cells plays a central role in the pathology of ocular toxoplasmosis. The balance between Th17 and Th1 responses (especially IFN-γ) is crucial for the outcome of infection. This data reveals new in vivo therapeutic approaches by repressing inflammatory pathways using intravitreal injection of IL-17A mAbs.","author":[{"dropping-particle":"","family":"Sauer","given":"A.","non-dropping-particle":"","parse-names":false,"suffix":""},{"dropping-particle":"","family":"Pfaff","given":"A. W.","non-dropping-particle":"","parse-names":false,"suffix":""},{"dropping-particle":"","family":"Villard","given":"O.","non-dropping-particle":"","parse-names":false,"suffix":""},{"dropping-particle":"","family":"Creuzot-Garcher","given":"C.","non-dropping-particle":"","parse-names":false,"suffix":""},{"dropping-particle":"","family":"Dalle","given":"F.","non-dropping-particle":"","parse-names":false,"suffix":""},{"dropping-particle":"","family":"Chiquet","given":"C.","non-dropping-particle":"","parse-names":false,"suffix":""},{"dropping-particle":"","family":"Pelloux","given":"H.","non-dropping-particle":"","parse-names":false,"suffix":""},{"dropping-particle":"","family":"Speeg-Schatz","given":"C.","non-dropping-particle":"","parse-names":false,"suffix":""},{"dropping-particle":"","family":"Gaucher","given":"D.","non-dropping-particle":"","parse-names":false,"suffix":""},{"dropping-particle":"","family":"Prevost","given":"G.","non-dropping-particle":"","parse-names":false,"suffix":""},{"dropping-particle":"","family":"Bourcier","given":"T.","non-dropping-particle":"","parse-names":false,"suffix":""},{"dropping-particle":"","family":"Candolfi","given":"E.","non-dropping-particle":"","parse-names":false,"suffix":""}],"container-title":"Journal of Infectious Diseases","id":"ITEM-5","issue":"8","issued":{"date-parts":[["2012","10","15"]]},"page":"1319-1329","title":"Interleukin 17A as an Effective Target for Anti-inflammatory and Antiparasitic Treatment of Toxoplasmic Uveitis","type":"article-journal","volume":"206"},"uris":["http://www.mendeley.com/documents/?uuid=1096e5a2-fdb4-3d69-8204-eac4b27b4927"]}],"mendeley":{"formattedCitation":"(Cordeiro &lt;i&gt;et al.&lt;/i&gt;, 2008; Garweg and Candolfi, 2009; Sauer &lt;i&gt;et al.&lt;/i&gt;, 2012; Dutra &lt;i&gt;et al.&lt;/i&gt;, 2013; Naranjo-Galvis &lt;i&gt;et al.&lt;/i&gt;, 2018)","plainTextFormattedCitation":"(Cordeiro et al., 2008; Garweg and Candolfi, 2009; Sauer et al., 2012; Dutra et al., 2013; Naranjo-Galvis et al., 2018)","previouslyFormattedCitation":"(Cordeiro &lt;i&gt;et al.&lt;/i&gt;, 2008; Garweg and Candolfi, 2009; Sauer &lt;i&gt;et al.&lt;/i&gt;, 2012; Dutra &lt;i&gt;et al.&lt;/i&gt;, 2013; Naranjo-Galvis &lt;i&gt;et al.&lt;/i&gt;, 2018)"},"properties":{"noteIndex":0},"schema":"https://github.com/citation-style-language/schema/raw/master/csl-citation.json"}</w:instrText>
      </w:r>
      <w:r w:rsidR="00814981">
        <w:rPr>
          <w:rFonts w:asciiTheme="majorBidi" w:hAnsiTheme="majorBidi" w:cstheme="majorBidi"/>
          <w:sz w:val="24"/>
          <w:szCs w:val="24"/>
        </w:rPr>
        <w:fldChar w:fldCharType="separate"/>
      </w:r>
      <w:r w:rsidR="00F14479" w:rsidRPr="00F14479">
        <w:rPr>
          <w:rFonts w:asciiTheme="majorBidi" w:hAnsiTheme="majorBidi" w:cstheme="majorBidi"/>
          <w:noProof/>
          <w:sz w:val="24"/>
          <w:szCs w:val="24"/>
        </w:rPr>
        <w:t xml:space="preserve">(Cordeiro </w:t>
      </w:r>
      <w:r w:rsidR="00F14479" w:rsidRPr="00F14479">
        <w:rPr>
          <w:rFonts w:asciiTheme="majorBidi" w:hAnsiTheme="majorBidi" w:cstheme="majorBidi"/>
          <w:i/>
          <w:noProof/>
          <w:sz w:val="24"/>
          <w:szCs w:val="24"/>
        </w:rPr>
        <w:t>et al.</w:t>
      </w:r>
      <w:r w:rsidR="00F14479" w:rsidRPr="00F14479">
        <w:rPr>
          <w:rFonts w:asciiTheme="majorBidi" w:hAnsiTheme="majorBidi" w:cstheme="majorBidi"/>
          <w:noProof/>
          <w:sz w:val="24"/>
          <w:szCs w:val="24"/>
        </w:rPr>
        <w:t xml:space="preserve">, 2008; Garweg and Candolfi, 2009; Sauer </w:t>
      </w:r>
      <w:r w:rsidR="00F14479" w:rsidRPr="00F14479">
        <w:rPr>
          <w:rFonts w:asciiTheme="majorBidi" w:hAnsiTheme="majorBidi" w:cstheme="majorBidi"/>
          <w:i/>
          <w:noProof/>
          <w:sz w:val="24"/>
          <w:szCs w:val="24"/>
        </w:rPr>
        <w:t>et al.</w:t>
      </w:r>
      <w:r w:rsidR="00F14479" w:rsidRPr="00F14479">
        <w:rPr>
          <w:rFonts w:asciiTheme="majorBidi" w:hAnsiTheme="majorBidi" w:cstheme="majorBidi"/>
          <w:noProof/>
          <w:sz w:val="24"/>
          <w:szCs w:val="24"/>
        </w:rPr>
        <w:t xml:space="preserve">, 2012; Dutra </w:t>
      </w:r>
      <w:r w:rsidR="00F14479" w:rsidRPr="00F14479">
        <w:rPr>
          <w:rFonts w:asciiTheme="majorBidi" w:hAnsiTheme="majorBidi" w:cstheme="majorBidi"/>
          <w:i/>
          <w:noProof/>
          <w:sz w:val="24"/>
          <w:szCs w:val="24"/>
        </w:rPr>
        <w:t>et al.</w:t>
      </w:r>
      <w:r w:rsidR="00F14479" w:rsidRPr="00F14479">
        <w:rPr>
          <w:rFonts w:asciiTheme="majorBidi" w:hAnsiTheme="majorBidi" w:cstheme="majorBidi"/>
          <w:noProof/>
          <w:sz w:val="24"/>
          <w:szCs w:val="24"/>
        </w:rPr>
        <w:t xml:space="preserve">, 2013; Naranjo-Galvis </w:t>
      </w:r>
      <w:r w:rsidR="00F14479" w:rsidRPr="00F14479">
        <w:rPr>
          <w:rFonts w:asciiTheme="majorBidi" w:hAnsiTheme="majorBidi" w:cstheme="majorBidi"/>
          <w:i/>
          <w:noProof/>
          <w:sz w:val="24"/>
          <w:szCs w:val="24"/>
        </w:rPr>
        <w:t>et al.</w:t>
      </w:r>
      <w:r w:rsidR="00F14479" w:rsidRPr="00F14479">
        <w:rPr>
          <w:rFonts w:asciiTheme="majorBidi" w:hAnsiTheme="majorBidi" w:cstheme="majorBidi"/>
          <w:noProof/>
          <w:sz w:val="24"/>
          <w:szCs w:val="24"/>
        </w:rPr>
        <w:t>, 2018)</w:t>
      </w:r>
      <w:r w:rsidR="00814981">
        <w:rPr>
          <w:rFonts w:asciiTheme="majorBidi" w:hAnsiTheme="majorBidi" w:cstheme="majorBidi"/>
          <w:sz w:val="24"/>
          <w:szCs w:val="24"/>
        </w:rPr>
        <w:fldChar w:fldCharType="end"/>
      </w:r>
      <w:r w:rsidR="004F1AF1">
        <w:rPr>
          <w:rFonts w:asciiTheme="majorBidi" w:hAnsiTheme="majorBidi" w:cstheme="majorBidi"/>
          <w:sz w:val="24"/>
          <w:szCs w:val="24"/>
        </w:rPr>
        <w:t>.</w:t>
      </w:r>
    </w:p>
    <w:p w:rsidR="00943ABC" w:rsidRDefault="00943ABC" w:rsidP="00EC6FA4">
      <w:pPr>
        <w:spacing w:line="480" w:lineRule="auto"/>
        <w:ind w:left="180" w:right="180"/>
        <w:jc w:val="both"/>
        <w:rPr>
          <w:rFonts w:asciiTheme="majorBidi" w:hAnsiTheme="majorBidi" w:cstheme="majorBidi"/>
          <w:sz w:val="24"/>
          <w:szCs w:val="24"/>
        </w:rPr>
      </w:pPr>
      <w:r w:rsidRPr="00943ABC">
        <w:rPr>
          <w:rFonts w:asciiTheme="majorBidi" w:hAnsiTheme="majorBidi" w:cstheme="majorBidi"/>
          <w:sz w:val="24"/>
          <w:szCs w:val="24"/>
        </w:rPr>
        <w:t xml:space="preserve">Cytokine genetic functional polymorphisms can engage with or strengthen cytokine expression and can play a major role in the regulation of the genetic materials of inflammatory activities and ability to resist an </w:t>
      </w:r>
      <w:proofErr w:type="gramStart"/>
      <w:r w:rsidRPr="00943ABC">
        <w:rPr>
          <w:rFonts w:asciiTheme="majorBidi" w:hAnsiTheme="majorBidi" w:cstheme="majorBidi"/>
          <w:sz w:val="24"/>
          <w:szCs w:val="24"/>
        </w:rPr>
        <w:t>infectious diseases</w:t>
      </w:r>
      <w:proofErr w:type="gramEnd"/>
      <w:r w:rsidRPr="00943ABC">
        <w:rPr>
          <w:rFonts w:asciiTheme="majorBidi" w:hAnsiTheme="majorBidi" w:cstheme="majorBidi"/>
          <w:sz w:val="24"/>
          <w:szCs w:val="24"/>
        </w:rPr>
        <w:t xml:space="preserve">. The SNPs are helpful in identifying phenotypic changes that are related to a specific </w:t>
      </w:r>
      <w:r w:rsidR="002C4C4E">
        <w:rPr>
          <w:rFonts w:asciiTheme="majorBidi" w:hAnsiTheme="majorBidi" w:cstheme="majorBidi"/>
          <w:sz w:val="24"/>
          <w:szCs w:val="24"/>
        </w:rPr>
        <w:t>infection</w:t>
      </w:r>
      <w:r w:rsidRPr="00943ABC">
        <w:rPr>
          <w:rFonts w:asciiTheme="majorBidi" w:hAnsiTheme="majorBidi" w:cstheme="majorBidi"/>
          <w:sz w:val="24"/>
          <w:szCs w:val="24"/>
        </w:rPr>
        <w:t>. Natural selection encourages the incorporation of cytokine SNPs of the biallelic type, which contributes to a difference in gene expression levels instead of the efficiency</w:t>
      </w:r>
      <w:r w:rsidR="00814981">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{"citationItems":[{"id":"ITEM-1","itemData":{"DOI":"10.1016/j.cyto.2012.04.035","ISSN":"10434666","PMID":"22595647","abstract":"Chagas disease is a parasitic infection that is a significant public health problem in Latin America. The mechanisms responsible for susceptibility to the infection and the mechanisms involved in the development of cardiac and digestive forms of chronic Chagas disease remain poorly understood. However, there is growing evidence that differences in susceptibility in endemic areas may be attributable to host genetic factors. The aim of this overview was to analyze the genetic susceptibility to human Chagas disease, particularly that of single nucleotide polymorphisms of cytokine genes. A review of the literature was conducted on the following databases: PubMed/MEDLINE and Scopus. The search strategy included using the following terms: \"Cytokines\", \"Single Nucleotide Polymorphisms\" and \"Chagas Disease\". After screening 25 citations from the databases, 19 studies were selected for the overview. A critical analysis of the data presented in the articles suggests that genetic susceptibility to Chagas disease and chronic Chagas cardiomyopathy is highly influenced by the complexity of the immune response of the host. Follow-up studies based on other populations where Chagas disease is endemic (with distinct ethnic and genetic backgrounds) need to be conducted. These should use a large sample population so as to establish what cytokine genes are involved in susceptibility to and/or progression of the disease.","author":[{"dropping-particle":"","family":"Vasconcelos","given":"Romero H.T.","non-dropping-particle":"","parse-names":false,"suffix":""},{"dropping-particle":"","family":"Montenegro","given":"Silvia M.L.","non-dropping-particle":"","parse-names":false,"suffix":""},{"dropping-particle":"","family":"Azevedo","given":"Elisa A.N.","non-dropping-particle":"","parse-names":false,"suffix":""},{"dropping-particle":"","family":"Gomes","given":"Yara M.","non-dropping-particle":"","parse-names":false,"suffix":""},{"dropping-particle":"","family":"Morais","given":"Clarice N.L.","non-dropping-particle":"","parse-names":false,"suffix":""}],"container-title":"Cytokine","id":"ITEM-1","issue":"2","issued":{"date-parts":[["2012","8"]]},"page":"203-208","title":"Genetic susceptibility to chronic Chagas disease: An overview of single nucleotide polymorphisms of cytokine genes","type":"article-journal","volume":"59"},"uris":["http://www.mendeley.com/documents/?uuid=bbee8b09-926e-3c00-b8f4-0a44a085219f"]}],"mendeley":{"formattedCitation":"(Vasconcelos &lt;i&gt;et al.&lt;/i&gt;, 2012)","plainTextFormattedCitation":"(Vasconcelos et al., 2012)"},"properties":{"noteIndex":0},"schema":"https://github.com/citation-style-language/schema/raw/master/csl-citation.json"}</w:instrText>
      </w:r>
      <w:r w:rsidR="00814981">
        <w:rPr>
          <w:rFonts w:asciiTheme="majorBidi" w:hAnsiTheme="majorBidi" w:cstheme="majorBidi"/>
          <w:sz w:val="24"/>
          <w:szCs w:val="24"/>
        </w:rPr>
        <w:fldChar w:fldCharType="separate"/>
      </w:r>
      <w:r w:rsidRPr="00943ABC">
        <w:rPr>
          <w:rFonts w:asciiTheme="majorBidi" w:hAnsiTheme="majorBidi" w:cstheme="majorBidi"/>
          <w:noProof/>
          <w:sz w:val="24"/>
          <w:szCs w:val="24"/>
        </w:rPr>
        <w:t xml:space="preserve">(Vasconcelos </w:t>
      </w:r>
      <w:r w:rsidRPr="00943ABC">
        <w:rPr>
          <w:rFonts w:asciiTheme="majorBidi" w:hAnsiTheme="majorBidi" w:cstheme="majorBidi"/>
          <w:i/>
          <w:noProof/>
          <w:sz w:val="24"/>
          <w:szCs w:val="24"/>
        </w:rPr>
        <w:t>et al.</w:t>
      </w:r>
      <w:r w:rsidRPr="00943ABC">
        <w:rPr>
          <w:rFonts w:asciiTheme="majorBidi" w:hAnsiTheme="majorBidi" w:cstheme="majorBidi"/>
          <w:noProof/>
          <w:sz w:val="24"/>
          <w:szCs w:val="24"/>
        </w:rPr>
        <w:t>, 2012)</w:t>
      </w:r>
      <w:r w:rsidR="00814981">
        <w:rPr>
          <w:rFonts w:asciiTheme="majorBidi" w:hAnsiTheme="majorBidi" w:cstheme="majorBidi"/>
          <w:sz w:val="24"/>
          <w:szCs w:val="24"/>
        </w:rPr>
        <w:fldChar w:fldCharType="end"/>
      </w:r>
      <w:r w:rsidRPr="00943ABC">
        <w:rPr>
          <w:rFonts w:asciiTheme="majorBidi" w:hAnsiTheme="majorBidi" w:cstheme="majorBidi"/>
          <w:sz w:val="24"/>
          <w:szCs w:val="24"/>
        </w:rPr>
        <w:t>.</w:t>
      </w:r>
      <w:r>
        <w:rPr>
          <w:rFonts w:asciiTheme="majorBidi" w:hAnsiTheme="majorBidi" w:cstheme="majorBidi"/>
          <w:sz w:val="24"/>
          <w:szCs w:val="24"/>
        </w:rPr>
        <w:t xml:space="preserve">According to those factors, the IL-6 (G/C) SNPs may </w:t>
      </w:r>
      <w:proofErr w:type="spellStart"/>
      <w:r w:rsidR="002C4C4E">
        <w:rPr>
          <w:rFonts w:asciiTheme="majorBidi" w:hAnsiTheme="majorBidi" w:cstheme="majorBidi"/>
          <w:sz w:val="24"/>
          <w:szCs w:val="24"/>
        </w:rPr>
        <w:t>encouragethe</w:t>
      </w:r>
      <w:proofErr w:type="spellEnd"/>
      <w:r>
        <w:rPr>
          <w:rFonts w:asciiTheme="majorBidi" w:hAnsiTheme="majorBidi" w:cstheme="majorBidi"/>
          <w:sz w:val="24"/>
          <w:szCs w:val="24"/>
        </w:rPr>
        <w:t xml:space="preserve"> develop</w:t>
      </w:r>
      <w:r w:rsidR="002C4C4E">
        <w:rPr>
          <w:rFonts w:asciiTheme="majorBidi" w:hAnsiTheme="majorBidi" w:cstheme="majorBidi"/>
          <w:sz w:val="24"/>
          <w:szCs w:val="24"/>
        </w:rPr>
        <w:t>ment of</w:t>
      </w:r>
      <w:r>
        <w:rPr>
          <w:rFonts w:asciiTheme="majorBidi" w:hAnsiTheme="majorBidi" w:cstheme="majorBidi"/>
          <w:sz w:val="24"/>
          <w:szCs w:val="24"/>
        </w:rPr>
        <w:t xml:space="preserve"> toxoplasmosis infection.</w:t>
      </w:r>
    </w:p>
    <w:p w:rsidR="00F14479" w:rsidRDefault="00943ABC" w:rsidP="00EC6FA4">
      <w:pPr>
        <w:spacing w:line="480" w:lineRule="auto"/>
        <w:ind w:left="180" w:right="180"/>
        <w:jc w:val="both"/>
        <w:rPr>
          <w:rFonts w:asciiTheme="majorBidi" w:hAnsiTheme="majorBidi" w:cstheme="majorBidi"/>
          <w:sz w:val="24"/>
          <w:szCs w:val="24"/>
        </w:rPr>
      </w:pPr>
      <w:r w:rsidRPr="00943ABC">
        <w:rPr>
          <w:rFonts w:asciiTheme="majorBidi" w:hAnsiTheme="majorBidi" w:cstheme="majorBidi"/>
          <w:sz w:val="24"/>
          <w:szCs w:val="24"/>
        </w:rPr>
        <w:lastRenderedPageBreak/>
        <w:t xml:space="preserve">The presence study reveals high relationship of the interleukin-6 polymorphism G/C (heterozygous) to the infection by </w:t>
      </w:r>
      <w:r w:rsidRPr="00943ABC">
        <w:rPr>
          <w:rFonts w:asciiTheme="majorBidi" w:hAnsiTheme="majorBidi" w:cstheme="majorBidi"/>
          <w:i/>
          <w:iCs/>
          <w:sz w:val="24"/>
          <w:szCs w:val="24"/>
        </w:rPr>
        <w:t>Toxoplasma gondii</w:t>
      </w:r>
      <w:r w:rsidRPr="00943ABC">
        <w:rPr>
          <w:rFonts w:asciiTheme="majorBidi" w:hAnsiTheme="majorBidi" w:cstheme="majorBidi"/>
          <w:sz w:val="24"/>
          <w:szCs w:val="24"/>
        </w:rPr>
        <w:t>.</w:t>
      </w:r>
    </w:p>
    <w:p w:rsidR="00800689" w:rsidRDefault="00800689" w:rsidP="00D820AD">
      <w:pPr>
        <w:spacing w:line="480" w:lineRule="auto"/>
        <w:jc w:val="both"/>
        <w:rPr>
          <w:rFonts w:asciiTheme="majorBidi" w:hAnsiTheme="majorBidi" w:cstheme="majorBidi"/>
          <w:sz w:val="24"/>
          <w:szCs w:val="24"/>
        </w:rPr>
      </w:pPr>
      <w:r>
        <w:rPr>
          <w:rFonts w:asciiTheme="majorBidi" w:hAnsiTheme="majorBidi" w:cstheme="majorBidi"/>
          <w:b/>
          <w:bCs/>
          <w:sz w:val="24"/>
          <w:szCs w:val="24"/>
        </w:rPr>
        <w:t>References</w:t>
      </w:r>
    </w:p>
    <w:p w:rsidR="00685DC1" w:rsidRDefault="004E6913" w:rsidP="00CF72FD">
      <w:pPr>
        <w:widowControl w:val="0"/>
        <w:autoSpaceDE w:val="0"/>
        <w:autoSpaceDN w:val="0"/>
        <w:adjustRightInd w:val="0"/>
        <w:spacing w:line="480" w:lineRule="auto"/>
        <w:jc w:val="both"/>
        <w:rPr>
          <w:rFonts w:asciiTheme="majorBidi" w:hAnsiTheme="majorBidi" w:cstheme="majorBidi"/>
          <w:sz w:val="24"/>
          <w:szCs w:val="24"/>
        </w:rPr>
      </w:pPr>
      <w:r>
        <w:rPr>
          <w:rFonts w:asciiTheme="majorBidi" w:hAnsiTheme="majorBidi" w:cstheme="majorBidi"/>
          <w:sz w:val="24"/>
          <w:szCs w:val="24"/>
        </w:rPr>
        <w:t>Al-</w:t>
      </w:r>
      <w:proofErr w:type="spellStart"/>
      <w:r>
        <w:rPr>
          <w:rFonts w:asciiTheme="majorBidi" w:hAnsiTheme="majorBidi" w:cstheme="majorBidi"/>
          <w:sz w:val="24"/>
          <w:szCs w:val="24"/>
        </w:rPr>
        <w:t>Okaily</w:t>
      </w:r>
      <w:proofErr w:type="spellEnd"/>
      <w:r>
        <w:rPr>
          <w:rFonts w:asciiTheme="majorBidi" w:hAnsiTheme="majorBidi" w:cstheme="majorBidi"/>
          <w:sz w:val="24"/>
          <w:szCs w:val="24"/>
        </w:rPr>
        <w:t>, F</w:t>
      </w:r>
      <w:r w:rsidR="00685DC1" w:rsidRPr="00685DC1">
        <w:rPr>
          <w:rFonts w:asciiTheme="majorBidi" w:hAnsiTheme="majorBidi" w:cstheme="majorBidi"/>
          <w:sz w:val="24"/>
          <w:szCs w:val="24"/>
        </w:rPr>
        <w:t xml:space="preserve">., </w:t>
      </w:r>
      <w:r w:rsidR="00CF72FD" w:rsidRPr="00CF72FD">
        <w:rPr>
          <w:rFonts w:asciiTheme="majorBidi" w:hAnsiTheme="majorBidi" w:cstheme="majorBidi"/>
          <w:i/>
          <w:iCs/>
          <w:sz w:val="24"/>
          <w:szCs w:val="24"/>
        </w:rPr>
        <w:t>et al</w:t>
      </w:r>
      <w:r w:rsidR="00F80CD4">
        <w:rPr>
          <w:rFonts w:asciiTheme="majorBidi" w:hAnsiTheme="majorBidi" w:cstheme="majorBidi"/>
          <w:sz w:val="24"/>
          <w:szCs w:val="24"/>
        </w:rPr>
        <w:t xml:space="preserve"> (2015</w:t>
      </w:r>
      <w:r w:rsidR="00685DC1" w:rsidRPr="00685DC1">
        <w:rPr>
          <w:rFonts w:asciiTheme="majorBidi" w:hAnsiTheme="majorBidi" w:cstheme="majorBidi"/>
          <w:sz w:val="24"/>
          <w:szCs w:val="24"/>
        </w:rPr>
        <w:t>). Infla</w:t>
      </w:r>
      <w:r>
        <w:rPr>
          <w:rFonts w:asciiTheme="majorBidi" w:hAnsiTheme="majorBidi" w:cstheme="majorBidi"/>
          <w:sz w:val="24"/>
          <w:szCs w:val="24"/>
        </w:rPr>
        <w:t xml:space="preserve">mmation-related cytokine gene polymorphisms in </w:t>
      </w:r>
      <w:proofErr w:type="spellStart"/>
      <w:r w:rsidR="00F80CD4">
        <w:rPr>
          <w:rFonts w:asciiTheme="majorBidi" w:hAnsiTheme="majorBidi" w:cstheme="majorBidi"/>
          <w:sz w:val="24"/>
          <w:szCs w:val="24"/>
        </w:rPr>
        <w:t>Behcet’s</w:t>
      </w:r>
      <w:proofErr w:type="spellEnd"/>
      <w:r>
        <w:rPr>
          <w:rFonts w:asciiTheme="majorBidi" w:hAnsiTheme="majorBidi" w:cstheme="majorBidi"/>
          <w:sz w:val="24"/>
          <w:szCs w:val="24"/>
        </w:rPr>
        <w:t xml:space="preserve"> disease</w:t>
      </w:r>
      <w:r w:rsidR="00685DC1" w:rsidRPr="00685DC1">
        <w:rPr>
          <w:rFonts w:asciiTheme="majorBidi" w:hAnsiTheme="majorBidi" w:cstheme="majorBidi"/>
          <w:sz w:val="24"/>
          <w:szCs w:val="24"/>
        </w:rPr>
        <w:t>.</w:t>
      </w:r>
      <w:r w:rsidR="00F80CD4">
        <w:rPr>
          <w:rFonts w:asciiTheme="majorBidi" w:hAnsiTheme="majorBidi" w:cstheme="majorBidi"/>
          <w:sz w:val="24"/>
          <w:szCs w:val="24"/>
        </w:rPr>
        <w:t xml:space="preserve"> Journal of inflammatory research.</w:t>
      </w:r>
      <w:proofErr w:type="gramStart"/>
      <w:r w:rsidR="00F80CD4">
        <w:rPr>
          <w:rFonts w:asciiTheme="majorBidi" w:hAnsiTheme="majorBidi" w:cstheme="majorBidi"/>
          <w:sz w:val="24"/>
          <w:szCs w:val="24"/>
        </w:rPr>
        <w:t>8 :</w:t>
      </w:r>
      <w:proofErr w:type="gramEnd"/>
      <w:r w:rsidR="00F80CD4">
        <w:rPr>
          <w:rFonts w:asciiTheme="majorBidi" w:hAnsiTheme="majorBidi" w:cstheme="majorBidi"/>
          <w:sz w:val="24"/>
          <w:szCs w:val="24"/>
        </w:rPr>
        <w:t xml:space="preserve"> 173-180.</w:t>
      </w:r>
    </w:p>
    <w:p w:rsidR="00943ABC" w:rsidRPr="00943ABC" w:rsidRDefault="00814981" w:rsidP="00685DC1">
      <w:pPr>
        <w:widowControl w:val="0"/>
        <w:autoSpaceDE w:val="0"/>
        <w:autoSpaceDN w:val="0"/>
        <w:adjustRightInd w:val="0"/>
        <w:spacing w:line="480" w:lineRule="auto"/>
        <w:jc w:val="both"/>
        <w:rPr>
          <w:rFonts w:ascii="Times New Roman" w:hAnsi="Times New Roman" w:cs="Times New Roman"/>
          <w:noProof/>
          <w:sz w:val="24"/>
          <w:szCs w:val="24"/>
        </w:rPr>
      </w:pPr>
      <w:r>
        <w:rPr>
          <w:rFonts w:asciiTheme="majorBidi" w:hAnsiTheme="majorBidi" w:cstheme="majorBidi"/>
          <w:sz w:val="24"/>
          <w:szCs w:val="24"/>
        </w:rPr>
        <w:fldChar w:fldCharType="begin" w:fldLock="1"/>
      </w:r>
      <w:r w:rsidR="00800689">
        <w:rPr>
          <w:rFonts w:asciiTheme="majorBidi" w:hAnsiTheme="majorBidi" w:cstheme="majorBidi"/>
          <w:sz w:val="24"/>
          <w:szCs w:val="24"/>
        </w:rPr>
        <w:instrText xml:space="preserve">ADDIN Mendeley Bibliography CSL_BIBLIOGRAPHY </w:instrText>
      </w:r>
      <w:r>
        <w:rPr>
          <w:rFonts w:asciiTheme="majorBidi" w:hAnsiTheme="majorBidi" w:cstheme="majorBidi"/>
          <w:sz w:val="24"/>
          <w:szCs w:val="24"/>
        </w:rPr>
        <w:fldChar w:fldCharType="separate"/>
      </w:r>
      <w:r w:rsidR="00943ABC" w:rsidRPr="00943ABC">
        <w:rPr>
          <w:rFonts w:ascii="Times New Roman" w:hAnsi="Times New Roman" w:cs="Times New Roman"/>
          <w:noProof/>
          <w:sz w:val="24"/>
          <w:szCs w:val="24"/>
        </w:rPr>
        <w:t xml:space="preserve">Alvarado-Esquivel, C. </w:t>
      </w:r>
      <w:r w:rsidR="00943ABC" w:rsidRPr="00943ABC">
        <w:rPr>
          <w:rFonts w:ascii="Times New Roman" w:hAnsi="Times New Roman" w:cs="Times New Roman"/>
          <w:i/>
          <w:iCs/>
          <w:noProof/>
          <w:sz w:val="24"/>
          <w:szCs w:val="24"/>
        </w:rPr>
        <w:t>et al.</w:t>
      </w:r>
      <w:r w:rsidR="00943ABC" w:rsidRPr="00943ABC">
        <w:rPr>
          <w:rFonts w:ascii="Times New Roman" w:hAnsi="Times New Roman" w:cs="Times New Roman"/>
          <w:noProof/>
          <w:sz w:val="24"/>
          <w:szCs w:val="24"/>
        </w:rPr>
        <w:t xml:space="preserve"> (2015) ‘Prevalence of </w:t>
      </w:r>
      <w:r w:rsidR="00943ABC" w:rsidRPr="00943ABC">
        <w:rPr>
          <w:rFonts w:ascii="Times New Roman" w:hAnsi="Times New Roman" w:cs="Times New Roman"/>
          <w:i/>
          <w:iCs/>
          <w:noProof/>
          <w:sz w:val="24"/>
          <w:szCs w:val="24"/>
        </w:rPr>
        <w:t>Toxoplasma gondii</w:t>
      </w:r>
      <w:r w:rsidR="00943ABC" w:rsidRPr="00943ABC">
        <w:rPr>
          <w:rFonts w:ascii="Times New Roman" w:hAnsi="Times New Roman" w:cs="Times New Roman"/>
          <w:noProof/>
          <w:sz w:val="24"/>
          <w:szCs w:val="24"/>
        </w:rPr>
        <w:t xml:space="preserve"> infection in brain and heart by immunohistochemistry in a hospital-based autopsy series in Durango, Mexico’, </w:t>
      </w:r>
      <w:r w:rsidR="00943ABC" w:rsidRPr="00943ABC">
        <w:rPr>
          <w:rFonts w:ascii="Times New Roman" w:hAnsi="Times New Roman" w:cs="Times New Roman"/>
          <w:i/>
          <w:iCs/>
          <w:noProof/>
          <w:sz w:val="24"/>
          <w:szCs w:val="24"/>
        </w:rPr>
        <w:t>European Journal of Microbiology and Immunology</w:t>
      </w:r>
      <w:r w:rsidR="00943ABC" w:rsidRPr="00943ABC">
        <w:rPr>
          <w:rFonts w:ascii="Times New Roman" w:hAnsi="Times New Roman" w:cs="Times New Roman"/>
          <w:noProof/>
          <w:sz w:val="24"/>
          <w:szCs w:val="24"/>
        </w:rPr>
        <w:t>, 5(2), pp. 143–149. doi: 10.1556/1886.2015.00014.</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Cabral, C. M. </w:t>
      </w:r>
      <w:r w:rsidRPr="00943ABC">
        <w:rPr>
          <w:rFonts w:ascii="Times New Roman" w:hAnsi="Times New Roman" w:cs="Times New Roman"/>
          <w:i/>
          <w:iCs/>
          <w:noProof/>
          <w:sz w:val="24"/>
          <w:szCs w:val="24"/>
        </w:rPr>
        <w:t>et al.</w:t>
      </w:r>
      <w:r w:rsidRPr="00943ABC">
        <w:rPr>
          <w:rFonts w:ascii="Times New Roman" w:hAnsi="Times New Roman" w:cs="Times New Roman"/>
          <w:noProof/>
          <w:sz w:val="24"/>
          <w:szCs w:val="24"/>
        </w:rPr>
        <w:t xml:space="preserve"> (2016) ‘Neurons are the Primary Target Cell for the Brain-Tropic Intracellular Parasite Toxoplasma gondii’, </w:t>
      </w:r>
      <w:r w:rsidRPr="00943ABC">
        <w:rPr>
          <w:rFonts w:ascii="Times New Roman" w:hAnsi="Times New Roman" w:cs="Times New Roman"/>
          <w:i/>
          <w:iCs/>
          <w:noProof/>
          <w:sz w:val="24"/>
          <w:szCs w:val="24"/>
        </w:rPr>
        <w:t>PLOS Pathogens</w:t>
      </w:r>
      <w:r w:rsidRPr="00943ABC">
        <w:rPr>
          <w:rFonts w:ascii="Times New Roman" w:hAnsi="Times New Roman" w:cs="Times New Roman"/>
          <w:noProof/>
          <w:sz w:val="24"/>
          <w:szCs w:val="24"/>
        </w:rPr>
        <w:t>. Edited by E. Y. Denkers, 12(2), p. e1005447. doi: 10.1371/journal.ppat.1005447.</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Cordeiro, C. A. </w:t>
      </w:r>
      <w:r w:rsidRPr="00943ABC">
        <w:rPr>
          <w:rFonts w:ascii="Times New Roman" w:hAnsi="Times New Roman" w:cs="Times New Roman"/>
          <w:i/>
          <w:iCs/>
          <w:noProof/>
          <w:sz w:val="24"/>
          <w:szCs w:val="24"/>
        </w:rPr>
        <w:t>et al.</w:t>
      </w:r>
      <w:r w:rsidRPr="00943ABC">
        <w:rPr>
          <w:rFonts w:ascii="Times New Roman" w:hAnsi="Times New Roman" w:cs="Times New Roman"/>
          <w:noProof/>
          <w:sz w:val="24"/>
          <w:szCs w:val="24"/>
        </w:rPr>
        <w:t xml:space="preserve"> (2008) ‘TNF-  gene polymorphism (-308G/A) and toxoplasmic retinochoroiditis’, </w:t>
      </w:r>
      <w:r w:rsidRPr="00943ABC">
        <w:rPr>
          <w:rFonts w:ascii="Times New Roman" w:hAnsi="Times New Roman" w:cs="Times New Roman"/>
          <w:i/>
          <w:iCs/>
          <w:noProof/>
          <w:sz w:val="24"/>
          <w:szCs w:val="24"/>
        </w:rPr>
        <w:t>British Journal of Ophthalmology</w:t>
      </w:r>
      <w:r w:rsidRPr="00943ABC">
        <w:rPr>
          <w:rFonts w:ascii="Times New Roman" w:hAnsi="Times New Roman" w:cs="Times New Roman"/>
          <w:noProof/>
          <w:sz w:val="24"/>
          <w:szCs w:val="24"/>
        </w:rPr>
        <w:t>, 92(7), pp. 986–988. doi: 10.1136/bjo.2008.140590.</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Cordeiro, C. A. </w:t>
      </w:r>
      <w:r w:rsidRPr="00943ABC">
        <w:rPr>
          <w:rFonts w:ascii="Times New Roman" w:hAnsi="Times New Roman" w:cs="Times New Roman"/>
          <w:i/>
          <w:iCs/>
          <w:noProof/>
          <w:sz w:val="24"/>
          <w:szCs w:val="24"/>
        </w:rPr>
        <w:t>et al.</w:t>
      </w:r>
      <w:r w:rsidRPr="00943ABC">
        <w:rPr>
          <w:rFonts w:ascii="Times New Roman" w:hAnsi="Times New Roman" w:cs="Times New Roman"/>
          <w:noProof/>
          <w:sz w:val="24"/>
          <w:szCs w:val="24"/>
        </w:rPr>
        <w:t xml:space="preserve"> (2013) ‘Interleukin-6 gene polymorphism (−174</w:t>
      </w:r>
      <w:r w:rsidRPr="00943ABC">
        <w:rPr>
          <w:rFonts w:ascii="Times New Roman" w:hAnsi="Times New Roman" w:cs="Times New Roman"/>
          <w:noProof/>
          <w:sz w:val="24"/>
          <w:szCs w:val="24"/>
        </w:rPr>
        <w:t> </w:t>
      </w:r>
      <w:r w:rsidRPr="00943ABC">
        <w:rPr>
          <w:rFonts w:ascii="Times New Roman" w:hAnsi="Times New Roman" w:cs="Times New Roman"/>
          <w:noProof/>
          <w:sz w:val="24"/>
          <w:szCs w:val="24"/>
        </w:rPr>
        <w:t xml:space="preserve">G/C) is associated with toxoplasmic retinochoroiditis’, </w:t>
      </w:r>
      <w:r w:rsidRPr="00943ABC">
        <w:rPr>
          <w:rFonts w:ascii="Times New Roman" w:hAnsi="Times New Roman" w:cs="Times New Roman"/>
          <w:i/>
          <w:iCs/>
          <w:noProof/>
          <w:sz w:val="24"/>
          <w:szCs w:val="24"/>
        </w:rPr>
        <w:t>Acta Ophthalmologica</w:t>
      </w:r>
      <w:r w:rsidRPr="00943ABC">
        <w:rPr>
          <w:rFonts w:ascii="Times New Roman" w:hAnsi="Times New Roman" w:cs="Times New Roman"/>
          <w:noProof/>
          <w:sz w:val="24"/>
          <w:szCs w:val="24"/>
        </w:rPr>
        <w:t>, 91(4), pp. e311–e314. doi: 10.1111/aos.12046.</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Dutra, M. S. </w:t>
      </w:r>
      <w:r w:rsidRPr="00943ABC">
        <w:rPr>
          <w:rFonts w:ascii="Times New Roman" w:hAnsi="Times New Roman" w:cs="Times New Roman"/>
          <w:i/>
          <w:iCs/>
          <w:noProof/>
          <w:sz w:val="24"/>
          <w:szCs w:val="24"/>
        </w:rPr>
        <w:t>et al.</w:t>
      </w:r>
      <w:r w:rsidRPr="00943ABC">
        <w:rPr>
          <w:rFonts w:ascii="Times New Roman" w:hAnsi="Times New Roman" w:cs="Times New Roman"/>
          <w:noProof/>
          <w:sz w:val="24"/>
          <w:szCs w:val="24"/>
        </w:rPr>
        <w:t xml:space="preserve"> (2013) ‘Association of a NOD2 Gene Polymorphism and T-Helper 17 Cells With Presumed Ocular Toxoplasmosis’, </w:t>
      </w:r>
      <w:r w:rsidRPr="00943ABC">
        <w:rPr>
          <w:rFonts w:ascii="Times New Roman" w:hAnsi="Times New Roman" w:cs="Times New Roman"/>
          <w:i/>
          <w:iCs/>
          <w:noProof/>
          <w:sz w:val="24"/>
          <w:szCs w:val="24"/>
        </w:rPr>
        <w:t>Journal of Infectious Diseases</w:t>
      </w:r>
      <w:r w:rsidRPr="00943ABC">
        <w:rPr>
          <w:rFonts w:ascii="Times New Roman" w:hAnsi="Times New Roman" w:cs="Times New Roman"/>
          <w:noProof/>
          <w:sz w:val="24"/>
          <w:szCs w:val="24"/>
        </w:rPr>
        <w:t>, 207(1), pp. 152–163. doi: 10.1093/infdis/jis640.</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Garweg, J. G. and Candolfi, E. (2009) ‘Immunopathology in ocular toxoplasmosis: facts and </w:t>
      </w:r>
      <w:r w:rsidRPr="00943ABC">
        <w:rPr>
          <w:rFonts w:ascii="Times New Roman" w:hAnsi="Times New Roman" w:cs="Times New Roman"/>
          <w:noProof/>
          <w:sz w:val="24"/>
          <w:szCs w:val="24"/>
        </w:rPr>
        <w:lastRenderedPageBreak/>
        <w:t xml:space="preserve">clues.’, </w:t>
      </w:r>
      <w:r w:rsidRPr="00943ABC">
        <w:rPr>
          <w:rFonts w:ascii="Times New Roman" w:hAnsi="Times New Roman" w:cs="Times New Roman"/>
          <w:i/>
          <w:iCs/>
          <w:noProof/>
          <w:sz w:val="24"/>
          <w:szCs w:val="24"/>
        </w:rPr>
        <w:t>Memorias do Instituto Oswaldo Cruz</w:t>
      </w:r>
      <w:r w:rsidRPr="00943ABC">
        <w:rPr>
          <w:rFonts w:ascii="Times New Roman" w:hAnsi="Times New Roman" w:cs="Times New Roman"/>
          <w:noProof/>
          <w:sz w:val="24"/>
          <w:szCs w:val="24"/>
        </w:rPr>
        <w:t>, 104(2), pp. 211–20. doi: 10.1590/s0074-02762009000200014.</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Händel, U. </w:t>
      </w:r>
      <w:r w:rsidRPr="00943ABC">
        <w:rPr>
          <w:rFonts w:ascii="Times New Roman" w:hAnsi="Times New Roman" w:cs="Times New Roman"/>
          <w:i/>
          <w:iCs/>
          <w:noProof/>
          <w:sz w:val="24"/>
          <w:szCs w:val="24"/>
        </w:rPr>
        <w:t>et al.</w:t>
      </w:r>
      <w:r w:rsidRPr="00943ABC">
        <w:rPr>
          <w:rFonts w:ascii="Times New Roman" w:hAnsi="Times New Roman" w:cs="Times New Roman"/>
          <w:noProof/>
          <w:sz w:val="24"/>
          <w:szCs w:val="24"/>
        </w:rPr>
        <w:t xml:space="preserve"> (2012) ‘Neuronal gp130 Expression Is Crucial to Prevent Neuronal Loss, Hyperinflammation, and Lethal Course of Murine Toxoplasma Encephalitis’, </w:t>
      </w:r>
      <w:r w:rsidRPr="00943ABC">
        <w:rPr>
          <w:rFonts w:ascii="Times New Roman" w:hAnsi="Times New Roman" w:cs="Times New Roman"/>
          <w:i/>
          <w:iCs/>
          <w:noProof/>
          <w:sz w:val="24"/>
          <w:szCs w:val="24"/>
        </w:rPr>
        <w:t>The American Journal of Pathology</w:t>
      </w:r>
      <w:r w:rsidRPr="00943ABC">
        <w:rPr>
          <w:rFonts w:ascii="Times New Roman" w:hAnsi="Times New Roman" w:cs="Times New Roman"/>
          <w:noProof/>
          <w:sz w:val="24"/>
          <w:szCs w:val="24"/>
        </w:rPr>
        <w:t>, 181(1), pp. 163–173. doi: 10.1016/j.ajpath.2012.03.029.</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Kim, S.-K. and Boothroyd, J. C. (2005) ‘Stage-Specific Expression of Surface Antigens by </w:t>
      </w:r>
      <w:r w:rsidRPr="00943ABC">
        <w:rPr>
          <w:rFonts w:ascii="Times New Roman" w:hAnsi="Times New Roman" w:cs="Times New Roman"/>
          <w:i/>
          <w:iCs/>
          <w:noProof/>
          <w:sz w:val="24"/>
          <w:szCs w:val="24"/>
        </w:rPr>
        <w:t>Toxoplasma gondii</w:t>
      </w:r>
      <w:r w:rsidRPr="00943ABC">
        <w:rPr>
          <w:rFonts w:ascii="Times New Roman" w:hAnsi="Times New Roman" w:cs="Times New Roman"/>
          <w:noProof/>
          <w:sz w:val="24"/>
          <w:szCs w:val="24"/>
        </w:rPr>
        <w:t xml:space="preserve"> as a Mechanism to Facilitate Parasite Persistence’, </w:t>
      </w:r>
      <w:r w:rsidRPr="00943ABC">
        <w:rPr>
          <w:rFonts w:ascii="Times New Roman" w:hAnsi="Times New Roman" w:cs="Times New Roman"/>
          <w:i/>
          <w:iCs/>
          <w:noProof/>
          <w:sz w:val="24"/>
          <w:szCs w:val="24"/>
        </w:rPr>
        <w:t>The Journal of Immunology</w:t>
      </w:r>
      <w:r w:rsidRPr="00943ABC">
        <w:rPr>
          <w:rFonts w:ascii="Times New Roman" w:hAnsi="Times New Roman" w:cs="Times New Roman"/>
          <w:noProof/>
          <w:sz w:val="24"/>
          <w:szCs w:val="24"/>
        </w:rPr>
        <w:t>, 174(12), pp. 8038–8048. doi: 10.4049/jimmunol.174.12.8038.</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Koshy, A. A. </w:t>
      </w:r>
      <w:r w:rsidRPr="00943ABC">
        <w:rPr>
          <w:rFonts w:ascii="Times New Roman" w:hAnsi="Times New Roman" w:cs="Times New Roman"/>
          <w:i/>
          <w:iCs/>
          <w:noProof/>
          <w:sz w:val="24"/>
          <w:szCs w:val="24"/>
        </w:rPr>
        <w:t>et al.</w:t>
      </w:r>
      <w:r w:rsidRPr="00943ABC">
        <w:rPr>
          <w:rFonts w:ascii="Times New Roman" w:hAnsi="Times New Roman" w:cs="Times New Roman"/>
          <w:noProof/>
          <w:sz w:val="24"/>
          <w:szCs w:val="24"/>
        </w:rPr>
        <w:t xml:space="preserve"> (2012) ‘Toxoplasma Co-opts Host Cells It Does Not Invade’, </w:t>
      </w:r>
      <w:r w:rsidRPr="00943ABC">
        <w:rPr>
          <w:rFonts w:ascii="Times New Roman" w:hAnsi="Times New Roman" w:cs="Times New Roman"/>
          <w:i/>
          <w:iCs/>
          <w:noProof/>
          <w:sz w:val="24"/>
          <w:szCs w:val="24"/>
        </w:rPr>
        <w:t>PLoS Pathogens</w:t>
      </w:r>
      <w:r w:rsidRPr="00943ABC">
        <w:rPr>
          <w:rFonts w:ascii="Times New Roman" w:hAnsi="Times New Roman" w:cs="Times New Roman"/>
          <w:noProof/>
          <w:sz w:val="24"/>
          <w:szCs w:val="24"/>
        </w:rPr>
        <w:t>. Edited by G. S. Yap, 8(7), p. e1002825. doi: 10.1371/journal.ppat.1002825.</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Matowicka-Karna, J., Dymicka-Piekarska, V. and Kemona, H. (2009) ‘Does </w:t>
      </w:r>
      <w:r w:rsidRPr="00943ABC">
        <w:rPr>
          <w:rFonts w:ascii="Times New Roman" w:hAnsi="Times New Roman" w:cs="Times New Roman"/>
          <w:i/>
          <w:iCs/>
          <w:noProof/>
          <w:sz w:val="24"/>
          <w:szCs w:val="24"/>
        </w:rPr>
        <w:t>Toxoplasma gondii</w:t>
      </w:r>
      <w:r w:rsidRPr="00943ABC">
        <w:rPr>
          <w:rFonts w:ascii="Times New Roman" w:hAnsi="Times New Roman" w:cs="Times New Roman"/>
          <w:noProof/>
          <w:sz w:val="24"/>
          <w:szCs w:val="24"/>
        </w:rPr>
        <w:t xml:space="preserve"> Infection Affect the Levels of IgE and Cytokines (IL-5, IL-6, IL-10, IL-12, and TNF-alpha)?’, </w:t>
      </w:r>
      <w:r w:rsidRPr="00943ABC">
        <w:rPr>
          <w:rFonts w:ascii="Times New Roman" w:hAnsi="Times New Roman" w:cs="Times New Roman"/>
          <w:i/>
          <w:iCs/>
          <w:noProof/>
          <w:sz w:val="24"/>
          <w:szCs w:val="24"/>
        </w:rPr>
        <w:t>Clinical and Developmental Immunology</w:t>
      </w:r>
      <w:r w:rsidRPr="00943ABC">
        <w:rPr>
          <w:rFonts w:ascii="Times New Roman" w:hAnsi="Times New Roman" w:cs="Times New Roman"/>
          <w:noProof/>
          <w:sz w:val="24"/>
          <w:szCs w:val="24"/>
        </w:rPr>
        <w:t>, 2009, pp. 1–4. doi: 10.1155/2009/374696.</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Mendez, O. A. and Koshy, A. A. (2017) ‘Toxoplasma gondii: Entry, association, and physiological influence on the central nervous system.’, </w:t>
      </w:r>
      <w:r w:rsidRPr="00943ABC">
        <w:rPr>
          <w:rFonts w:ascii="Times New Roman" w:hAnsi="Times New Roman" w:cs="Times New Roman"/>
          <w:i/>
          <w:iCs/>
          <w:noProof/>
          <w:sz w:val="24"/>
          <w:szCs w:val="24"/>
        </w:rPr>
        <w:t>PLoS pathogens</w:t>
      </w:r>
      <w:r w:rsidRPr="00943ABC">
        <w:rPr>
          <w:rFonts w:ascii="Times New Roman" w:hAnsi="Times New Roman" w:cs="Times New Roman"/>
          <w:noProof/>
          <w:sz w:val="24"/>
          <w:szCs w:val="24"/>
        </w:rPr>
        <w:t>. Public Library of Science, 13(7), p. e1006351. doi: 10.1371/journal.ppat.1006351.</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Naranjo-Galvis, C. A. </w:t>
      </w:r>
      <w:r w:rsidRPr="00943ABC">
        <w:rPr>
          <w:rFonts w:ascii="Times New Roman" w:hAnsi="Times New Roman" w:cs="Times New Roman"/>
          <w:i/>
          <w:iCs/>
          <w:noProof/>
          <w:sz w:val="24"/>
          <w:szCs w:val="24"/>
        </w:rPr>
        <w:t>et al.</w:t>
      </w:r>
      <w:r w:rsidRPr="00943ABC">
        <w:rPr>
          <w:rFonts w:ascii="Times New Roman" w:hAnsi="Times New Roman" w:cs="Times New Roman"/>
          <w:noProof/>
          <w:sz w:val="24"/>
          <w:szCs w:val="24"/>
        </w:rPr>
        <w:t xml:space="preserve"> (2018) ‘Genetic Polymorphisms in Cytokine Genes in Colombian Patients with Ocular Toxoplasmosis.’, </w:t>
      </w:r>
      <w:r w:rsidRPr="00943ABC">
        <w:rPr>
          <w:rFonts w:ascii="Times New Roman" w:hAnsi="Times New Roman" w:cs="Times New Roman"/>
          <w:i/>
          <w:iCs/>
          <w:noProof/>
          <w:sz w:val="24"/>
          <w:szCs w:val="24"/>
        </w:rPr>
        <w:t>Infection and immunity</w:t>
      </w:r>
      <w:r w:rsidRPr="00943ABC">
        <w:rPr>
          <w:rFonts w:ascii="Times New Roman" w:hAnsi="Times New Roman" w:cs="Times New Roman"/>
          <w:noProof/>
          <w:sz w:val="24"/>
          <w:szCs w:val="24"/>
        </w:rPr>
        <w:t>. American Society for Microbiology (ASM), 86(4). doi: 10.1128/IAI.00597-17.</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Pappas, G., Roussos, N. and Falagas, M. E. (2009) ‘Toxoplasmosis snapshots: Global status of Toxoplasma gondii seroprevalence and implications for pregnancy and congenital toxoplasmosis’, </w:t>
      </w:r>
      <w:r w:rsidRPr="00943ABC">
        <w:rPr>
          <w:rFonts w:ascii="Times New Roman" w:hAnsi="Times New Roman" w:cs="Times New Roman"/>
          <w:i/>
          <w:iCs/>
          <w:noProof/>
          <w:sz w:val="24"/>
          <w:szCs w:val="24"/>
        </w:rPr>
        <w:lastRenderedPageBreak/>
        <w:t>International Journal for Parasitology</w:t>
      </w:r>
      <w:r w:rsidRPr="00943ABC">
        <w:rPr>
          <w:rFonts w:ascii="Times New Roman" w:hAnsi="Times New Roman" w:cs="Times New Roman"/>
          <w:noProof/>
          <w:sz w:val="24"/>
          <w:szCs w:val="24"/>
        </w:rPr>
        <w:t>, 39(12), pp. 1385–1394. doi: 10.1016/j.ijpara.2009.04.003.</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szCs w:val="24"/>
        </w:rPr>
      </w:pPr>
      <w:r w:rsidRPr="00943ABC">
        <w:rPr>
          <w:rFonts w:ascii="Times New Roman" w:hAnsi="Times New Roman" w:cs="Times New Roman"/>
          <w:noProof/>
          <w:sz w:val="24"/>
          <w:szCs w:val="24"/>
        </w:rPr>
        <w:t xml:space="preserve">Sauer, A. </w:t>
      </w:r>
      <w:r w:rsidRPr="00943ABC">
        <w:rPr>
          <w:rFonts w:ascii="Times New Roman" w:hAnsi="Times New Roman" w:cs="Times New Roman"/>
          <w:i/>
          <w:iCs/>
          <w:noProof/>
          <w:sz w:val="24"/>
          <w:szCs w:val="24"/>
        </w:rPr>
        <w:t>et al.</w:t>
      </w:r>
      <w:r w:rsidRPr="00943ABC">
        <w:rPr>
          <w:rFonts w:ascii="Times New Roman" w:hAnsi="Times New Roman" w:cs="Times New Roman"/>
          <w:noProof/>
          <w:sz w:val="24"/>
          <w:szCs w:val="24"/>
        </w:rPr>
        <w:t xml:space="preserve"> (2012) ‘Interleukin 17A as an Effective Target for Anti-inflammatory and Antiparasitic Treatment of Toxoplasmic Uveitis’, </w:t>
      </w:r>
      <w:r w:rsidRPr="00943ABC">
        <w:rPr>
          <w:rFonts w:ascii="Times New Roman" w:hAnsi="Times New Roman" w:cs="Times New Roman"/>
          <w:i/>
          <w:iCs/>
          <w:noProof/>
          <w:sz w:val="24"/>
          <w:szCs w:val="24"/>
        </w:rPr>
        <w:t>Journal of Infectious Diseases</w:t>
      </w:r>
      <w:r w:rsidRPr="00943ABC">
        <w:rPr>
          <w:rFonts w:ascii="Times New Roman" w:hAnsi="Times New Roman" w:cs="Times New Roman"/>
          <w:noProof/>
          <w:sz w:val="24"/>
          <w:szCs w:val="24"/>
        </w:rPr>
        <w:t>, 206(8), pp. 1319–1329. doi: 10.1093/infdis/jis486.</w:t>
      </w:r>
    </w:p>
    <w:p w:rsidR="00943ABC" w:rsidRPr="00943ABC" w:rsidRDefault="00943ABC" w:rsidP="00685DC1">
      <w:pPr>
        <w:widowControl w:val="0"/>
        <w:autoSpaceDE w:val="0"/>
        <w:autoSpaceDN w:val="0"/>
        <w:adjustRightInd w:val="0"/>
        <w:spacing w:line="480" w:lineRule="auto"/>
        <w:jc w:val="both"/>
        <w:rPr>
          <w:rFonts w:ascii="Times New Roman" w:hAnsi="Times New Roman" w:cs="Times New Roman"/>
          <w:noProof/>
          <w:sz w:val="24"/>
        </w:rPr>
      </w:pPr>
      <w:r w:rsidRPr="00943ABC">
        <w:rPr>
          <w:rFonts w:ascii="Times New Roman" w:hAnsi="Times New Roman" w:cs="Times New Roman"/>
          <w:noProof/>
          <w:sz w:val="24"/>
          <w:szCs w:val="24"/>
        </w:rPr>
        <w:t xml:space="preserve">Vasconcelos, R. H. T. </w:t>
      </w:r>
      <w:r w:rsidRPr="00943ABC">
        <w:rPr>
          <w:rFonts w:ascii="Times New Roman" w:hAnsi="Times New Roman" w:cs="Times New Roman"/>
          <w:i/>
          <w:iCs/>
          <w:noProof/>
          <w:sz w:val="24"/>
          <w:szCs w:val="24"/>
        </w:rPr>
        <w:t>et al.</w:t>
      </w:r>
      <w:r w:rsidRPr="00943ABC">
        <w:rPr>
          <w:rFonts w:ascii="Times New Roman" w:hAnsi="Times New Roman" w:cs="Times New Roman"/>
          <w:noProof/>
          <w:sz w:val="24"/>
          <w:szCs w:val="24"/>
        </w:rPr>
        <w:t xml:space="preserve"> (2012) ‘Genetic susceptibility to chronic Chagas disease: An overview of single nucleotide polymorphisms of cytokine genes’, </w:t>
      </w:r>
      <w:r w:rsidRPr="00943ABC">
        <w:rPr>
          <w:rFonts w:ascii="Times New Roman" w:hAnsi="Times New Roman" w:cs="Times New Roman"/>
          <w:i/>
          <w:iCs/>
          <w:noProof/>
          <w:sz w:val="24"/>
          <w:szCs w:val="24"/>
        </w:rPr>
        <w:t>Cytokine</w:t>
      </w:r>
      <w:r w:rsidRPr="00943ABC">
        <w:rPr>
          <w:rFonts w:ascii="Times New Roman" w:hAnsi="Times New Roman" w:cs="Times New Roman"/>
          <w:noProof/>
          <w:sz w:val="24"/>
          <w:szCs w:val="24"/>
        </w:rPr>
        <w:t>, 59(2), pp. 203–208. doi: 10.1016/j.cyto.2012.04.035.</w:t>
      </w:r>
    </w:p>
    <w:p w:rsidR="00800689" w:rsidRPr="00800689" w:rsidRDefault="00814981" w:rsidP="00685DC1">
      <w:pPr>
        <w:spacing w:line="480" w:lineRule="auto"/>
        <w:jc w:val="both"/>
        <w:rPr>
          <w:rFonts w:asciiTheme="majorBidi" w:hAnsiTheme="majorBidi" w:cstheme="majorBidi"/>
          <w:sz w:val="24"/>
          <w:szCs w:val="24"/>
        </w:rPr>
      </w:pPr>
      <w:r>
        <w:rPr>
          <w:rFonts w:asciiTheme="majorBidi" w:hAnsiTheme="majorBidi" w:cstheme="majorBidi"/>
          <w:sz w:val="24"/>
          <w:szCs w:val="24"/>
        </w:rPr>
        <w:fldChar w:fldCharType="end"/>
      </w:r>
    </w:p>
    <w:p w:rsidR="000E578B" w:rsidRPr="00FE798B" w:rsidRDefault="000E578B" w:rsidP="00685DC1">
      <w:pPr>
        <w:spacing w:line="480" w:lineRule="auto"/>
        <w:jc w:val="both"/>
        <w:rPr>
          <w:rFonts w:asciiTheme="majorBidi" w:hAnsiTheme="majorBidi" w:cstheme="majorBidi"/>
          <w:sz w:val="24"/>
          <w:szCs w:val="24"/>
        </w:rPr>
      </w:pPr>
    </w:p>
    <w:p w:rsidR="005115A4" w:rsidRPr="005115A4" w:rsidRDefault="005115A4" w:rsidP="00685DC1">
      <w:pPr>
        <w:spacing w:line="480" w:lineRule="auto"/>
        <w:jc w:val="both"/>
        <w:rPr>
          <w:rFonts w:asciiTheme="majorBidi" w:hAnsiTheme="majorBidi" w:cstheme="majorBidi"/>
          <w:sz w:val="24"/>
          <w:szCs w:val="24"/>
        </w:rPr>
      </w:pPr>
    </w:p>
    <w:p w:rsidR="00155ACF" w:rsidRPr="00155ACF" w:rsidRDefault="00155ACF" w:rsidP="00685DC1">
      <w:pPr>
        <w:spacing w:line="480" w:lineRule="auto"/>
        <w:jc w:val="both"/>
        <w:rPr>
          <w:rFonts w:asciiTheme="majorBidi" w:hAnsiTheme="majorBidi" w:cstheme="majorBidi"/>
          <w:sz w:val="24"/>
          <w:szCs w:val="24"/>
        </w:rPr>
      </w:pPr>
    </w:p>
    <w:p w:rsidR="005E7AF0" w:rsidRPr="005E7AF0" w:rsidRDefault="005E7AF0" w:rsidP="00685DC1">
      <w:pPr>
        <w:spacing w:line="480" w:lineRule="auto"/>
        <w:jc w:val="both"/>
        <w:rPr>
          <w:rFonts w:asciiTheme="majorBidi" w:hAnsiTheme="majorBidi" w:cstheme="majorBidi"/>
          <w:sz w:val="24"/>
          <w:szCs w:val="24"/>
        </w:rPr>
      </w:pPr>
    </w:p>
    <w:p w:rsidR="0059570E" w:rsidRDefault="0059570E" w:rsidP="00685DC1">
      <w:pPr>
        <w:spacing w:line="480" w:lineRule="auto"/>
        <w:jc w:val="both"/>
        <w:rPr>
          <w:rFonts w:asciiTheme="majorBidi" w:hAnsiTheme="majorBidi" w:cstheme="majorBidi"/>
          <w:sz w:val="24"/>
          <w:szCs w:val="24"/>
        </w:rPr>
      </w:pPr>
    </w:p>
    <w:p w:rsidR="00B33425" w:rsidRDefault="00B33425" w:rsidP="00685DC1">
      <w:pPr>
        <w:spacing w:line="480" w:lineRule="auto"/>
        <w:jc w:val="both"/>
        <w:rPr>
          <w:rFonts w:asciiTheme="majorBidi" w:hAnsiTheme="majorBidi" w:cstheme="majorBidi"/>
          <w:b/>
          <w:bCs/>
          <w:sz w:val="24"/>
          <w:szCs w:val="24"/>
        </w:rPr>
      </w:pPr>
    </w:p>
    <w:p w:rsidR="00B33425" w:rsidRPr="00B33425" w:rsidRDefault="00B33425" w:rsidP="00B33425">
      <w:pPr>
        <w:rPr>
          <w:rFonts w:asciiTheme="majorBidi" w:hAnsiTheme="majorBidi" w:cstheme="majorBidi"/>
          <w:sz w:val="24"/>
          <w:szCs w:val="24"/>
        </w:rPr>
      </w:pPr>
    </w:p>
    <w:p w:rsidR="00B33425" w:rsidRPr="00B33425" w:rsidRDefault="00B33425" w:rsidP="00B33425">
      <w:pPr>
        <w:rPr>
          <w:rFonts w:asciiTheme="majorBidi" w:hAnsiTheme="majorBidi" w:cstheme="majorBidi"/>
          <w:sz w:val="24"/>
          <w:szCs w:val="24"/>
        </w:rPr>
      </w:pPr>
    </w:p>
    <w:sectPr w:rsidR="00B33425" w:rsidRPr="00B33425" w:rsidSect="007D1FC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C9E" w:rsidRDefault="006E3C9E" w:rsidP="005115A4">
      <w:pPr>
        <w:spacing w:after="0" w:line="240" w:lineRule="auto"/>
      </w:pPr>
      <w:r>
        <w:separator/>
      </w:r>
    </w:p>
  </w:endnote>
  <w:endnote w:type="continuationSeparator" w:id="0">
    <w:p w:rsidR="006E3C9E" w:rsidRDefault="006E3C9E" w:rsidP="0051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543408"/>
      <w:docPartObj>
        <w:docPartGallery w:val="Page Numbers (Bottom of Page)"/>
        <w:docPartUnique/>
      </w:docPartObj>
    </w:sdtPr>
    <w:sdtEndPr>
      <w:rPr>
        <w:noProof/>
      </w:rPr>
    </w:sdtEndPr>
    <w:sdtContent>
      <w:p w:rsidR="005115A4" w:rsidRDefault="00814981">
        <w:pPr>
          <w:pStyle w:val="Footer"/>
          <w:jc w:val="center"/>
        </w:pPr>
        <w:r>
          <w:fldChar w:fldCharType="begin"/>
        </w:r>
        <w:r w:rsidR="005115A4">
          <w:instrText xml:space="preserve"> PAGE   \* MERGEFORMAT </w:instrText>
        </w:r>
        <w:r>
          <w:fldChar w:fldCharType="separate"/>
        </w:r>
        <w:r w:rsidR="002932A1">
          <w:rPr>
            <w:noProof/>
          </w:rPr>
          <w:t>1</w:t>
        </w:r>
        <w:r>
          <w:rPr>
            <w:noProof/>
          </w:rPr>
          <w:fldChar w:fldCharType="end"/>
        </w:r>
      </w:p>
    </w:sdtContent>
  </w:sdt>
  <w:p w:rsidR="005115A4" w:rsidRDefault="00511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C9E" w:rsidRDefault="006E3C9E" w:rsidP="005115A4">
      <w:pPr>
        <w:spacing w:after="0" w:line="240" w:lineRule="auto"/>
      </w:pPr>
      <w:r>
        <w:separator/>
      </w:r>
    </w:p>
  </w:footnote>
  <w:footnote w:type="continuationSeparator" w:id="0">
    <w:p w:rsidR="006E3C9E" w:rsidRDefault="006E3C9E" w:rsidP="005115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34"/>
    <w:rsid w:val="00004497"/>
    <w:rsid w:val="00023093"/>
    <w:rsid w:val="00042FFB"/>
    <w:rsid w:val="000579B6"/>
    <w:rsid w:val="00097C0D"/>
    <w:rsid w:val="000A3664"/>
    <w:rsid w:val="000E4E21"/>
    <w:rsid w:val="000E578B"/>
    <w:rsid w:val="000F57C8"/>
    <w:rsid w:val="00102163"/>
    <w:rsid w:val="001443B4"/>
    <w:rsid w:val="00155ACF"/>
    <w:rsid w:val="00177539"/>
    <w:rsid w:val="001A00C1"/>
    <w:rsid w:val="001B249D"/>
    <w:rsid w:val="001B411B"/>
    <w:rsid w:val="001E48B8"/>
    <w:rsid w:val="001F1EC8"/>
    <w:rsid w:val="00217F32"/>
    <w:rsid w:val="00225C7C"/>
    <w:rsid w:val="002424B0"/>
    <w:rsid w:val="00253D14"/>
    <w:rsid w:val="00255EF6"/>
    <w:rsid w:val="002932A1"/>
    <w:rsid w:val="002A5DDF"/>
    <w:rsid w:val="002B7002"/>
    <w:rsid w:val="002C4C4E"/>
    <w:rsid w:val="002D735F"/>
    <w:rsid w:val="0032685B"/>
    <w:rsid w:val="00344DC7"/>
    <w:rsid w:val="00350E48"/>
    <w:rsid w:val="0036377D"/>
    <w:rsid w:val="0037250D"/>
    <w:rsid w:val="003B086E"/>
    <w:rsid w:val="003D4E9F"/>
    <w:rsid w:val="003D782E"/>
    <w:rsid w:val="003F0838"/>
    <w:rsid w:val="003F6B80"/>
    <w:rsid w:val="0040042A"/>
    <w:rsid w:val="0041319A"/>
    <w:rsid w:val="00421E9C"/>
    <w:rsid w:val="004266FD"/>
    <w:rsid w:val="00446106"/>
    <w:rsid w:val="00492EDE"/>
    <w:rsid w:val="004C0189"/>
    <w:rsid w:val="004C034E"/>
    <w:rsid w:val="004D654B"/>
    <w:rsid w:val="004E6913"/>
    <w:rsid w:val="004F1AF1"/>
    <w:rsid w:val="0050368C"/>
    <w:rsid w:val="00506EA9"/>
    <w:rsid w:val="005115A4"/>
    <w:rsid w:val="00521545"/>
    <w:rsid w:val="00525483"/>
    <w:rsid w:val="00530D4A"/>
    <w:rsid w:val="005310EF"/>
    <w:rsid w:val="00534960"/>
    <w:rsid w:val="0054144B"/>
    <w:rsid w:val="005456CB"/>
    <w:rsid w:val="00574CBA"/>
    <w:rsid w:val="005771CB"/>
    <w:rsid w:val="0058743A"/>
    <w:rsid w:val="0059570E"/>
    <w:rsid w:val="005C0869"/>
    <w:rsid w:val="005E2984"/>
    <w:rsid w:val="005E7AF0"/>
    <w:rsid w:val="00603666"/>
    <w:rsid w:val="006212E2"/>
    <w:rsid w:val="00623288"/>
    <w:rsid w:val="00627E14"/>
    <w:rsid w:val="00674735"/>
    <w:rsid w:val="006852DC"/>
    <w:rsid w:val="00685A4E"/>
    <w:rsid w:val="00685DC1"/>
    <w:rsid w:val="006870B7"/>
    <w:rsid w:val="006926B4"/>
    <w:rsid w:val="006A0F08"/>
    <w:rsid w:val="006C18B5"/>
    <w:rsid w:val="006D1D04"/>
    <w:rsid w:val="006E3C9E"/>
    <w:rsid w:val="006F4612"/>
    <w:rsid w:val="00722A9D"/>
    <w:rsid w:val="00751A28"/>
    <w:rsid w:val="00766197"/>
    <w:rsid w:val="007724F9"/>
    <w:rsid w:val="0079629D"/>
    <w:rsid w:val="007B77A0"/>
    <w:rsid w:val="007D1FC4"/>
    <w:rsid w:val="007D240C"/>
    <w:rsid w:val="007E50BE"/>
    <w:rsid w:val="007E78E0"/>
    <w:rsid w:val="00800689"/>
    <w:rsid w:val="00813FFB"/>
    <w:rsid w:val="00814981"/>
    <w:rsid w:val="00820A07"/>
    <w:rsid w:val="00821DA0"/>
    <w:rsid w:val="00843F9B"/>
    <w:rsid w:val="008A6AA7"/>
    <w:rsid w:val="008E414F"/>
    <w:rsid w:val="00913953"/>
    <w:rsid w:val="00942CD8"/>
    <w:rsid w:val="00943ABC"/>
    <w:rsid w:val="00972DC5"/>
    <w:rsid w:val="009A0410"/>
    <w:rsid w:val="009A0868"/>
    <w:rsid w:val="009C255E"/>
    <w:rsid w:val="009C7DBA"/>
    <w:rsid w:val="009D6EAF"/>
    <w:rsid w:val="00A118BF"/>
    <w:rsid w:val="00A27BE6"/>
    <w:rsid w:val="00A33812"/>
    <w:rsid w:val="00A935D0"/>
    <w:rsid w:val="00AB4005"/>
    <w:rsid w:val="00AD20EF"/>
    <w:rsid w:val="00AF3697"/>
    <w:rsid w:val="00AF6C81"/>
    <w:rsid w:val="00B141DF"/>
    <w:rsid w:val="00B1703E"/>
    <w:rsid w:val="00B20D22"/>
    <w:rsid w:val="00B33425"/>
    <w:rsid w:val="00B3537D"/>
    <w:rsid w:val="00B62E27"/>
    <w:rsid w:val="00B82B34"/>
    <w:rsid w:val="00B9084D"/>
    <w:rsid w:val="00BB26BC"/>
    <w:rsid w:val="00BC4E3A"/>
    <w:rsid w:val="00BD6C12"/>
    <w:rsid w:val="00BF7D54"/>
    <w:rsid w:val="00C05327"/>
    <w:rsid w:val="00C26906"/>
    <w:rsid w:val="00C32A95"/>
    <w:rsid w:val="00C35929"/>
    <w:rsid w:val="00C43383"/>
    <w:rsid w:val="00CB0F17"/>
    <w:rsid w:val="00CC5A72"/>
    <w:rsid w:val="00CD2E68"/>
    <w:rsid w:val="00CE5666"/>
    <w:rsid w:val="00CF72FD"/>
    <w:rsid w:val="00D35D1C"/>
    <w:rsid w:val="00D46659"/>
    <w:rsid w:val="00D820AD"/>
    <w:rsid w:val="00D9225F"/>
    <w:rsid w:val="00DA1287"/>
    <w:rsid w:val="00DD4EC6"/>
    <w:rsid w:val="00DE27B2"/>
    <w:rsid w:val="00DF25B7"/>
    <w:rsid w:val="00DF4760"/>
    <w:rsid w:val="00E053ED"/>
    <w:rsid w:val="00E057A1"/>
    <w:rsid w:val="00E10CD0"/>
    <w:rsid w:val="00E25742"/>
    <w:rsid w:val="00E27C29"/>
    <w:rsid w:val="00E37644"/>
    <w:rsid w:val="00E80728"/>
    <w:rsid w:val="00EB1E82"/>
    <w:rsid w:val="00EC0FBF"/>
    <w:rsid w:val="00EC6FA4"/>
    <w:rsid w:val="00ED76F5"/>
    <w:rsid w:val="00F05E2E"/>
    <w:rsid w:val="00F14465"/>
    <w:rsid w:val="00F14479"/>
    <w:rsid w:val="00F20827"/>
    <w:rsid w:val="00F25C6F"/>
    <w:rsid w:val="00F352D2"/>
    <w:rsid w:val="00F60792"/>
    <w:rsid w:val="00F80CD4"/>
    <w:rsid w:val="00F979C4"/>
    <w:rsid w:val="00FE1C85"/>
    <w:rsid w:val="00FE798B"/>
    <w:rsid w:val="00FF0CB1"/>
    <w:rsid w:val="00FF652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76878"/>
  <w15:docId w15:val="{7CE0E70B-CA51-481A-B4D8-39F8FBB3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5A4"/>
  </w:style>
  <w:style w:type="paragraph" w:styleId="Footer">
    <w:name w:val="footer"/>
    <w:basedOn w:val="Normal"/>
    <w:link w:val="FooterChar"/>
    <w:uiPriority w:val="99"/>
    <w:unhideWhenUsed/>
    <w:rsid w:val="00511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5A4"/>
  </w:style>
  <w:style w:type="table" w:styleId="TableGrid">
    <w:name w:val="Table Grid"/>
    <w:basedOn w:val="TableNormal"/>
    <w:uiPriority w:val="59"/>
    <w:rsid w:val="00541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3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D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spPr>
        <a:solidFill>
          <a:schemeClr val="accent6">
            <a:lumMod val="20000"/>
            <a:lumOff val="80000"/>
          </a:schemeClr>
        </a:solidFill>
      </c:spPr>
    </c:floor>
    <c:sideWall>
      <c:thickness val="0"/>
    </c:sideWall>
    <c:backWall>
      <c:thickness val="0"/>
    </c:backWall>
    <c:plotArea>
      <c:layout/>
      <c:bar3DChart>
        <c:barDir val="col"/>
        <c:grouping val="clustered"/>
        <c:varyColors val="0"/>
        <c:ser>
          <c:idx val="0"/>
          <c:order val="0"/>
          <c:tx>
            <c:strRef>
              <c:f>ورقة1!$F$8</c:f>
              <c:strCache>
                <c:ptCount val="1"/>
                <c:pt idx="0">
                  <c:v>GG</c:v>
                </c:pt>
              </c:strCache>
            </c:strRef>
          </c:tx>
          <c:invertIfNegative val="0"/>
          <c:dLbls>
            <c:spPr>
              <a:noFill/>
              <a:ln>
                <a:noFill/>
              </a:ln>
              <a:effectLst/>
            </c:spPr>
            <c:txPr>
              <a:bodyPr/>
              <a:lstStyle/>
              <a:p>
                <a:pPr>
                  <a:defRPr lang="en-US"/>
                </a:pPr>
                <a:endParaRPr lang="ar-IQ"/>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ورقة1!$G$7:$H$7</c:f>
              <c:strCache>
                <c:ptCount val="2"/>
                <c:pt idx="0">
                  <c:v>patients</c:v>
                </c:pt>
                <c:pt idx="1">
                  <c:v>control</c:v>
                </c:pt>
              </c:strCache>
            </c:strRef>
          </c:cat>
          <c:val>
            <c:numRef>
              <c:f>ورقة1!$G$8:$H$8</c:f>
              <c:numCache>
                <c:formatCode>General</c:formatCode>
                <c:ptCount val="2"/>
                <c:pt idx="0">
                  <c:v>16</c:v>
                </c:pt>
                <c:pt idx="1">
                  <c:v>28</c:v>
                </c:pt>
              </c:numCache>
            </c:numRef>
          </c:val>
          <c:extLst>
            <c:ext xmlns:c16="http://schemas.microsoft.com/office/drawing/2014/chart" uri="{C3380CC4-5D6E-409C-BE32-E72D297353CC}">
              <c16:uniqueId val="{00000000-7E4C-4E20-97B9-30DBAD696EDA}"/>
            </c:ext>
          </c:extLst>
        </c:ser>
        <c:ser>
          <c:idx val="1"/>
          <c:order val="1"/>
          <c:tx>
            <c:strRef>
              <c:f>ورقة1!$F$9</c:f>
              <c:strCache>
                <c:ptCount val="1"/>
                <c:pt idx="0">
                  <c:v>GC</c:v>
                </c:pt>
              </c:strCache>
            </c:strRef>
          </c:tx>
          <c:invertIfNegative val="0"/>
          <c:dLbls>
            <c:spPr>
              <a:noFill/>
              <a:ln>
                <a:noFill/>
              </a:ln>
              <a:effectLst/>
            </c:spPr>
            <c:txPr>
              <a:bodyPr/>
              <a:lstStyle/>
              <a:p>
                <a:pPr>
                  <a:defRPr lang="en-US"/>
                </a:pPr>
                <a:endParaRPr lang="ar-IQ"/>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ورقة1!$G$7:$H$7</c:f>
              <c:strCache>
                <c:ptCount val="2"/>
                <c:pt idx="0">
                  <c:v>patients</c:v>
                </c:pt>
                <c:pt idx="1">
                  <c:v>control</c:v>
                </c:pt>
              </c:strCache>
            </c:strRef>
          </c:cat>
          <c:val>
            <c:numRef>
              <c:f>ورقة1!$G$9:$H$9</c:f>
              <c:numCache>
                <c:formatCode>General</c:formatCode>
                <c:ptCount val="2"/>
                <c:pt idx="0">
                  <c:v>48</c:v>
                </c:pt>
                <c:pt idx="1">
                  <c:v>28</c:v>
                </c:pt>
              </c:numCache>
            </c:numRef>
          </c:val>
          <c:extLst>
            <c:ext xmlns:c16="http://schemas.microsoft.com/office/drawing/2014/chart" uri="{C3380CC4-5D6E-409C-BE32-E72D297353CC}">
              <c16:uniqueId val="{00000001-7E4C-4E20-97B9-30DBAD696EDA}"/>
            </c:ext>
          </c:extLst>
        </c:ser>
        <c:ser>
          <c:idx val="2"/>
          <c:order val="2"/>
          <c:tx>
            <c:strRef>
              <c:f>ورقة1!$F$10</c:f>
              <c:strCache>
                <c:ptCount val="1"/>
                <c:pt idx="0">
                  <c:v>CC</c:v>
                </c:pt>
              </c:strCache>
            </c:strRef>
          </c:tx>
          <c:invertIfNegative val="0"/>
          <c:dLbls>
            <c:spPr>
              <a:noFill/>
              <a:ln>
                <a:noFill/>
              </a:ln>
              <a:effectLst/>
            </c:spPr>
            <c:txPr>
              <a:bodyPr/>
              <a:lstStyle/>
              <a:p>
                <a:pPr>
                  <a:defRPr lang="en-US"/>
                </a:pPr>
                <a:endParaRPr lang="ar-IQ"/>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ورقة1!$G$7:$H$7</c:f>
              <c:strCache>
                <c:ptCount val="2"/>
                <c:pt idx="0">
                  <c:v>patients</c:v>
                </c:pt>
                <c:pt idx="1">
                  <c:v>control</c:v>
                </c:pt>
              </c:strCache>
            </c:strRef>
          </c:cat>
          <c:val>
            <c:numRef>
              <c:f>ورقة1!$G$10:$H$10</c:f>
              <c:numCache>
                <c:formatCode>General</c:formatCode>
                <c:ptCount val="2"/>
                <c:pt idx="0">
                  <c:v>36</c:v>
                </c:pt>
                <c:pt idx="1">
                  <c:v>44</c:v>
                </c:pt>
              </c:numCache>
            </c:numRef>
          </c:val>
          <c:extLst>
            <c:ext xmlns:c16="http://schemas.microsoft.com/office/drawing/2014/chart" uri="{C3380CC4-5D6E-409C-BE32-E72D297353CC}">
              <c16:uniqueId val="{00000002-7E4C-4E20-97B9-30DBAD696EDA}"/>
            </c:ext>
          </c:extLst>
        </c:ser>
        <c:dLbls>
          <c:showLegendKey val="0"/>
          <c:showVal val="1"/>
          <c:showCatName val="0"/>
          <c:showSerName val="0"/>
          <c:showPercent val="0"/>
          <c:showBubbleSize val="0"/>
        </c:dLbls>
        <c:gapWidth val="150"/>
        <c:shape val="box"/>
        <c:axId val="85750912"/>
        <c:axId val="85752832"/>
        <c:axId val="0"/>
      </c:bar3DChart>
      <c:catAx>
        <c:axId val="85750912"/>
        <c:scaling>
          <c:orientation val="minMax"/>
        </c:scaling>
        <c:delete val="0"/>
        <c:axPos val="b"/>
        <c:title>
          <c:tx>
            <c:rich>
              <a:bodyPr/>
              <a:lstStyle/>
              <a:p>
                <a:pPr>
                  <a:defRPr lang="en-US"/>
                </a:pPr>
                <a:r>
                  <a:rPr lang="en-US"/>
                  <a:t>groups</a:t>
                </a:r>
              </a:p>
            </c:rich>
          </c:tx>
          <c:overlay val="0"/>
        </c:title>
        <c:numFmt formatCode="General" sourceLinked="0"/>
        <c:majorTickMark val="out"/>
        <c:minorTickMark val="none"/>
        <c:tickLblPos val="nextTo"/>
        <c:txPr>
          <a:bodyPr/>
          <a:lstStyle/>
          <a:p>
            <a:pPr>
              <a:defRPr lang="en-US"/>
            </a:pPr>
            <a:endParaRPr lang="ar-IQ"/>
          </a:p>
        </c:txPr>
        <c:crossAx val="85752832"/>
        <c:crosses val="autoZero"/>
        <c:auto val="1"/>
        <c:lblAlgn val="ctr"/>
        <c:lblOffset val="100"/>
        <c:noMultiLvlLbl val="0"/>
      </c:catAx>
      <c:valAx>
        <c:axId val="85752832"/>
        <c:scaling>
          <c:orientation val="minMax"/>
        </c:scaling>
        <c:delete val="0"/>
        <c:axPos val="l"/>
        <c:majorGridlines>
          <c:spPr>
            <a:ln>
              <a:solidFill>
                <a:schemeClr val="accent1"/>
              </a:solidFill>
            </a:ln>
          </c:spPr>
        </c:majorGridlines>
        <c:title>
          <c:tx>
            <c:rich>
              <a:bodyPr rot="-5400000" vert="horz"/>
              <a:lstStyle/>
              <a:p>
                <a:pPr>
                  <a:defRPr lang="en-US"/>
                </a:pPr>
                <a:r>
                  <a:rPr lang="en-US"/>
                  <a:t>percentage</a:t>
                </a:r>
              </a:p>
            </c:rich>
          </c:tx>
          <c:overlay val="0"/>
        </c:title>
        <c:numFmt formatCode="General" sourceLinked="1"/>
        <c:majorTickMark val="out"/>
        <c:minorTickMark val="none"/>
        <c:tickLblPos val="nextTo"/>
        <c:txPr>
          <a:bodyPr/>
          <a:lstStyle/>
          <a:p>
            <a:pPr>
              <a:defRPr lang="en-US"/>
            </a:pPr>
            <a:endParaRPr lang="ar-IQ"/>
          </a:p>
        </c:txPr>
        <c:crossAx val="85750912"/>
        <c:crosses val="autoZero"/>
        <c:crossBetween val="between"/>
      </c:valAx>
    </c:plotArea>
    <c:legend>
      <c:legendPos val="r"/>
      <c:overlay val="0"/>
      <c:txPr>
        <a:bodyPr/>
        <a:lstStyle/>
        <a:p>
          <a:pPr>
            <a:defRPr lang="en-US"/>
          </a:pPr>
          <a:endParaRPr lang="ar-IQ"/>
        </a:p>
      </c:txPr>
    </c:legend>
    <c:plotVisOnly val="1"/>
    <c:dispBlanksAs val="gap"/>
    <c:showDLblsOverMax val="0"/>
  </c:chart>
  <c:txPr>
    <a:bodyPr/>
    <a:lstStyle/>
    <a:p>
      <a:pPr>
        <a:defRPr b="1"/>
      </a:pPr>
      <a:endParaRPr lang="ar-IQ"/>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spPr>
        <a:solidFill>
          <a:schemeClr val="accent6">
            <a:lumMod val="20000"/>
            <a:lumOff val="80000"/>
          </a:schemeClr>
        </a:solidFill>
      </c:spPr>
    </c:floor>
    <c:sideWall>
      <c:thickness val="0"/>
    </c:sideWall>
    <c:backWall>
      <c:thickness val="0"/>
    </c:backWall>
    <c:plotArea>
      <c:layout/>
      <c:bar3DChart>
        <c:barDir val="col"/>
        <c:grouping val="clustered"/>
        <c:varyColors val="0"/>
        <c:ser>
          <c:idx val="0"/>
          <c:order val="0"/>
          <c:tx>
            <c:strRef>
              <c:f>ورقة1!$F$23</c:f>
              <c:strCache>
                <c:ptCount val="1"/>
                <c:pt idx="0">
                  <c:v>G</c:v>
                </c:pt>
              </c:strCache>
            </c:strRef>
          </c:tx>
          <c:invertIfNegative val="0"/>
          <c:dLbls>
            <c:spPr>
              <a:noFill/>
              <a:ln>
                <a:noFill/>
              </a:ln>
              <a:effectLst/>
            </c:spPr>
            <c:txPr>
              <a:bodyPr/>
              <a:lstStyle/>
              <a:p>
                <a:pPr>
                  <a:defRPr lang="en-US"/>
                </a:pPr>
                <a:endParaRPr lang="ar-IQ"/>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ورقة1!$G$22:$H$22</c:f>
              <c:strCache>
                <c:ptCount val="2"/>
                <c:pt idx="0">
                  <c:v>patients</c:v>
                </c:pt>
                <c:pt idx="1">
                  <c:v>control</c:v>
                </c:pt>
              </c:strCache>
            </c:strRef>
          </c:cat>
          <c:val>
            <c:numRef>
              <c:f>ورقة1!$G$23:$H$23</c:f>
              <c:numCache>
                <c:formatCode>General</c:formatCode>
                <c:ptCount val="2"/>
                <c:pt idx="0">
                  <c:v>40</c:v>
                </c:pt>
                <c:pt idx="1">
                  <c:v>42</c:v>
                </c:pt>
              </c:numCache>
            </c:numRef>
          </c:val>
          <c:extLst>
            <c:ext xmlns:c16="http://schemas.microsoft.com/office/drawing/2014/chart" uri="{C3380CC4-5D6E-409C-BE32-E72D297353CC}">
              <c16:uniqueId val="{00000000-0A66-4733-85D1-ECF0CC0211D2}"/>
            </c:ext>
          </c:extLst>
        </c:ser>
        <c:ser>
          <c:idx val="1"/>
          <c:order val="1"/>
          <c:tx>
            <c:strRef>
              <c:f>ورقة1!$F$24</c:f>
              <c:strCache>
                <c:ptCount val="1"/>
                <c:pt idx="0">
                  <c:v>C</c:v>
                </c:pt>
              </c:strCache>
            </c:strRef>
          </c:tx>
          <c:invertIfNegative val="0"/>
          <c:dLbls>
            <c:spPr>
              <a:noFill/>
              <a:ln>
                <a:noFill/>
              </a:ln>
              <a:effectLst/>
            </c:spPr>
            <c:txPr>
              <a:bodyPr/>
              <a:lstStyle/>
              <a:p>
                <a:pPr>
                  <a:defRPr lang="en-US"/>
                </a:pPr>
                <a:endParaRPr lang="ar-IQ"/>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ورقة1!$G$22:$H$22</c:f>
              <c:strCache>
                <c:ptCount val="2"/>
                <c:pt idx="0">
                  <c:v>patients</c:v>
                </c:pt>
                <c:pt idx="1">
                  <c:v>control</c:v>
                </c:pt>
              </c:strCache>
            </c:strRef>
          </c:cat>
          <c:val>
            <c:numRef>
              <c:f>ورقة1!$G$24:$H$24</c:f>
              <c:numCache>
                <c:formatCode>General</c:formatCode>
                <c:ptCount val="2"/>
                <c:pt idx="0">
                  <c:v>60</c:v>
                </c:pt>
                <c:pt idx="1">
                  <c:v>58</c:v>
                </c:pt>
              </c:numCache>
            </c:numRef>
          </c:val>
          <c:extLst>
            <c:ext xmlns:c16="http://schemas.microsoft.com/office/drawing/2014/chart" uri="{C3380CC4-5D6E-409C-BE32-E72D297353CC}">
              <c16:uniqueId val="{00000001-0A66-4733-85D1-ECF0CC0211D2}"/>
            </c:ext>
          </c:extLst>
        </c:ser>
        <c:dLbls>
          <c:showLegendKey val="0"/>
          <c:showVal val="1"/>
          <c:showCatName val="0"/>
          <c:showSerName val="0"/>
          <c:showPercent val="0"/>
          <c:showBubbleSize val="0"/>
        </c:dLbls>
        <c:gapWidth val="150"/>
        <c:shape val="box"/>
        <c:axId val="85828352"/>
        <c:axId val="85830272"/>
        <c:axId val="0"/>
      </c:bar3DChart>
      <c:catAx>
        <c:axId val="85828352"/>
        <c:scaling>
          <c:orientation val="minMax"/>
        </c:scaling>
        <c:delete val="0"/>
        <c:axPos val="b"/>
        <c:title>
          <c:tx>
            <c:rich>
              <a:bodyPr/>
              <a:lstStyle/>
              <a:p>
                <a:pPr>
                  <a:defRPr lang="en-US"/>
                </a:pPr>
                <a:r>
                  <a:rPr lang="en-US"/>
                  <a:t>groups</a:t>
                </a:r>
              </a:p>
            </c:rich>
          </c:tx>
          <c:overlay val="0"/>
        </c:title>
        <c:numFmt formatCode="General" sourceLinked="0"/>
        <c:majorTickMark val="out"/>
        <c:minorTickMark val="none"/>
        <c:tickLblPos val="nextTo"/>
        <c:txPr>
          <a:bodyPr/>
          <a:lstStyle/>
          <a:p>
            <a:pPr>
              <a:defRPr lang="en-US"/>
            </a:pPr>
            <a:endParaRPr lang="ar-IQ"/>
          </a:p>
        </c:txPr>
        <c:crossAx val="85830272"/>
        <c:crosses val="autoZero"/>
        <c:auto val="1"/>
        <c:lblAlgn val="ctr"/>
        <c:lblOffset val="100"/>
        <c:noMultiLvlLbl val="0"/>
      </c:catAx>
      <c:valAx>
        <c:axId val="85830272"/>
        <c:scaling>
          <c:orientation val="minMax"/>
        </c:scaling>
        <c:delete val="0"/>
        <c:axPos val="l"/>
        <c:majorGridlines/>
        <c:title>
          <c:tx>
            <c:rich>
              <a:bodyPr rot="-5400000" vert="horz"/>
              <a:lstStyle/>
              <a:p>
                <a:pPr>
                  <a:defRPr lang="en-US"/>
                </a:pPr>
                <a:r>
                  <a:rPr lang="en-US"/>
                  <a:t>percentage</a:t>
                </a:r>
              </a:p>
            </c:rich>
          </c:tx>
          <c:overlay val="0"/>
        </c:title>
        <c:numFmt formatCode="General" sourceLinked="1"/>
        <c:majorTickMark val="out"/>
        <c:minorTickMark val="none"/>
        <c:tickLblPos val="nextTo"/>
        <c:txPr>
          <a:bodyPr/>
          <a:lstStyle/>
          <a:p>
            <a:pPr>
              <a:defRPr lang="en-US"/>
            </a:pPr>
            <a:endParaRPr lang="ar-IQ"/>
          </a:p>
        </c:txPr>
        <c:crossAx val="85828352"/>
        <c:crosses val="autoZero"/>
        <c:crossBetween val="between"/>
      </c:valAx>
    </c:plotArea>
    <c:legend>
      <c:legendPos val="r"/>
      <c:overlay val="0"/>
      <c:txPr>
        <a:bodyPr/>
        <a:lstStyle/>
        <a:p>
          <a:pPr>
            <a:defRPr lang="en-US"/>
          </a:pPr>
          <a:endParaRPr lang="ar-IQ"/>
        </a:p>
      </c:txPr>
    </c:legend>
    <c:plotVisOnly val="1"/>
    <c:dispBlanksAs val="gap"/>
    <c:showDLblsOverMax val="0"/>
  </c:chart>
  <c:txPr>
    <a:bodyPr/>
    <a:lstStyle/>
    <a:p>
      <a:pPr>
        <a:defRPr b="1"/>
      </a:pPr>
      <a:endParaRPr lang="ar-IQ"/>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E9256-2A93-4CA0-9F1E-1360ABE03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9024</Words>
  <Characters>51440</Characters>
  <Application>Microsoft Office Word</Application>
  <DocSecurity>0</DocSecurity>
  <Lines>428</Lines>
  <Paragraphs>120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By DR.Ahmed Saker 2o1O  ;)</Company>
  <LinksUpToDate>false</LinksUpToDate>
  <CharactersWithSpaces>60344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Dr.Ali Hassan Daghir</dc:creator>
  <cp:lastModifiedBy>Saleh Omairi</cp:lastModifiedBy>
  <cp:revision>3</cp:revision>
  <dcterms:created xsi:type="dcterms:W3CDTF">2020-01-13T21:14:00Z</dcterms:created>
  <dcterms:modified xsi:type="dcterms:W3CDTF">2020-01-13T21:17:00Z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3344fa4f-9ef3-30db-82e4-62cc1d7a115c</vt:lpwstr>
  </property>
  <property fmtid="{D5CDD505-2E9C-101B-9397-08002B2CF9AE}" pid="24" name="Mendeley Citation Style_1">
    <vt:lpwstr>http://www.zotero.org/styles/harvard1</vt:lpwstr>
  </property>
</Properties>
</file>